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28"/>
        </w:rPr>
        <w:t>RIGA TECHNICAL UNIVERSITY</w:t>
      </w:r>
    </w:p>
    <w:p>
      <w:pPr>
        <w:spacing w:before="0" w:after="80"/>
        <w:jc w:val="center"/>
      </w:pPr>
      <w:r>
        <w:rPr>
          <w:b/>
          <w:color w:val="000000"/>
          <w:sz w:val="28"/>
        </w:rPr>
        <w:t>Faculty of Computer Science, Information Technology and Energy</w:t>
      </w:r>
    </w:p>
    <w:p>
      <w:pPr>
        <w:spacing w:before="0" w:after="80"/>
        <w:jc w:val="center"/>
      </w:pPr>
      <w:r>
        <w:rPr>
          <w:b/>
          <w:color w:val="000000"/>
          <w:sz w:val="28"/>
        </w:rPr>
        <w:t>Institute of Applied Computer Systems</w:t>
      </w:r>
    </w:p>
    <w:p>
      <w:pPr>
        <w:spacing w:before="480" w:after="480"/>
        <w:jc w:val="center"/>
      </w:pPr>
      <w:r>
        <w:rPr>
          <w:color w:val="000000"/>
          <w:sz w:val="22"/>
        </w:rPr>
        <w:t>Author: Aum Sohoni</w:t>
        <w:br/>
        <w:t>Student ID: 241ADB009</w:t>
        <w:br/>
        <w:t>Study Program: Academic Bachelor Study Program "Computer Systems"</w:t>
      </w:r>
    </w:p>
    <w:p>
      <w:pPr>
        <w:spacing w:before="0" w:after="360"/>
        <w:jc w:val="center"/>
      </w:pPr>
      <w:r>
        <w:rPr>
          <w:b/>
          <w:color w:val="000000"/>
          <w:sz w:val="32"/>
        </w:rPr>
        <w:t>RECIPROCAL HUMAN-AI JOB MATCHING PLATFORM FOR SKILLED TRADES</w:t>
      </w:r>
    </w:p>
    <w:p>
      <w:pPr>
        <w:spacing w:after="720"/>
        <w:jc w:val="center"/>
      </w:pPr>
      <w:r>
        <w:rPr>
          <w:b/>
          <w:color w:val="000000"/>
          <w:sz w:val="24"/>
        </w:rPr>
        <w:t>BACHELOR THESIS — 5th Semester Progress Report</w:t>
        <w:br/>
        <w:br/>
        <w:t>Scientific Adviser: Lecturer Janis Amolins</w:t>
        <w:br/>
        <w:br/>
        <w:t>Riga, 2026</w:t>
      </w:r>
    </w:p>
    <w:p>
      <w:r>
        <w:br w:type="page"/>
      </w:r>
    </w:p>
    <w:p>
      <w:pPr>
        <w:keepNext/>
        <w:spacing w:before="360" w:after="120"/>
      </w:pPr>
      <w:r>
        <w:rPr>
          <w:b/>
          <w:color w:val="000000"/>
          <w:sz w:val="28"/>
        </w:rPr>
        <w:t>ABSTRACT</w:t>
      </w:r>
    </w:p>
    <w:p>
      <w:pPr>
        <w:spacing w:before="0" w:after="120" w:line="276" w:lineRule="auto"/>
      </w:pPr>
      <w:r>
        <w:rPr>
          <w:color w:val="000000"/>
        </w:rPr>
        <w:t>This fifth-semester bachelor thesis report presents the research, architectural design, practical implementation, and preliminary verification of MeisterMatch—a mobile-first, reciprocal Human-AI recruitment platform developed specifically for skilled trades occupations (electricians, plumbers, welders, carpenters, HVAC technicians) in Latvia and the Baltic region. Grounded in micro-level empirical data from the EU Labour Force Survey (EU-LFS), Ministry of Economics forecasts, and EURES labour market indicators, the project targets the severe structural mismatch between traditional text-dense job boards and informal recruitment practices. In Latvia, empirical data indicates that personal referrals and informal social networks account for 46.1% of hiring in urban hubs (Riga/Pierīga) and up to 59.4% in peripheral regions (Latgale, Kurzeme, Vidzeme).</w:t>
      </w:r>
    </w:p>
    <w:p>
      <w:pPr>
        <w:spacing w:before="0" w:after="120" w:line="276" w:lineRule="auto"/>
      </w:pPr>
      <w:r>
        <w:rPr>
          <w:color w:val="000000"/>
        </w:rPr>
        <w:t>To bridge this gap, MeisterMatch introduces a gesture-driven, swipe-card interface combined with an interpretable Machine Learning recommendation engine. To strictly comply with the European Union Artificial Intelligence Act (Regulation EU 2024/1689) and Directive (EU) 2024/2831 on Platform Work, the system enforces a hybrid human-in-the-loop architecture. Human review is positioned not as a perfect guarantee against bias, but as an indispensable operational mechanism to inspect, contest, and override automated recommendations. Candidate-job rankings are generated via a multi-factor scoring function that outputs explicit, human-readable match reasons. The model incorporates recruiter feedback through an active learning loop using uncertainty sampling to refine feature weights continuously over time.</w:t>
      </w:r>
    </w:p>
    <w:p>
      <w:pPr>
        <w:spacing w:before="0" w:after="120" w:line="276" w:lineRule="auto"/>
      </w:pPr>
      <w:r>
        <w:rPr>
          <w:color w:val="000000"/>
        </w:rPr>
        <w:t>The practical implementation comprises a three-tier architecture: a Python/FastAPI ranker, a Node.js/Express REST API, and a React 18/Vite web frontend. Software verification in Chapter 4 confirms that all 12 REST API endpoints execute reliably, schema contracts (shared/schema.json) maintain strict type safety, and end-to-end communication operates seamlessly across a deterministic seed dataset of 30 worker profiles and 20 job postings. A planned empirical evaluation methodology is formulated in Chapter 5 to quantify Precision@K, Recall@K, Match Success Rate, and Recruiter Task Completion Time against a non-learning baseline in the 6th semester. Voice onboarding, calendar scheduling, and external messaging bots are explicitly de-scoped to focus tightly on core research objectives.</w:t>
      </w:r>
    </w:p>
    <w:p>
      <w:pPr>
        <w:spacing w:before="0" w:after="120" w:line="276" w:lineRule="auto"/>
      </w:pPr>
      <w:r>
        <w:rPr>
          <w:b/>
          <w:color w:val="000000"/>
        </w:rPr>
        <w:t xml:space="preserve">Report parameters: </w:t>
      </w:r>
      <w:r>
        <w:rPr>
          <w:color w:val="000000"/>
        </w:rPr>
        <w:t>Bachelor thesis progress report: 15 pages, 2 tables, 1 figure, 25 references.</w:t>
      </w:r>
    </w:p>
    <w:p>
      <w:pPr>
        <w:spacing w:before="0" w:after="120" w:line="276" w:lineRule="auto"/>
      </w:pPr>
      <w:r>
        <w:rPr>
          <w:b/>
          <w:color w:val="000000"/>
        </w:rPr>
        <w:t xml:space="preserve">Keywords: </w:t>
      </w:r>
      <w:r>
        <w:rPr>
          <w:color w:val="000000"/>
        </w:rPr>
        <w:t>Reciprocal Matching, Active Learning, Skilled-Trades Recruitment, Hybrid Human-AI Systems, Algorithmic Governance, EU AI Act, Information Retrieval Evaluation.</w:t>
      </w:r>
    </w:p>
    <w:p>
      <w:pPr>
        <w:keepNext/>
        <w:spacing w:before="360" w:after="120"/>
      </w:pPr>
      <w:r>
        <w:rPr>
          <w:b/>
          <w:color w:val="000000"/>
          <w:sz w:val="28"/>
        </w:rPr>
        <w:t>TABLE OF CONTENTS</w:t>
      </w:r>
    </w:p>
    <w:p>
      <w:pPr>
        <w:spacing w:before="0" w:after="120" w:line="276" w:lineRule="auto"/>
      </w:pPr>
      <w:r>
        <w:rPr>
          <w:color w:val="000000"/>
        </w:rPr>
        <w:t>Note: The Table of Contents field code below automatically populates when opened in Microsoft Word or Google Docs.</w:t>
      </w:r>
    </w:p>
    <w:p>
      <w:pPr>
        <w:spacing w:before="120" w:after="240"/>
      </w:pPr>
      <w:r>
        <w:fldChar w:fldCharType="begin"/>
        <w:instrText xml:space="preserve">TOC \o "1-3" \h \z \u</w:instrText>
        <w:fldChar w:fldCharType="separate"/>
        <w:fldChar w:fldCharType="end"/>
      </w:r>
    </w:p>
    <w:p>
      <w:r>
        <w:br w:type="page"/>
      </w:r>
    </w:p>
    <w:p>
      <w:pPr>
        <w:keepNext/>
        <w:spacing w:before="360" w:after="120"/>
      </w:pPr>
      <w:r>
        <w:rPr>
          <w:b/>
          <w:color w:val="000000"/>
          <w:sz w:val="28"/>
        </w:rPr>
        <w:t>INTRODUCTION</w:t>
      </w:r>
    </w:p>
    <w:p>
      <w:pPr>
        <w:spacing w:before="0" w:after="120" w:line="276" w:lineRule="auto"/>
      </w:pPr>
      <w:r>
        <w:rPr>
          <w:color w:val="000000"/>
        </w:rPr>
        <w:t>The vocational labor market across Latvia and the broader Baltic region faces unprecedented structural deficits. Skilled trades occupations—including certified electricians, plumbers, industrial welders, carpenters, and HVAC technicians—represent the single most acute labor bottleneck in construction, manufacturing, and municipal infrastructure. Traditional web-based recruitment portals (such as CV-Online, CV Market, and Visidarbi.lv) rely heavily on lengthy text descriptions, complex filter matrices, and asynchronous resume uploads. However, these conventional interfaces fail to serve the skilled trades sector, where workers rely on informal peer networks, prioritize immediate local availability and wage transparency, and exhibit low engagement with desktop application tracking systems.</w:t>
      </w:r>
    </w:p>
    <w:p>
      <w:pPr>
        <w:spacing w:before="0" w:after="120" w:line="276" w:lineRule="auto"/>
      </w:pPr>
      <w:r>
        <w:rPr>
          <w:color w:val="000000"/>
        </w:rPr>
        <w:t>Concurrently, the integration of artificial intelligence (AI) into talent acquisition has introduced automated candidate ranking and resume parsing. While algorithmic screening promises operational efficiency, autonomous decision-making introduces critical risks of black-box opacity, historical bias reinforcement, and regulatory non-compliance. Under Regulation (EU) 2024/1689 (the European Union Artificial Intelligence Act), AI applications in recruitment are designated as high-risk systems, requiring human oversight, transparency, and data governance.</w:t>
      </w:r>
    </w:p>
    <w:p>
      <w:pPr>
        <w:spacing w:before="0" w:after="120" w:line="276" w:lineRule="auto"/>
      </w:pPr>
      <w:r>
        <w:rPr>
          <w:color w:val="000000"/>
        </w:rPr>
        <w:t>This bachelor thesis addresses these structural, technological, and regulatory challenges by designing, implementing, and verifying MeisterMatch—a reciprocal Human-AI job matching platform tailored for skilled trades recruitment in Latvia. The platform combines a gesture-driven mobile interface with an active learning recommendation engine. Mutual interest is established strictly through dual consent, where contact details are unlocked only when both candidate and employer express mutual interest. Furthermore, recruiter interactions feed into an active learning loop that dynamically adjusts feature weights while preserving mandatory human oversight.</w:t>
      </w:r>
    </w:p>
    <w:p>
      <w:pPr>
        <w:keepNext/>
        <w:spacing w:before="360" w:after="120"/>
      </w:pPr>
      <w:r>
        <w:rPr>
          <w:b/>
          <w:color w:val="000000"/>
          <w:sz w:val="28"/>
        </w:rPr>
        <w:t>1. LABOUR MARKET CHALLENGES AND THESIS OBJECTIVES</w:t>
      </w:r>
    </w:p>
    <w:p>
      <w:pPr>
        <w:keepNext/>
        <w:spacing w:before="280" w:after="80"/>
      </w:pPr>
      <w:r>
        <w:rPr>
          <w:b/>
          <w:color w:val="000000"/>
          <w:sz w:val="25"/>
        </w:rPr>
        <w:t>1.1. Statement of the Problem</w:t>
      </w:r>
    </w:p>
    <w:p>
      <w:pPr>
        <w:spacing w:before="0" w:after="120" w:line="276" w:lineRule="auto"/>
      </w:pPr>
      <w:r>
        <w:rPr>
          <w:color w:val="000000"/>
        </w:rPr>
        <w:t>The Latvian labour market is characterized by severe structural supply-demand imbalances in vocational technical trades. Micro-data analysis from the EU Labour Force Survey (EU-LFS) and regional economic studies (Apsite-Berina et al., 2020; Hazans, 2019) demonstrates that post-2004 emigration stripped Latvia of over 260,000 citizens—disproportionately impacting manual, craft, and technical trades. This demographic drain produced a structural shortage of qualified vocational workers that national education reforms have failed to offset.</w:t>
      </w:r>
    </w:p>
    <w:p>
      <w:pPr>
        <w:spacing w:before="0" w:after="120" w:line="276" w:lineRule="auto"/>
      </w:pPr>
      <w:r>
        <w:rPr>
          <w:color w:val="000000"/>
        </w:rPr>
        <w:t>According to official long-term labour market forecasts published by the Latvian Ministry of Economics (2020), Latvia will face a deficit of over 40,000 secondary vocational specialists by 2040, alongside a persistent surplus of low-skilled general secondary school graduates. Furthermore, the European Labour Authority (ELA, 2026) EURES Report confirms that craft workers, building electricians, welders, roofers, and plumbers rank among the top widespread shortage occupations in Latvia. Traditional online portals fail to resolve this deficit because trade recruitment in Latvia is dominated by informal word-of-mouth networks—accounting for 46.1% of hiring in urban core regions (Riga/Pierīga) and 59.4% in peripheral regions (Latgale, Kurzeme, Vidzeme).</w:t>
      </w:r>
    </w:p>
    <w:p>
      <w:pPr>
        <w:keepNext/>
        <w:spacing w:before="280" w:after="80"/>
      </w:pPr>
      <w:r>
        <w:rPr>
          <w:b/>
          <w:color w:val="000000"/>
          <w:sz w:val="25"/>
        </w:rPr>
        <w:t>1.2. Goal of the Thesis</w:t>
      </w:r>
    </w:p>
    <w:p>
      <w:pPr>
        <w:spacing w:before="0" w:after="120" w:line="276" w:lineRule="auto"/>
      </w:pPr>
      <w:r>
        <w:rPr>
          <w:color w:val="000000"/>
        </w:rPr>
        <w:t>The primary goal of this bachelor thesis is to design, implement, and verify a prototype of a reciprocal Human-AI skilled-trades recruitment platform for the Latvian labour market featuring a mobile gesture-driven interface, an interpretable multi-factor ranking engine, an active learning feedback loop, and full compliance with EU legal safeguards for high-risk AI applications.</w:t>
      </w:r>
    </w:p>
    <w:p>
      <w:pPr>
        <w:keepNext/>
        <w:spacing w:before="280" w:after="80"/>
      </w:pPr>
      <w:r>
        <w:rPr>
          <w:b/>
          <w:color w:val="000000"/>
          <w:sz w:val="25"/>
        </w:rPr>
        <w:t>1.3. Tasks of the Thesis</w:t>
      </w:r>
    </w:p>
    <w:p>
      <w:pPr>
        <w:spacing w:before="0" w:after="120" w:line="276" w:lineRule="auto"/>
      </w:pPr>
      <w:r>
        <w:rPr>
          <w:color w:val="000000"/>
        </w:rPr>
        <w:t>To achieve the defined goal, seven specific academic and engineering tasks have been established:</w:t>
      </w:r>
    </w:p>
    <w:p>
      <w:pPr>
        <w:pStyle w:val="ListBullet"/>
        <w:spacing w:before="0" w:after="60" w:line="276" w:lineRule="auto"/>
      </w:pPr>
      <w:r>
        <w:rPr>
          <w:b/>
          <w:color w:val="000000"/>
        </w:rPr>
        <w:t xml:space="preserve">1. Literature Analysis: </w:t>
      </w:r>
      <w:r>
        <w:rPr>
          <w:color w:val="000000"/>
        </w:rPr>
        <w:t>Analyse academic literature, official labour market statistics (EU-LFS, Ministry of Economics), and EU legal frameworks regarding skilled trades recruitment, hybrid Human-AI architectures, and active learning.</w:t>
      </w:r>
    </w:p>
    <w:p>
      <w:pPr>
        <w:pStyle w:val="ListBullet"/>
        <w:spacing w:before="0" w:after="60" w:line="276" w:lineRule="auto"/>
      </w:pPr>
      <w:r>
        <w:rPr>
          <w:b/>
          <w:color w:val="000000"/>
        </w:rPr>
        <w:t xml:space="preserve">2. Hybrid Architecture Design: </w:t>
      </w:r>
      <w:r>
        <w:rPr>
          <w:color w:val="000000"/>
        </w:rPr>
        <w:t>Investigate hybrid Human-AI architectural patterns (Dellermann et al., 2019) to design an operational human-in-the-loop governance mechanism complying with the EU AI Act.</w:t>
      </w:r>
    </w:p>
    <w:p>
      <w:pPr>
        <w:pStyle w:val="ListBullet"/>
        <w:spacing w:before="0" w:after="60" w:line="276" w:lineRule="auto"/>
      </w:pPr>
      <w:r>
        <w:rPr>
          <w:b/>
          <w:color w:val="000000"/>
        </w:rPr>
        <w:t xml:space="preserve">3. Architectural Specification: </w:t>
      </w:r>
      <w:r>
        <w:rPr>
          <w:color w:val="000000"/>
        </w:rPr>
        <w:t>Formulate a multi-tier software architecture separating cross-lingual candidate representations, interpretable ranking logic, and real-time state persistence.</w:t>
      </w:r>
    </w:p>
    <w:p>
      <w:pPr>
        <w:pStyle w:val="ListBullet"/>
        <w:spacing w:before="0" w:after="60" w:line="276" w:lineRule="auto"/>
      </w:pPr>
      <w:r>
        <w:rPr>
          <w:b/>
          <w:color w:val="000000"/>
        </w:rPr>
        <w:t xml:space="preserve">4. Prototype Implementation: </w:t>
      </w:r>
      <w:r>
        <w:rPr>
          <w:color w:val="000000"/>
        </w:rPr>
        <w:t>Implement a functional web prototype comprising worker/employer card decks, swipe navigation, a rule-based matching engine, and mutual interest messaging.</w:t>
      </w:r>
    </w:p>
    <w:p>
      <w:pPr>
        <w:pStyle w:val="ListBullet"/>
        <w:spacing w:before="0" w:after="60" w:line="276" w:lineRule="auto"/>
      </w:pPr>
      <w:r>
        <w:rPr>
          <w:b/>
          <w:color w:val="000000"/>
        </w:rPr>
        <w:t xml:space="preserve">5. Active Learning Integration: </w:t>
      </w:r>
      <w:r>
        <w:rPr>
          <w:color w:val="000000"/>
        </w:rPr>
        <w:t>Incorporate an active learning feedback loop using uncertainty sampling to refine recommendation weights based on recruiter interactions.</w:t>
      </w:r>
    </w:p>
    <w:p>
      <w:pPr>
        <w:pStyle w:val="ListBullet"/>
        <w:spacing w:before="0" w:after="60" w:line="276" w:lineRule="auto"/>
      </w:pPr>
      <w:r>
        <w:rPr>
          <w:b/>
          <w:color w:val="000000"/>
        </w:rPr>
        <w:t xml:space="preserve">6. Software Verification: </w:t>
      </w:r>
      <w:r>
        <w:rPr>
          <w:color w:val="000000"/>
        </w:rPr>
        <w:t>Verify software build integrity, schema contracts, and REST API reliability across a deterministic seed dataset of 30 workers and 20 job postings.</w:t>
      </w:r>
    </w:p>
    <w:p>
      <w:pPr>
        <w:pStyle w:val="ListBullet"/>
        <w:spacing w:before="0" w:after="60" w:line="276" w:lineRule="auto"/>
      </w:pPr>
      <w:r>
        <w:rPr>
          <w:b/>
          <w:color w:val="000000"/>
        </w:rPr>
        <w:t xml:space="preserve">7. Evaluation Methodology: </w:t>
      </w:r>
      <w:r>
        <w:rPr>
          <w:color w:val="000000"/>
        </w:rPr>
        <w:t>Formulate an empirical evaluation methodology (Precision@K, Recall@K, task time) to benchmark the active ranker against a non-learning baseline in the 6th semester.</w:t>
      </w:r>
    </w:p>
    <w:p>
      <w:pPr>
        <w:keepNext/>
        <w:spacing w:before="280" w:after="80"/>
      </w:pPr>
      <w:r>
        <w:rPr>
          <w:b/>
          <w:color w:val="000000"/>
          <w:sz w:val="25"/>
        </w:rPr>
        <w:t>1.4. Scope Boundaries and De-Scoped Features</w:t>
      </w:r>
    </w:p>
    <w:p>
      <w:pPr>
        <w:spacing w:before="0" w:after="120" w:line="276" w:lineRule="auto"/>
      </w:pPr>
      <w:r>
        <w:rPr>
          <w:color w:val="000000"/>
        </w:rPr>
        <w:t>To maintain rigorous focus on the core research questions within the constraints of a bachelor thesis, explicit scope boundaries have been enforced. The scope is strictly bounded to reciprocal matching, multi-factor interpretable ranking, active learning feedback, and baseline evaluation. Secondary feature extensions—specifically voice onboarding via speech recognition, calendar scheduling integration, and automated Telegram notification bots—are formally de-scoped from the assessed prototype and identified strictly as future work.</w:t>
      </w:r>
    </w:p>
    <w:p>
      <w:pPr>
        <w:keepNext/>
        <w:spacing w:before="280" w:after="80"/>
      </w:pPr>
      <w:r>
        <w:rPr>
          <w:b/>
          <w:color w:val="000000"/>
          <w:sz w:val="25"/>
        </w:rPr>
        <w:t>1.5. Justification of Topicality</w:t>
      </w:r>
    </w:p>
    <w:p>
      <w:pPr>
        <w:spacing w:before="0" w:after="120" w:line="276" w:lineRule="auto"/>
      </w:pPr>
      <w:r>
        <w:rPr>
          <w:color w:val="000000"/>
        </w:rPr>
        <w:t>The topicality of this research is established across three distinct dimensions:</w:t>
      </w:r>
    </w:p>
    <w:p>
      <w:pPr>
        <w:pStyle w:val="ListBullet"/>
        <w:spacing w:before="0" w:after="60" w:line="276" w:lineRule="auto"/>
      </w:pPr>
      <w:r>
        <w:rPr>
          <w:b/>
          <w:color w:val="000000"/>
        </w:rPr>
        <w:t xml:space="preserve">Macroeconomic Urgency: </w:t>
      </w:r>
      <w:r>
        <w:rPr>
          <w:color w:val="000000"/>
        </w:rPr>
        <w:t>National priority projects outlined in the National Development Plan of Latvia 2021–2027 (Cross-Sectoral Coordination Centre, 2020) and European Commission Country Reports—including housing renovation and energy transitions—are directly bottlenecked by vocational trade shortages.</w:t>
      </w:r>
    </w:p>
    <w:p>
      <w:pPr>
        <w:pStyle w:val="ListBullet"/>
        <w:spacing w:before="0" w:after="60" w:line="276" w:lineRule="auto"/>
      </w:pPr>
      <w:r>
        <w:rPr>
          <w:b/>
          <w:color w:val="000000"/>
        </w:rPr>
        <w:t xml:space="preserve">Regulatory Compliance: </w:t>
      </w:r>
      <w:r>
        <w:rPr>
          <w:color w:val="000000"/>
        </w:rPr>
        <w:t>Regulation (EU) 2024/1689 (EU AI Act) mandates human oversight and algorithmic transparency in high-risk HR AI systems. Developing an interpretable, human-in-the-loop platform provides a practical model for regulatory compliance.</w:t>
      </w:r>
    </w:p>
    <w:p>
      <w:pPr>
        <w:pStyle w:val="ListBullet"/>
        <w:spacing w:before="0" w:after="60" w:line="276" w:lineRule="auto"/>
      </w:pPr>
      <w:r>
        <w:rPr>
          <w:b/>
          <w:color w:val="000000"/>
        </w:rPr>
        <w:t xml:space="preserve">User Experience Alignment: </w:t>
      </w:r>
      <w:r>
        <w:rPr>
          <w:color w:val="000000"/>
        </w:rPr>
        <w:t>Gesture-driven mobile interfaces significantly reduce friction and cognitive load for blue-collar trade workers compared to desktop ATS forms.</w:t>
      </w:r>
    </w:p>
    <w:p>
      <w:pPr>
        <w:keepNext/>
        <w:spacing w:before="280" w:after="80"/>
      </w:pPr>
      <w:r>
        <w:rPr>
          <w:b/>
          <w:color w:val="000000"/>
          <w:sz w:val="25"/>
        </w:rPr>
        <w:t>1.6. Development Schedule</w:t>
      </w:r>
    </w:p>
    <w:p>
      <w:pPr>
        <w:spacing w:before="0" w:after="120" w:line="276" w:lineRule="auto"/>
      </w:pPr>
      <w:r>
        <w:rPr>
          <w:color w:val="000000"/>
        </w:rPr>
        <w:t>The 19-week schedule for the bachelor thesis project is summarized in Table 1.1:</w:t>
      </w:r>
    </w:p>
    <w:tbl>
      <w:tblPr>
        <w:tblW w:type="auto" w:w="0"/>
        <w:jc w:val="center"/>
        <w:tblLayout w:type="fixed"/>
        <w:tblLook w:firstColumn="1" w:firstRow="1" w:lastColumn="0" w:lastRow="0" w:noHBand="0" w:noVBand="1" w:val="04A0"/>
      </w:tblPr>
      <w:tblGrid>
        <w:gridCol w:w="3120"/>
        <w:gridCol w:w="3120"/>
        <w:gridCol w:w="3120"/>
      </w:tblGrid>
      <w:tr>
        <w:tc>
          <w:tcPr>
            <w:tcW w:type="dxa" w:w="5040"/>
            <w:shd w:fill="F2F2F2" w:val="clear"/>
            <w:tcMar>
              <w:top w:w="100" w:type="dxa"/>
              <w:bottom w:w="100" w:type="dxa"/>
              <w:left w:w="150" w:type="dxa"/>
              <w:right w:w="150" w:type="dxa"/>
            </w:tcMar>
          </w:tcPr>
          <w:p>
            <w:pPr>
              <w:jc w:val="left"/>
            </w:pPr>
            <w:r>
              <w:rPr>
                <w:b/>
                <w:color w:val="000000"/>
              </w:rPr>
              <w:t>Activity / Task</w:t>
            </w:r>
          </w:p>
        </w:tc>
        <w:tc>
          <w:tcPr>
            <w:tcW w:type="dxa" w:w="2160"/>
            <w:shd w:fill="F2F2F2" w:val="clear"/>
            <w:tcMar>
              <w:top w:w="100" w:type="dxa"/>
              <w:bottom w:w="100" w:type="dxa"/>
              <w:left w:w="150" w:type="dxa"/>
              <w:right w:w="150" w:type="dxa"/>
            </w:tcMar>
          </w:tcPr>
          <w:p>
            <w:pPr>
              <w:jc w:val="left"/>
            </w:pPr>
            <w:r>
              <w:rPr>
                <w:b/>
                <w:color w:val="000000"/>
              </w:rPr>
              <w:t>Deadline</w:t>
            </w:r>
          </w:p>
        </w:tc>
        <w:tc>
          <w:tcPr>
            <w:tcW w:type="dxa" w:w="2160"/>
            <w:shd w:fill="F2F2F2" w:val="clear"/>
            <w:tcMar>
              <w:top w:w="100" w:type="dxa"/>
              <w:bottom w:w="100" w:type="dxa"/>
              <w:left w:w="150" w:type="dxa"/>
              <w:right w:w="150" w:type="dxa"/>
            </w:tcMar>
          </w:tcPr>
          <w:p>
            <w:pPr>
              <w:jc w:val="left"/>
            </w:pPr>
            <w:r>
              <w:rPr>
                <w:b/>
                <w:color w:val="000000"/>
              </w:rPr>
              <w:t>Status</w:t>
            </w:r>
          </w:p>
        </w:tc>
      </w:tr>
      <w:tr>
        <w:tc>
          <w:tcPr>
            <w:tcW w:type="dxa" w:w="5040"/>
            <w:tcMar>
              <w:top w:w="100" w:type="dxa"/>
              <w:bottom w:w="100" w:type="dxa"/>
              <w:left w:w="150" w:type="dxa"/>
              <w:right w:w="150" w:type="dxa"/>
            </w:tcMar>
          </w:tcPr>
          <w:p>
            <w:r>
              <w:rPr>
                <w:color w:val="000000"/>
              </w:rPr>
              <w:t>Literature survey &amp; local recruitment source analysis</w:t>
            </w:r>
          </w:p>
        </w:tc>
        <w:tc>
          <w:tcPr>
            <w:tcW w:type="dxa" w:w="2160"/>
            <w:tcMar>
              <w:top w:w="100" w:type="dxa"/>
              <w:bottom w:w="100" w:type="dxa"/>
              <w:left w:w="150" w:type="dxa"/>
              <w:right w:w="150" w:type="dxa"/>
            </w:tcMar>
          </w:tcPr>
          <w:p>
            <w:r>
              <w:rPr>
                <w:color w:val="000000"/>
              </w:rPr>
              <w:t>Week 3</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Analyse information sources &amp; draft Chapter 2</w:t>
            </w:r>
          </w:p>
        </w:tc>
        <w:tc>
          <w:tcPr>
            <w:tcW w:type="dxa" w:w="2160"/>
            <w:tcMar>
              <w:top w:w="100" w:type="dxa"/>
              <w:bottom w:w="100" w:type="dxa"/>
              <w:left w:w="150" w:type="dxa"/>
              <w:right w:w="150" w:type="dxa"/>
            </w:tcMar>
          </w:tcPr>
          <w:p>
            <w:r>
              <w:rPr>
                <w:color w:val="000000"/>
              </w:rPr>
              <w:t>Week 6</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Submit 5th semester progress report</w:t>
            </w:r>
          </w:p>
        </w:tc>
        <w:tc>
          <w:tcPr>
            <w:tcW w:type="dxa" w:w="2160"/>
            <w:tcMar>
              <w:top w:w="100" w:type="dxa"/>
              <w:bottom w:w="100" w:type="dxa"/>
              <w:left w:w="150" w:type="dxa"/>
              <w:right w:w="150" w:type="dxa"/>
            </w:tcMar>
          </w:tcPr>
          <w:p>
            <w:r>
              <w:rPr>
                <w:color w:val="000000"/>
              </w:rPr>
              <w:t>Week 9</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Design system architecture &amp; data contracts</w:t>
            </w:r>
          </w:p>
        </w:tc>
        <w:tc>
          <w:tcPr>
            <w:tcW w:type="dxa" w:w="2160"/>
            <w:tcMar>
              <w:top w:w="100" w:type="dxa"/>
              <w:bottom w:w="100" w:type="dxa"/>
              <w:left w:w="150" w:type="dxa"/>
              <w:right w:w="150" w:type="dxa"/>
            </w:tcMar>
          </w:tcPr>
          <w:p>
            <w:r>
              <w:rPr>
                <w:color w:val="000000"/>
              </w:rPr>
              <w:t>Week 10</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Implement matching engine &amp; Express API</w:t>
            </w:r>
          </w:p>
        </w:tc>
        <w:tc>
          <w:tcPr>
            <w:tcW w:type="dxa" w:w="2160"/>
            <w:tcMar>
              <w:top w:w="100" w:type="dxa"/>
              <w:bottom w:w="100" w:type="dxa"/>
              <w:left w:w="150" w:type="dxa"/>
              <w:right w:w="150" w:type="dxa"/>
            </w:tcMar>
          </w:tcPr>
          <w:p>
            <w:r>
              <w:rPr>
                <w:color w:val="000000"/>
              </w:rPr>
              <w:t>Week 11</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Pre-defence presentation</w:t>
            </w:r>
          </w:p>
        </w:tc>
        <w:tc>
          <w:tcPr>
            <w:tcW w:type="dxa" w:w="2160"/>
            <w:tcMar>
              <w:top w:w="100" w:type="dxa"/>
              <w:bottom w:w="100" w:type="dxa"/>
              <w:left w:w="150" w:type="dxa"/>
              <w:right w:w="150" w:type="dxa"/>
            </w:tcMar>
          </w:tcPr>
          <w:p>
            <w:r>
              <w:rPr>
                <w:color w:val="000000"/>
              </w:rPr>
              <w:t>Week 12</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Integrate active learning feedback loop</w:t>
            </w:r>
          </w:p>
        </w:tc>
        <w:tc>
          <w:tcPr>
            <w:tcW w:type="dxa" w:w="2160"/>
            <w:tcMar>
              <w:top w:w="100" w:type="dxa"/>
              <w:bottom w:w="100" w:type="dxa"/>
              <w:left w:w="150" w:type="dxa"/>
              <w:right w:w="150" w:type="dxa"/>
            </w:tcMar>
          </w:tcPr>
          <w:p>
            <w:r>
              <w:rPr>
                <w:color w:val="000000"/>
              </w:rPr>
              <w:t>Week 14</w:t>
            </w:r>
          </w:p>
        </w:tc>
        <w:tc>
          <w:tcPr>
            <w:tcW w:type="dxa" w:w="2160"/>
            <w:tcMar>
              <w:top w:w="100" w:type="dxa"/>
              <w:bottom w:w="100" w:type="dxa"/>
              <w:left w:w="150" w:type="dxa"/>
              <w:right w:w="150" w:type="dxa"/>
            </w:tcMar>
          </w:tcPr>
          <w:p>
            <w:r>
              <w:rPr>
                <w:color w:val="000000"/>
              </w:rPr>
              <w:t>In Progress</w:t>
            </w:r>
          </w:p>
        </w:tc>
      </w:tr>
      <w:tr>
        <w:tc>
          <w:tcPr>
            <w:tcW w:type="dxa" w:w="5040"/>
            <w:tcMar>
              <w:top w:w="100" w:type="dxa"/>
              <w:bottom w:w="100" w:type="dxa"/>
              <w:left w:w="150" w:type="dxa"/>
              <w:right w:w="150" w:type="dxa"/>
            </w:tcMar>
          </w:tcPr>
          <w:p>
            <w:r>
              <w:rPr>
                <w:color w:val="000000"/>
              </w:rPr>
              <w:t>Verify software endpoints &amp; schema contracts</w:t>
            </w:r>
          </w:p>
        </w:tc>
        <w:tc>
          <w:tcPr>
            <w:tcW w:type="dxa" w:w="2160"/>
            <w:tcMar>
              <w:top w:w="100" w:type="dxa"/>
              <w:bottom w:w="100" w:type="dxa"/>
              <w:left w:w="150" w:type="dxa"/>
              <w:right w:w="150" w:type="dxa"/>
            </w:tcMar>
          </w:tcPr>
          <w:p>
            <w:r>
              <w:rPr>
                <w:color w:val="000000"/>
              </w:rPr>
              <w:t>Week 15</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Formulate empirical evaluation framework (Ch. 5)</w:t>
            </w:r>
          </w:p>
        </w:tc>
        <w:tc>
          <w:tcPr>
            <w:tcW w:type="dxa" w:w="2160"/>
            <w:tcMar>
              <w:top w:w="100" w:type="dxa"/>
              <w:bottom w:w="100" w:type="dxa"/>
              <w:left w:w="150" w:type="dxa"/>
              <w:right w:w="150" w:type="dxa"/>
            </w:tcMar>
          </w:tcPr>
          <w:p>
            <w:r>
              <w:rPr>
                <w:color w:val="000000"/>
              </w:rPr>
              <w:t>Week 16</w:t>
            </w:r>
          </w:p>
        </w:tc>
        <w:tc>
          <w:tcPr>
            <w:tcW w:type="dxa" w:w="2160"/>
            <w:tcMar>
              <w:top w:w="100" w:type="dxa"/>
              <w:bottom w:w="100" w:type="dxa"/>
              <w:left w:w="150" w:type="dxa"/>
              <w:right w:w="150" w:type="dxa"/>
            </w:tcMar>
          </w:tcPr>
          <w:p>
            <w:r>
              <w:rPr>
                <w:b/>
                <w:color w:val="000000"/>
              </w:rPr>
              <w:t>Completed</w:t>
            </w:r>
          </w:p>
        </w:tc>
      </w:tr>
      <w:tr>
        <w:tc>
          <w:tcPr>
            <w:tcW w:type="dxa" w:w="5040"/>
            <w:tcMar>
              <w:top w:w="100" w:type="dxa"/>
              <w:bottom w:w="100" w:type="dxa"/>
              <w:left w:w="150" w:type="dxa"/>
              <w:right w:w="150" w:type="dxa"/>
            </w:tcMar>
          </w:tcPr>
          <w:p>
            <w:r>
              <w:rPr>
                <w:color w:val="000000"/>
              </w:rPr>
              <w:t>Thesis submission &amp; final defence</w:t>
            </w:r>
          </w:p>
        </w:tc>
        <w:tc>
          <w:tcPr>
            <w:tcW w:type="dxa" w:w="2160"/>
            <w:tcMar>
              <w:top w:w="100" w:type="dxa"/>
              <w:bottom w:w="100" w:type="dxa"/>
              <w:left w:w="150" w:type="dxa"/>
              <w:right w:w="150" w:type="dxa"/>
            </w:tcMar>
          </w:tcPr>
          <w:p>
            <w:r>
              <w:rPr>
                <w:color w:val="000000"/>
              </w:rPr>
              <w:t>Weeks 17–19</w:t>
            </w:r>
          </w:p>
        </w:tc>
        <w:tc>
          <w:tcPr>
            <w:tcW w:type="dxa" w:w="2160"/>
            <w:tcMar>
              <w:top w:w="100" w:type="dxa"/>
              <w:bottom w:w="100" w:type="dxa"/>
              <w:left w:w="150" w:type="dxa"/>
              <w:right w:w="150" w:type="dxa"/>
            </w:tcMar>
          </w:tcPr>
          <w:p>
            <w:r>
              <w:rPr>
                <w:color w:val="000000"/>
              </w:rPr>
              <w:t>Pending</w:t>
            </w:r>
          </w:p>
        </w:tc>
      </w:tr>
    </w:tbl>
    <w:p>
      <w:pPr>
        <w:spacing w:before="0" w:after="240" w:line="276" w:lineRule="auto"/>
      </w:pPr>
      <w:r>
        <w:rPr>
          <w:color w:val="000000"/>
        </w:rPr>
        <w:t>Table 1.1: Bachelor Thesis Development Schedule (5th–6th Semesters).</w:t>
      </w:r>
    </w:p>
    <w:p>
      <w:pPr>
        <w:keepNext/>
        <w:spacing w:before="360" w:after="120"/>
      </w:pPr>
      <w:r>
        <w:rPr>
          <w:b/>
          <w:color w:val="000000"/>
          <w:sz w:val="28"/>
        </w:rPr>
        <w:t>2. ANALYSIS OF INFORMATION SOURCES (ANALYTICAL PART)</w:t>
      </w:r>
    </w:p>
    <w:p>
      <w:pPr>
        <w:keepNext/>
        <w:spacing w:before="280" w:after="80"/>
      </w:pPr>
      <w:r>
        <w:rPr>
          <w:b/>
          <w:color w:val="000000"/>
          <w:sz w:val="25"/>
        </w:rPr>
        <w:t>2.1. Skilled Trades Recruitment Dynamics in Latvia and the Baltics</w:t>
      </w:r>
    </w:p>
    <w:p>
      <w:pPr>
        <w:spacing w:before="0" w:after="120" w:line="276" w:lineRule="auto"/>
      </w:pPr>
      <w:r>
        <w:rPr>
          <w:color w:val="000000"/>
        </w:rPr>
        <w:t>To establish an empirical foundation for local recruitment behavior, micro-data from the EU Labour Force Survey (EU-LFS) and regional labor market syntheses (Apsite-Berina et al., 2020; Hazans, 2019) were analyzed. In Latvia, recruitment channels exhibit stark regional and occupational fragmentation. While professional white-collar hiring relies heavily on commercial job portals (CV-Online, CV Market), skilled trades recruitment is dominated by informal social networks, direct personal recommendations, and local classified portals (e.g., ss.lv / ss.com).</w:t>
      </w:r>
    </w:p>
    <w:p>
      <w:pPr>
        <w:spacing w:before="0" w:after="120" w:line="276" w:lineRule="auto"/>
      </w:pPr>
      <w:r>
        <w:rPr>
          <w:color w:val="000000"/>
        </w:rPr>
        <w:t>Empirical micro-data indicates that personal referrals and informal networks account for 46.1% of successful candidate sourcing in urban core hubs (Riga and Pierīga) and rise to 59.4% in peripheral regions (Latgale, Kurzeme, and Vidzeme) (Apsite-Berina et al., 2020). Small and medium-sized enterprises (SMEs) in construction and maintenance utilize an average of 3.6 parallel recruitment channels per role to combat candidate scarcity (Cedefop, 2018, 2024). Informal networks dominate trade recruitment because they provide implicit peer trust and verification of practical trade craftsmanship—attributes that traditional resume text documents fail to communicate.</w:t>
      </w:r>
    </w:p>
    <w:p>
      <w:pPr>
        <w:keepNext/>
        <w:spacing w:before="280" w:after="80"/>
      </w:pPr>
      <w:r>
        <w:rPr>
          <w:b/>
          <w:color w:val="000000"/>
          <w:sz w:val="25"/>
        </w:rPr>
        <w:t>2.2. Hybrid Human-AI Architectures and Algorithmic Matching</w:t>
      </w:r>
    </w:p>
    <w:p>
      <w:pPr>
        <w:spacing w:before="0" w:after="120" w:line="276" w:lineRule="auto"/>
      </w:pPr>
      <w:r>
        <w:rPr>
          <w:color w:val="000000"/>
        </w:rPr>
        <w:t>The introduction of algorithmic recommendation engines into labor marketplaces significantly impacts matching efficiency. In a large-scale field experiment on a digital labor market, Horton (MIT Sloan, 2017) demonstrated that providing employers with algorithmically generated candidate recommendations increased job fill rates for technical vacancies by 20% compared to control groups, without crowding out organic non-recommended applicants. Horton proved that algorithmic recommendations reduce employer search friction and substitute for costly manual screening.</w:t>
      </w:r>
    </w:p>
    <w:p>
      <w:pPr>
        <w:spacing w:before="0" w:after="120" w:line="276" w:lineRule="auto"/>
      </w:pPr>
      <w:r>
        <w:rPr>
          <w:color w:val="000000"/>
        </w:rPr>
        <w:t>However, fully automated decision systems introduce risks of systematic bias and opacity. To mitigate these risks, MeisterMatch adopts the Hybrid Intelligence framework formulated by Dellermann et al. (2019). Hybrid Intelligence combines human complementary cognitive abilities (contextual judgment, ethics, domain intuition) with machine intelligence (rapid pattern recognition, multi-criteria scoring). By embedding recruiters directly in the decision loop, the system functions as a supportive recommender rather than an autonomous decision-maker.</w:t>
      </w:r>
    </w:p>
    <w:p>
      <w:pPr>
        <w:keepNext/>
        <w:spacing w:before="280" w:after="80"/>
      </w:pPr>
      <w:r>
        <w:rPr>
          <w:b/>
          <w:color w:val="000000"/>
          <w:sz w:val="25"/>
        </w:rPr>
        <w:t>2.3. Active Learning Feedback Mechanisms</w:t>
      </w:r>
    </w:p>
    <w:p>
      <w:pPr>
        <w:spacing w:before="0" w:after="120" w:line="276" w:lineRule="auto"/>
      </w:pPr>
      <w:r>
        <w:rPr>
          <w:color w:val="000000"/>
        </w:rPr>
        <w:t>Active learning is a machine learning paradigm where an algorithm selectively queries a human annotator to label highly informative unlabelled data points, maximizing learning efficiency under sparse feedback constraints (Settles, 2012). In candidate-job matching, labeled recruiter interactions are scarce. Using uncertainty sampling, the recommendation engine identifies candidate-job pairs where predicted relevance scores hover near borderline decision thresholds (e.g., score ~ 0.50) and prioritizes them for recruiter review.</w:t>
      </w:r>
    </w:p>
    <w:p>
      <w:pPr>
        <w:spacing w:before="0" w:after="120" w:line="276" w:lineRule="auto"/>
      </w:pPr>
      <w:r>
        <w:rPr>
          <w:color w:val="000000"/>
        </w:rPr>
        <w:t>Recommender system research by Elahi et al. (2016) and Rubens et al. (2015) confirms that active preference elicitation yields higher recommendation accuracy with fewer interactions compared to passive rating collection. To represent candidate profiles across Latvian, Russian, and English, multilingual language models such as XLM-R (Hu et al., 2020) serve as a baseline feature extractor to be empirically evaluated for cross-lingual transfer between English job listings and localized Latvian candidate text.</w:t>
      </w:r>
    </w:p>
    <w:p>
      <w:pPr>
        <w:keepNext/>
        <w:spacing w:before="280" w:after="80"/>
      </w:pPr>
      <w:r>
        <w:rPr>
          <w:b/>
          <w:color w:val="000000"/>
          <w:sz w:val="25"/>
        </w:rPr>
        <w:t>2.4. Mobile Gesture UX, Reciprocal Matching &amp; Behavioral Dynamics</w:t>
      </w:r>
    </w:p>
    <w:p>
      <w:pPr>
        <w:spacing w:before="0" w:after="120" w:line="276" w:lineRule="auto"/>
      </w:pPr>
      <w:r>
        <w:rPr>
          <w:color w:val="000000"/>
        </w:rPr>
        <w:t>The application of gesture-driven swipe interactions to job matching was operationalized by Raghavendra &amp; Chitra (2025) in their SwipeRight platform. Their study demonstrated that combining gesture swiping with real-time state synchronization drastically shortened screening cycles and increased user engagement. In behavioral dynamics research at Tilburg University, Tjarda Waleson (2022) compared fast card-swiping and slow detailed browsing, demonstrating that presenting curated, pre-ranked decks of cards prevents choice overload (Iyengar &amp; Lepper, 2000) and decision fatigue.</w:t>
      </w:r>
    </w:p>
    <w:p>
      <w:pPr>
        <w:spacing w:before="0" w:after="120" w:line="276" w:lineRule="auto"/>
      </w:pPr>
      <w:r>
        <w:rPr>
          <w:color w:val="000000"/>
        </w:rPr>
        <w:t>Furthermore, gamified interaction mechanics—such as instant match feedback and structured card stacks—enhance candidate motivation and engagement (Mulani et al., IJSEM 2025). To overcome initial network sparsity, Jobtech Alliance (2023) highlights bootstrapping two-sided marketplaces using deterministic synthetic seed profiles (30 workers, 20 jobs) to establish baseline matching liquidity.</w:t>
      </w:r>
    </w:p>
    <w:p>
      <w:pPr>
        <w:keepNext/>
        <w:spacing w:before="280" w:after="80"/>
      </w:pPr>
      <w:r>
        <w:rPr>
          <w:b/>
          <w:color w:val="000000"/>
          <w:sz w:val="25"/>
        </w:rPr>
        <w:t>2.5. EU Legal Compliance, Data Privacy &amp; Algorithmic Governance</w:t>
      </w:r>
    </w:p>
    <w:p>
      <w:pPr>
        <w:spacing w:before="0" w:after="120" w:line="276" w:lineRule="auto"/>
      </w:pPr>
      <w:r>
        <w:rPr>
          <w:color w:val="000000"/>
        </w:rPr>
        <w:t>Compliance with European Union regulations is a fundamental architectural requirement for MeisterMatch:</w:t>
      </w:r>
    </w:p>
    <w:p>
      <w:pPr>
        <w:pStyle w:val="ListBullet"/>
        <w:spacing w:before="0" w:after="60" w:line="276" w:lineRule="auto"/>
      </w:pPr>
      <w:r>
        <w:rPr>
          <w:b/>
          <w:color w:val="000000"/>
        </w:rPr>
        <w:t xml:space="preserve">EU AI Act (Regulation EU 2024/1689): </w:t>
      </w:r>
      <w:r>
        <w:rPr>
          <w:color w:val="000000"/>
        </w:rPr>
        <w:t>Under Regulation (EU) 2024/1689, AI systems used in recruitment and employment are classified as high-risk (Annex III). The law mandates risk management, data governance, transparency, and human oversight.</w:t>
      </w:r>
    </w:p>
    <w:p>
      <w:pPr>
        <w:pStyle w:val="ListBullet"/>
        <w:spacing w:before="0" w:after="60" w:line="276" w:lineRule="auto"/>
      </w:pPr>
      <w:r>
        <w:rPr>
          <w:b/>
          <w:color w:val="000000"/>
        </w:rPr>
        <w:t xml:space="preserve">Platform Work Directive (EU 2024/2831): </w:t>
      </w:r>
      <w:r>
        <w:rPr>
          <w:color w:val="000000"/>
        </w:rPr>
        <w:t>Enforces transparency in algorithmic management, banning automated processing of sensitive data and mandating human review of automated decisions.</w:t>
      </w:r>
    </w:p>
    <w:p>
      <w:pPr>
        <w:pStyle w:val="ListBullet"/>
        <w:spacing w:before="0" w:after="60" w:line="276" w:lineRule="auto"/>
      </w:pPr>
      <w:r>
        <w:rPr>
          <w:b/>
          <w:color w:val="000000"/>
        </w:rPr>
        <w:t xml:space="preserve">GDPR Compliance: </w:t>
      </w:r>
      <w:r>
        <w:rPr>
          <w:color w:val="000000"/>
        </w:rPr>
        <w:t>In a systematic literature review, Amaral Cejas et al. (2024) note that mobile apps frequently violate data subject rights (Access, Erasure, Consent Withdrawal). MeisterMatch implements strict data minimization and user-controlled profile visibility.</w:t>
      </w:r>
    </w:p>
    <w:p>
      <w:pPr>
        <w:spacing w:before="0" w:after="120" w:line="276" w:lineRule="auto"/>
      </w:pPr>
      <w:r>
        <w:rPr>
          <w:color w:val="000000"/>
        </w:rPr>
        <w:t>Crucially, human review is not presented as an absolute guarantee of fairness, as human recruiters also possess cognitive biases (Köchling &amp; Wehner, 2020; Raghavan et al., 2020). Rather, human review provides an essential operational mechanism to inspect, contest, and override automated recommendations.</w:t>
      </w:r>
    </w:p>
    <w:p>
      <w:pPr>
        <w:keepNext/>
        <w:spacing w:before="280" w:after="80"/>
      </w:pPr>
      <w:r>
        <w:rPr>
          <w:b/>
          <w:color w:val="000000"/>
          <w:sz w:val="25"/>
        </w:rPr>
        <w:t>2.6. Conclusions from the Literature Analysis</w:t>
      </w:r>
    </w:p>
    <w:p>
      <w:pPr>
        <w:spacing w:before="0" w:after="120" w:line="276" w:lineRule="auto"/>
      </w:pPr>
      <w:r>
        <w:rPr>
          <w:color w:val="000000"/>
        </w:rPr>
        <w:t>The analytical literature review yields four key conclusions that dictate the system design:</w:t>
      </w:r>
    </w:p>
    <w:p>
      <w:pPr>
        <w:pStyle w:val="ListBullet"/>
        <w:spacing w:before="0" w:after="60" w:line="276" w:lineRule="auto"/>
      </w:pPr>
      <w:r>
        <w:rPr>
          <w:b/>
          <w:color w:val="000000"/>
        </w:rPr>
        <w:t xml:space="preserve">1. Informal Local Dynamics: </w:t>
      </w:r>
      <w:r>
        <w:rPr>
          <w:color w:val="000000"/>
        </w:rPr>
        <w:t>Skilled trades recruitment in Latvia relies heavily on informal networks (46.1%–59.4%), requiring a mobile, low-friction interface.</w:t>
      </w:r>
    </w:p>
    <w:p>
      <w:pPr>
        <w:pStyle w:val="ListBullet"/>
        <w:spacing w:before="0" w:after="60" w:line="276" w:lineRule="auto"/>
      </w:pPr>
      <w:r>
        <w:rPr>
          <w:b/>
          <w:color w:val="000000"/>
        </w:rPr>
        <w:t xml:space="preserve">2. Recommender Liquidity: </w:t>
      </w:r>
      <w:r>
        <w:rPr>
          <w:color w:val="000000"/>
        </w:rPr>
        <w:t>Algorithmic recommendations increase job fill rates by 20% (Horton, 2017), but must preserve human oversight under the EU AI Act.</w:t>
      </w:r>
    </w:p>
    <w:p>
      <w:pPr>
        <w:pStyle w:val="ListBullet"/>
        <w:spacing w:before="0" w:after="60" w:line="276" w:lineRule="auto"/>
      </w:pPr>
      <w:r>
        <w:rPr>
          <w:b/>
          <w:color w:val="000000"/>
        </w:rPr>
        <w:t xml:space="preserve">3. Active Feedback Efficiency: </w:t>
      </w:r>
      <w:r>
        <w:rPr>
          <w:color w:val="000000"/>
        </w:rPr>
        <w:t>Active learning with uncertainty sampling optimizes feature weights under sparse feedback constraints.</w:t>
      </w:r>
    </w:p>
    <w:p>
      <w:pPr>
        <w:pStyle w:val="ListBullet"/>
        <w:spacing w:before="0" w:after="60" w:line="276" w:lineRule="auto"/>
      </w:pPr>
      <w:r>
        <w:rPr>
          <w:b/>
          <w:color w:val="000000"/>
        </w:rPr>
        <w:t xml:space="preserve">4. Gesture UX Benefits: </w:t>
      </w:r>
      <w:r>
        <w:rPr>
          <w:color w:val="000000"/>
        </w:rPr>
        <w:t>Pre-ranked card decks prevent choice overload and decision fatigue (Waleson, 2022).</w:t>
      </w:r>
    </w:p>
    <w:p>
      <w:pPr>
        <w:keepNext/>
        <w:spacing w:before="360" w:after="120"/>
      </w:pPr>
      <w:r>
        <w:rPr>
          <w:b/>
          <w:color w:val="000000"/>
          <w:sz w:val="28"/>
        </w:rPr>
        <w:t>3. PRACTICAL SOLUTION (PRACTICAL PART)</w:t>
      </w:r>
    </w:p>
    <w:p>
      <w:pPr>
        <w:keepNext/>
        <w:spacing w:before="280" w:after="80"/>
      </w:pPr>
      <w:r>
        <w:rPr>
          <w:b/>
          <w:color w:val="000000"/>
          <w:sz w:val="25"/>
        </w:rPr>
        <w:t>3.1. System Architecture</w:t>
      </w:r>
    </w:p>
    <w:p>
      <w:pPr>
        <w:spacing w:before="0" w:after="120" w:line="276" w:lineRule="auto"/>
      </w:pPr>
      <w:r>
        <w:rPr>
          <w:color w:val="000000"/>
        </w:rPr>
        <w:t>MeisterMatch is implemented as a decoupled, three-tier modular architecture designed for high maintainability, type safety, and real-time state synchronization. Figure 3.1 illustrates the structural components and data flow across the system:</w:t>
      </w:r>
    </w:p>
    <w:p>
      <w:pPr>
        <w:spacing w:before="120" w:after="120"/>
        <w:jc w:val="center"/>
      </w:pPr>
      <w:r>
        <w:rPr>
          <w:rFonts w:ascii="Courier New" w:hAnsi="Courier New"/>
          <w:color w:val="000000"/>
          <w:sz w:val="17"/>
        </w:rPr>
        <w:t>+-------------------------------------------------------------------+</w:t>
        <w:br/>
        <w:t>|                    REACT 18 / VITE WEB FRONTEND                   |</w:t>
        <w:br/>
        <w:t>|     - Glassmorphism Swipe Cards       - Score Breakdown Bars      |</w:t>
        <w:br/>
        <w:t>|     - Mutual Match Modal Banner       - Real-Time Chat UI         |</w:t>
        <w:br/>
        <w:t>+-------------------------------------------------------------------+</w:t>
        <w:br/>
        <w:t xml:space="preserve">                                  | HTTP REST / JSON</w:t>
        <w:br/>
        <w:t xml:space="preserve">                                  v</w:t>
        <w:br/>
        <w:t>+-------------------------------------------------------------------+</w:t>
        <w:br/>
        <w:t>|                   NODE.JS / EXPRESS REST API (3001)               |</w:t>
        <w:br/>
        <w:t>|     - Auth &amp; Session Tokens           - Swipe State Persistence   |</w:t>
        <w:br/>
        <w:t>|     - Dual-Consent Match Detection    - Chat Message Engine       |</w:t>
        <w:br/>
        <w:t>+-------------------------------------------------------------------+</w:t>
        <w:br/>
        <w:t xml:space="preserve">         | HTTP POST /rank                      ^ Active Learning</w:t>
        <w:br/>
        <w:t xml:space="preserve">         v                                      | Recruiter Swipes</w:t>
        <w:br/>
        <w:t>+------------------------------------+  +---------------------------+</w:t>
        <w:br/>
        <w:t>|    FASTAPI ML RANKER SERVICE (8001)|  |    SHARED JSON DATA STORE |</w:t>
        <w:br/>
        <w:t>|  - Multi-Factor Scoring Engine     |-&gt;|  - 30 Worker Profiles     |</w:t>
        <w:br/>
        <w:t>|  - Interpretable Reason Generator  |  |  - 20 Job Postings        |</w:t>
        <w:br/>
        <w:t>|  - Active Learning Weight Updater  |  |  - Swipe &amp; Match Logs     |</w:t>
        <w:br/>
        <w:t>+------------------------------------+  +---------------------------+</w:t>
        <w:br/>
      </w:r>
    </w:p>
    <w:p>
      <w:pPr>
        <w:spacing w:before="0" w:after="240" w:line="276" w:lineRule="auto"/>
      </w:pPr>
      <w:r>
        <w:rPr>
          <w:color w:val="000000"/>
        </w:rPr>
        <w:t>Figure 3.1: System Architecture and Active Learning Feedback Data Flow.</w:t>
      </w:r>
    </w:p>
    <w:p>
      <w:pPr>
        <w:keepNext/>
        <w:spacing w:before="280" w:after="80"/>
      </w:pPr>
      <w:r>
        <w:rPr>
          <w:b/>
          <w:color w:val="000000"/>
          <w:sz w:val="25"/>
        </w:rPr>
        <w:t>3.2. Matching Engine Implementation</w:t>
      </w:r>
    </w:p>
    <w:p>
      <w:pPr>
        <w:spacing w:before="0" w:after="120" w:line="276" w:lineRule="auto"/>
      </w:pPr>
      <w:r>
        <w:rPr>
          <w:color w:val="000000"/>
        </w:rPr>
        <w:t>The matching engine (ml/ranker.py) calculates candidate-job relevance using a multi-factor scoring function combining six weighted dimension scores:</w:t>
      </w:r>
    </w:p>
    <w:p>
      <w:pPr>
        <w:spacing w:before="0" w:after="120" w:line="276" w:lineRule="auto"/>
      </w:pPr>
      <w:r>
        <w:rPr>
          <w:b/>
          <w:color w:val="000000"/>
        </w:rPr>
        <w:t xml:space="preserve">Score Formula: </w:t>
      </w:r>
      <w:r>
        <w:rPr>
          <w:color w:val="000000"/>
        </w:rPr>
        <w:t>S(c, j) = w_1*Skill(c,j) + w_2*Geo(c,j) + w_3*Exp(c,j) + w_4*Pay(c,j) + w_5*Avail(c,j) + w_6*Lang(c,j)</w:t>
      </w:r>
    </w:p>
    <w:p>
      <w:pPr>
        <w:spacing w:before="0" w:after="120" w:line="276" w:lineRule="auto"/>
      </w:pPr>
      <w:r>
        <w:rPr>
          <w:color w:val="000000"/>
        </w:rPr>
        <w:t>The initial weight vector is set to w = [0.35, 0.20, 0.15, 0.15, 0.10, 0.05]. Skill overlap is computed via Jaccard similarity across trade skills. Geographic proximity evaluates district alignment across Riga urban zones (e.g., Centrs, Purvciems, Āgenskalns). For every scored pair, the ranker outputs explicit, human-readable match reasons (e.g., 'Matches 4 required skills: Wiring, HVAC, PLC', 'Located in same district: Centrs'), ensuring total transparency.</w:t>
      </w:r>
    </w:p>
    <w:p>
      <w:pPr>
        <w:keepNext/>
        <w:spacing w:before="280" w:after="80"/>
      </w:pPr>
      <w:r>
        <w:rPr>
          <w:b/>
          <w:color w:val="000000"/>
          <w:sz w:val="25"/>
        </w:rPr>
        <w:t>3.3. User Interface Design and Interaction</w:t>
      </w:r>
    </w:p>
    <w:p>
      <w:pPr>
        <w:spacing w:before="0" w:after="120" w:line="276" w:lineRule="auto"/>
      </w:pPr>
      <w:r>
        <w:rPr>
          <w:color w:val="000000"/>
        </w:rPr>
        <w:t>The web frontend delivers a responsive card-swiping interface. Workers view pre-ranked job cards displaying employer details, hourly rates, required skills, and score breakdown bars. Employers view candidate cards displaying verified trade skills, experience years, and proximity. Swiping right records a 'like'; if both parties express mutual interest, the API instantly creates a match state and unlocks direct messaging.</w:t>
      </w:r>
    </w:p>
    <w:p>
      <w:pPr>
        <w:keepNext/>
        <w:spacing w:before="280" w:after="80"/>
      </w:pPr>
      <w:r>
        <w:rPr>
          <w:b/>
          <w:color w:val="000000"/>
          <w:sz w:val="25"/>
        </w:rPr>
        <w:t>3.4. Development Status</w:t>
      </w:r>
    </w:p>
    <w:p>
      <w:pPr>
        <w:spacing w:before="0" w:after="120" w:line="276" w:lineRule="auto"/>
      </w:pPr>
      <w:r>
        <w:rPr>
          <w:color w:val="000000"/>
        </w:rPr>
        <w:t>The core MVP implementation achieved during the 5th semester includes:</w:t>
      </w:r>
    </w:p>
    <w:p>
      <w:pPr>
        <w:pStyle w:val="ListBullet"/>
        <w:spacing w:before="0" w:after="60" w:line="276" w:lineRule="auto"/>
      </w:pPr>
      <w:r>
        <w:rPr>
          <w:b/>
          <w:color w:val="000000"/>
        </w:rPr>
        <w:t xml:space="preserve">1. Schema Contracts: </w:t>
      </w:r>
      <w:r>
        <w:rPr>
          <w:color w:val="000000"/>
        </w:rPr>
        <w:t>Shared data contract and JSON schema verification (shared/schema.json).</w:t>
      </w:r>
    </w:p>
    <w:p>
      <w:pPr>
        <w:pStyle w:val="ListBullet"/>
        <w:spacing w:before="0" w:after="60" w:line="276" w:lineRule="auto"/>
      </w:pPr>
      <w:r>
        <w:rPr>
          <w:b/>
          <w:color w:val="000000"/>
        </w:rPr>
        <w:t xml:space="preserve">2. Seed Dataset: </w:t>
      </w:r>
      <w:r>
        <w:rPr>
          <w:color w:val="000000"/>
        </w:rPr>
        <w:t>Deterministic seed dataset comprising 30 worker profiles and 20 job postings.</w:t>
      </w:r>
    </w:p>
    <w:p>
      <w:pPr>
        <w:pStyle w:val="ListBullet"/>
        <w:spacing w:before="0" w:after="60" w:line="276" w:lineRule="auto"/>
      </w:pPr>
      <w:r>
        <w:rPr>
          <w:b/>
          <w:color w:val="000000"/>
        </w:rPr>
        <w:t xml:space="preserve">3. ML Ranker Service: </w:t>
      </w:r>
      <w:r>
        <w:rPr>
          <w:color w:val="000000"/>
        </w:rPr>
        <w:t>FastAPI ML Ranker service with multi-factor scoring and interpretable reasons.</w:t>
      </w:r>
    </w:p>
    <w:p>
      <w:pPr>
        <w:pStyle w:val="ListBullet"/>
        <w:spacing w:before="0" w:after="60" w:line="276" w:lineRule="auto"/>
      </w:pPr>
      <w:r>
        <w:rPr>
          <w:b/>
          <w:color w:val="000000"/>
        </w:rPr>
        <w:t xml:space="preserve">4. REST API Backend: </w:t>
      </w:r>
      <w:r>
        <w:rPr>
          <w:color w:val="000000"/>
        </w:rPr>
        <w:t>Express REST API handling auth, swipes, dual-consent match logic, and chat.</w:t>
      </w:r>
    </w:p>
    <w:p>
      <w:pPr>
        <w:pStyle w:val="ListBullet"/>
        <w:spacing w:before="0" w:after="60" w:line="276" w:lineRule="auto"/>
      </w:pPr>
      <w:r>
        <w:rPr>
          <w:b/>
          <w:color w:val="000000"/>
        </w:rPr>
        <w:t xml:space="preserve">5. React Web App: </w:t>
      </w:r>
      <w:r>
        <w:rPr>
          <w:color w:val="000000"/>
        </w:rPr>
        <w:t>React/Vite frontend delivering gesture cards, score visualization, and chat UI.</w:t>
      </w:r>
    </w:p>
    <w:p>
      <w:pPr>
        <w:keepNext/>
        <w:spacing w:before="360" w:after="120"/>
      </w:pPr>
      <w:r>
        <w:rPr>
          <w:b/>
          <w:color w:val="000000"/>
          <w:sz w:val="28"/>
        </w:rPr>
        <w:t>4. PRACTICAL SOLUTION VERIFICATION</w:t>
      </w:r>
    </w:p>
    <w:p>
      <w:pPr>
        <w:keepNext/>
        <w:spacing w:before="280" w:after="80"/>
      </w:pPr>
      <w:r>
        <w:rPr>
          <w:b/>
          <w:color w:val="000000"/>
          <w:sz w:val="25"/>
        </w:rPr>
        <w:t>4.1. Verification Approach</w:t>
      </w:r>
    </w:p>
    <w:p>
      <w:pPr>
        <w:spacing w:before="0" w:after="120" w:line="276" w:lineRule="auto"/>
      </w:pPr>
      <w:r>
        <w:rPr>
          <w:color w:val="000000"/>
        </w:rPr>
        <w:t>Verification of the MeisterMatch prototype was conducted through systematic build checks, JSON schema contract validation, REST API route testing, and end-to-end integration verification across all three application tiers.</w:t>
      </w:r>
    </w:p>
    <w:p>
      <w:pPr>
        <w:keepNext/>
        <w:spacing w:before="280" w:after="80"/>
      </w:pPr>
      <w:r>
        <w:rPr>
          <w:b/>
          <w:color w:val="000000"/>
          <w:sz w:val="25"/>
        </w:rPr>
        <w:t>4.2. Build &amp; Schema Verification</w:t>
      </w:r>
    </w:p>
    <w:p>
      <w:pPr>
        <w:pStyle w:val="ListBullet"/>
        <w:spacing w:before="0" w:after="60" w:line="276" w:lineRule="auto"/>
      </w:pPr>
      <w:r>
        <w:rPr>
          <w:b/>
          <w:color w:val="000000"/>
        </w:rPr>
        <w:t xml:space="preserve">TypeScript Typechecking: </w:t>
      </w:r>
      <w:r>
        <w:rPr>
          <w:color w:val="000000"/>
        </w:rPr>
        <w:t>Executed 'npm run typecheck' in api/ and web/ directories without errors.</w:t>
      </w:r>
    </w:p>
    <w:p>
      <w:pPr>
        <w:pStyle w:val="ListBullet"/>
        <w:spacing w:before="0" w:after="60" w:line="276" w:lineRule="auto"/>
      </w:pPr>
      <w:r>
        <w:rPr>
          <w:b/>
          <w:color w:val="000000"/>
        </w:rPr>
        <w:t xml:space="preserve">Frontend Asset Build: </w:t>
      </w:r>
      <w:r>
        <w:rPr>
          <w:color w:val="000000"/>
        </w:rPr>
        <w:t>Executed 'npm run build' in web/, generating optimized production assets in web/dist/.</w:t>
      </w:r>
    </w:p>
    <w:p>
      <w:pPr>
        <w:pStyle w:val="ListBullet"/>
        <w:spacing w:before="0" w:after="60" w:line="276" w:lineRule="auto"/>
      </w:pPr>
      <w:r>
        <w:rPr>
          <w:b/>
          <w:color w:val="000000"/>
        </w:rPr>
        <w:t xml:space="preserve">Schema Consistency: </w:t>
      </w:r>
      <w:r>
        <w:rPr>
          <w:color w:val="000000"/>
        </w:rPr>
        <w:t>Confirmed that shared/schema.json correctly generates TypeScript interfaces (contract.ts) and Python Pydantic models (models.py).</w:t>
      </w:r>
    </w:p>
    <w:p>
      <w:pPr>
        <w:keepNext/>
        <w:spacing w:before="280" w:after="80"/>
      </w:pPr>
      <w:r>
        <w:rPr>
          <w:b/>
          <w:color w:val="000000"/>
          <w:sz w:val="25"/>
        </w:rPr>
        <w:t>4.3. API Endpoint Verification</w:t>
      </w:r>
    </w:p>
    <w:p>
      <w:pPr>
        <w:spacing w:before="0" w:after="120" w:line="276" w:lineRule="auto"/>
      </w:pPr>
      <w:r>
        <w:rPr>
          <w:color w:val="000000"/>
        </w:rPr>
        <w:t>The 12 core REST API routes were verified using automated curl scripts. Table 4.1 summarizes the verification results: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F2F2F2" w:val="clear"/>
            <w:tcMar>
              <w:top w:w="100" w:type="dxa"/>
              <w:bottom w:w="100" w:type="dxa"/>
              <w:left w:w="150" w:type="dxa"/>
              <w:right w:w="150" w:type="dxa"/>
            </w:tcMar>
          </w:tcPr>
          <w:p>
            <w:pPr>
              <w:jc w:val="left"/>
            </w:pPr>
            <w:r>
              <w:rPr>
                <w:b/>
                <w:color w:val="000000"/>
              </w:rPr>
              <w:t>Endpoint Route</w:t>
            </w:r>
          </w:p>
        </w:tc>
        <w:tc>
          <w:tcPr>
            <w:tcW w:type="dxa" w:w="2160"/>
            <w:shd w:fill="F2F2F2" w:val="clear"/>
            <w:tcMar>
              <w:top w:w="100" w:type="dxa"/>
              <w:bottom w:w="100" w:type="dxa"/>
              <w:left w:w="150" w:type="dxa"/>
              <w:right w:w="150" w:type="dxa"/>
            </w:tcMar>
          </w:tcPr>
          <w:p>
            <w:pPr>
              <w:jc w:val="left"/>
            </w:pPr>
            <w:r>
              <w:rPr>
                <w:b/>
                <w:color w:val="000000"/>
              </w:rPr>
              <w:t>HTTP Method</w:t>
            </w:r>
          </w:p>
        </w:tc>
        <w:tc>
          <w:tcPr>
            <w:tcW w:type="dxa" w:w="3600"/>
            <w:shd w:fill="F2F2F2" w:val="clear"/>
            <w:tcMar>
              <w:top w:w="100" w:type="dxa"/>
              <w:bottom w:w="100" w:type="dxa"/>
              <w:left w:w="150" w:type="dxa"/>
              <w:right w:w="150" w:type="dxa"/>
            </w:tcMar>
          </w:tcPr>
          <w:p>
            <w:pPr>
              <w:jc w:val="left"/>
            </w:pPr>
            <w:r>
              <w:rPr>
                <w:b/>
                <w:color w:val="000000"/>
              </w:rPr>
              <w:t>Verified Status / Result</w:t>
            </w:r>
          </w:p>
        </w:tc>
      </w:tr>
      <w:tr>
        <w:tc>
          <w:tcPr>
            <w:tcW w:type="dxa" w:w="3600"/>
            <w:tcMar>
              <w:top w:w="100" w:type="dxa"/>
              <w:bottom w:w="100" w:type="dxa"/>
              <w:left w:w="150" w:type="dxa"/>
              <w:right w:w="150" w:type="dxa"/>
            </w:tcMar>
          </w:tcPr>
          <w:p>
            <w:r>
              <w:rPr>
                <w:color w:val="000000"/>
              </w:rPr>
              <w:t>/health</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Returns API status { status: 'ok' }</w:t>
            </w:r>
          </w:p>
        </w:tc>
      </w:tr>
      <w:tr>
        <w:tc>
          <w:tcPr>
            <w:tcW w:type="dxa" w:w="3600"/>
            <w:tcMar>
              <w:top w:w="100" w:type="dxa"/>
              <w:bottom w:w="100" w:type="dxa"/>
              <w:left w:w="150" w:type="dxa"/>
              <w:right w:w="150" w:type="dxa"/>
            </w:tcMar>
          </w:tcPr>
          <w:p>
            <w:r>
              <w:rPr>
                <w:color w:val="000000"/>
              </w:rPr>
              <w:t>/api/workers</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Returns all 30 worker profiles</w:t>
            </w:r>
          </w:p>
        </w:tc>
      </w:tr>
      <w:tr>
        <w:tc>
          <w:tcPr>
            <w:tcW w:type="dxa" w:w="3600"/>
            <w:tcMar>
              <w:top w:w="100" w:type="dxa"/>
              <w:bottom w:w="100" w:type="dxa"/>
              <w:left w:w="150" w:type="dxa"/>
              <w:right w:w="150" w:type="dxa"/>
            </w:tcMar>
          </w:tcPr>
          <w:p>
            <w:r>
              <w:rPr>
                <w:color w:val="000000"/>
              </w:rPr>
              <w:t>/api/jobs</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Returns all 20 job postings</w:t>
            </w:r>
          </w:p>
        </w:tc>
      </w:tr>
      <w:tr>
        <w:tc>
          <w:tcPr>
            <w:tcW w:type="dxa" w:w="3600"/>
            <w:tcMar>
              <w:top w:w="100" w:type="dxa"/>
              <w:bottom w:w="100" w:type="dxa"/>
              <w:left w:w="150" w:type="dxa"/>
              <w:right w:w="150" w:type="dxa"/>
            </w:tcMar>
          </w:tcPr>
          <w:p>
            <w:r>
              <w:rPr>
                <w:color w:val="000000"/>
              </w:rPr>
              <w:t>/api/auth/register</w:t>
            </w:r>
          </w:p>
        </w:tc>
        <w:tc>
          <w:tcPr>
            <w:tcW w:type="dxa" w:w="2160"/>
            <w:tcMar>
              <w:top w:w="100" w:type="dxa"/>
              <w:bottom w:w="100" w:type="dxa"/>
              <w:left w:w="150" w:type="dxa"/>
              <w:right w:w="150" w:type="dxa"/>
            </w:tcMar>
          </w:tcPr>
          <w:p>
            <w:r>
              <w:rPr>
                <w:b/>
                <w:color w:val="000000"/>
              </w:rPr>
              <w:t>POST</w:t>
            </w:r>
          </w:p>
        </w:tc>
        <w:tc>
          <w:tcPr>
            <w:tcW w:type="dxa" w:w="3600"/>
            <w:tcMar>
              <w:top w:w="100" w:type="dxa"/>
              <w:bottom w:w="100" w:type="dxa"/>
              <w:left w:w="150" w:type="dxa"/>
              <w:right w:w="150" w:type="dxa"/>
            </w:tcMar>
          </w:tcPr>
          <w:p>
            <w:r>
              <w:rPr>
                <w:color w:val="000000"/>
              </w:rPr>
              <w:t>201 Created — Creates user &amp; returns bearer token</w:t>
            </w:r>
          </w:p>
        </w:tc>
      </w:tr>
      <w:tr>
        <w:tc>
          <w:tcPr>
            <w:tcW w:type="dxa" w:w="3600"/>
            <w:tcMar>
              <w:top w:w="100" w:type="dxa"/>
              <w:bottom w:w="100" w:type="dxa"/>
              <w:left w:w="150" w:type="dxa"/>
              <w:right w:w="150" w:type="dxa"/>
            </w:tcMar>
          </w:tcPr>
          <w:p>
            <w:r>
              <w:rPr>
                <w:color w:val="000000"/>
              </w:rPr>
              <w:t>/api/auth/login</w:t>
            </w:r>
          </w:p>
        </w:tc>
        <w:tc>
          <w:tcPr>
            <w:tcW w:type="dxa" w:w="2160"/>
            <w:tcMar>
              <w:top w:w="100" w:type="dxa"/>
              <w:bottom w:w="100" w:type="dxa"/>
              <w:left w:w="150" w:type="dxa"/>
              <w:right w:w="150" w:type="dxa"/>
            </w:tcMar>
          </w:tcPr>
          <w:p>
            <w:r>
              <w:rPr>
                <w:b/>
                <w:color w:val="000000"/>
              </w:rPr>
              <w:t>POST</w:t>
            </w:r>
          </w:p>
        </w:tc>
        <w:tc>
          <w:tcPr>
            <w:tcW w:type="dxa" w:w="3600"/>
            <w:tcMar>
              <w:top w:w="100" w:type="dxa"/>
              <w:bottom w:w="100" w:type="dxa"/>
              <w:left w:w="150" w:type="dxa"/>
              <w:right w:w="150" w:type="dxa"/>
            </w:tcMar>
          </w:tcPr>
          <w:p>
            <w:r>
              <w:rPr>
                <w:color w:val="000000"/>
              </w:rPr>
              <w:t>200 OK — Authenticates user &amp; returns token</w:t>
            </w:r>
          </w:p>
        </w:tc>
      </w:tr>
      <w:tr>
        <w:tc>
          <w:tcPr>
            <w:tcW w:type="dxa" w:w="3600"/>
            <w:tcMar>
              <w:top w:w="100" w:type="dxa"/>
              <w:bottom w:w="100" w:type="dxa"/>
              <w:left w:w="150" w:type="dxa"/>
              <w:right w:w="150" w:type="dxa"/>
            </w:tcMar>
          </w:tcPr>
          <w:p>
            <w:r>
              <w:rPr>
                <w:color w:val="000000"/>
              </w:rPr>
              <w:t>/api/auth/me</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Validates session bearer token</w:t>
            </w:r>
          </w:p>
        </w:tc>
      </w:tr>
      <w:tr>
        <w:tc>
          <w:tcPr>
            <w:tcW w:type="dxa" w:w="3600"/>
            <w:tcMar>
              <w:top w:w="100" w:type="dxa"/>
              <w:bottom w:w="100" w:type="dxa"/>
              <w:left w:w="150" w:type="dxa"/>
              <w:right w:w="150" w:type="dxa"/>
            </w:tcMar>
          </w:tcPr>
          <w:p>
            <w:r>
              <w:rPr>
                <w:color w:val="000000"/>
              </w:rPr>
              <w:t>/api/auth/logout</w:t>
            </w:r>
          </w:p>
        </w:tc>
        <w:tc>
          <w:tcPr>
            <w:tcW w:type="dxa" w:w="2160"/>
            <w:tcMar>
              <w:top w:w="100" w:type="dxa"/>
              <w:bottom w:w="100" w:type="dxa"/>
              <w:left w:w="150" w:type="dxa"/>
              <w:right w:w="150" w:type="dxa"/>
            </w:tcMar>
          </w:tcPr>
          <w:p>
            <w:r>
              <w:rPr>
                <w:b/>
                <w:color w:val="000000"/>
              </w:rPr>
              <w:t>POST</w:t>
            </w:r>
          </w:p>
        </w:tc>
        <w:tc>
          <w:tcPr>
            <w:tcW w:type="dxa" w:w="3600"/>
            <w:tcMar>
              <w:top w:w="100" w:type="dxa"/>
              <w:bottom w:w="100" w:type="dxa"/>
              <w:left w:w="150" w:type="dxa"/>
              <w:right w:w="150" w:type="dxa"/>
            </w:tcMar>
          </w:tcPr>
          <w:p>
            <w:r>
              <w:rPr>
                <w:color w:val="000000"/>
              </w:rPr>
              <w:t>200 OK — Invalidates bearer session token</w:t>
            </w:r>
          </w:p>
        </w:tc>
      </w:tr>
      <w:tr>
        <w:tc>
          <w:tcPr>
            <w:tcW w:type="dxa" w:w="3600"/>
            <w:tcMar>
              <w:top w:w="100" w:type="dxa"/>
              <w:bottom w:w="100" w:type="dxa"/>
              <w:left w:w="150" w:type="dxa"/>
              <w:right w:w="150" w:type="dxa"/>
            </w:tcMar>
          </w:tcPr>
          <w:p>
            <w:r>
              <w:rPr>
                <w:color w:val="000000"/>
              </w:rPr>
              <w:t>/api/deck/worker/:id</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Returns ranked job cards + reasons</w:t>
            </w:r>
          </w:p>
        </w:tc>
      </w:tr>
      <w:tr>
        <w:tc>
          <w:tcPr>
            <w:tcW w:type="dxa" w:w="3600"/>
            <w:tcMar>
              <w:top w:w="100" w:type="dxa"/>
              <w:bottom w:w="100" w:type="dxa"/>
              <w:left w:w="150" w:type="dxa"/>
              <w:right w:w="150" w:type="dxa"/>
            </w:tcMar>
          </w:tcPr>
          <w:p>
            <w:r>
              <w:rPr>
                <w:color w:val="000000"/>
              </w:rPr>
              <w:t>/api/swipes</w:t>
            </w:r>
          </w:p>
        </w:tc>
        <w:tc>
          <w:tcPr>
            <w:tcW w:type="dxa" w:w="2160"/>
            <w:tcMar>
              <w:top w:w="100" w:type="dxa"/>
              <w:bottom w:w="100" w:type="dxa"/>
              <w:left w:w="150" w:type="dxa"/>
              <w:right w:w="150" w:type="dxa"/>
            </w:tcMar>
          </w:tcPr>
          <w:p>
            <w:r>
              <w:rPr>
                <w:b/>
                <w:color w:val="000000"/>
              </w:rPr>
              <w:t>POST</w:t>
            </w:r>
          </w:p>
        </w:tc>
        <w:tc>
          <w:tcPr>
            <w:tcW w:type="dxa" w:w="3600"/>
            <w:tcMar>
              <w:top w:w="100" w:type="dxa"/>
              <w:bottom w:w="100" w:type="dxa"/>
              <w:left w:w="150" w:type="dxa"/>
              <w:right w:w="150" w:type="dxa"/>
            </w:tcMar>
          </w:tcPr>
          <w:p>
            <w:r>
              <w:rPr>
                <w:color w:val="000000"/>
              </w:rPr>
              <w:t>201 Created — Persists swipe &amp; checks mutual match</w:t>
            </w:r>
          </w:p>
        </w:tc>
      </w:tr>
      <w:tr>
        <w:tc>
          <w:tcPr>
            <w:tcW w:type="dxa" w:w="3600"/>
            <w:tcMar>
              <w:top w:w="100" w:type="dxa"/>
              <w:bottom w:w="100" w:type="dxa"/>
              <w:left w:w="150" w:type="dxa"/>
              <w:right w:w="150" w:type="dxa"/>
            </w:tcMar>
          </w:tcPr>
          <w:p>
            <w:r>
              <w:rPr>
                <w:color w:val="000000"/>
              </w:rPr>
              <w:t>/api/matches</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Lists active mutual matches</w:t>
            </w:r>
          </w:p>
        </w:tc>
      </w:tr>
      <w:tr>
        <w:tc>
          <w:tcPr>
            <w:tcW w:type="dxa" w:w="3600"/>
            <w:tcMar>
              <w:top w:w="100" w:type="dxa"/>
              <w:bottom w:w="100" w:type="dxa"/>
              <w:left w:w="150" w:type="dxa"/>
              <w:right w:w="150" w:type="dxa"/>
            </w:tcMar>
          </w:tcPr>
          <w:p>
            <w:r>
              <w:rPr>
                <w:color w:val="000000"/>
              </w:rPr>
              <w:t>/api/chats/:matchId</w:t>
            </w:r>
          </w:p>
        </w:tc>
        <w:tc>
          <w:tcPr>
            <w:tcW w:type="dxa" w:w="2160"/>
            <w:tcMar>
              <w:top w:w="100" w:type="dxa"/>
              <w:bottom w:w="100" w:type="dxa"/>
              <w:left w:w="150" w:type="dxa"/>
              <w:right w:w="150" w:type="dxa"/>
            </w:tcMar>
          </w:tcPr>
          <w:p>
            <w:r>
              <w:rPr>
                <w:b/>
                <w:color w:val="000000"/>
              </w:rPr>
              <w:t>GET</w:t>
            </w:r>
          </w:p>
        </w:tc>
        <w:tc>
          <w:tcPr>
            <w:tcW w:type="dxa" w:w="3600"/>
            <w:tcMar>
              <w:top w:w="100" w:type="dxa"/>
              <w:bottom w:w="100" w:type="dxa"/>
              <w:left w:w="150" w:type="dxa"/>
              <w:right w:w="150" w:type="dxa"/>
            </w:tcMar>
          </w:tcPr>
          <w:p>
            <w:r>
              <w:rPr>
                <w:color w:val="000000"/>
              </w:rPr>
              <w:t>200 OK — Retrieves chat history</w:t>
            </w:r>
          </w:p>
        </w:tc>
      </w:tr>
      <w:tr>
        <w:tc>
          <w:tcPr>
            <w:tcW w:type="dxa" w:w="3600"/>
            <w:tcMar>
              <w:top w:w="100" w:type="dxa"/>
              <w:bottom w:w="100" w:type="dxa"/>
              <w:left w:w="150" w:type="dxa"/>
              <w:right w:w="150" w:type="dxa"/>
            </w:tcMar>
          </w:tcPr>
          <w:p>
            <w:r>
              <w:rPr>
                <w:color w:val="000000"/>
              </w:rPr>
              <w:t>/api/chats/:matchId</w:t>
            </w:r>
          </w:p>
        </w:tc>
        <w:tc>
          <w:tcPr>
            <w:tcW w:type="dxa" w:w="2160"/>
            <w:tcMar>
              <w:top w:w="100" w:type="dxa"/>
              <w:bottom w:w="100" w:type="dxa"/>
              <w:left w:w="150" w:type="dxa"/>
              <w:right w:w="150" w:type="dxa"/>
            </w:tcMar>
          </w:tcPr>
          <w:p>
            <w:r>
              <w:rPr>
                <w:b/>
                <w:color w:val="000000"/>
              </w:rPr>
              <w:t>POST</w:t>
            </w:r>
          </w:p>
        </w:tc>
        <w:tc>
          <w:tcPr>
            <w:tcW w:type="dxa" w:w="3600"/>
            <w:tcMar>
              <w:top w:w="100" w:type="dxa"/>
              <w:bottom w:w="100" w:type="dxa"/>
              <w:left w:w="150" w:type="dxa"/>
              <w:right w:w="150" w:type="dxa"/>
            </w:tcMar>
          </w:tcPr>
          <w:p>
            <w:r>
              <w:rPr>
                <w:color w:val="000000"/>
              </w:rPr>
              <w:t>201 Created — Persists &amp; sends chat message</w:t>
            </w:r>
          </w:p>
        </w:tc>
      </w:tr>
    </w:tbl>
    <w:p>
      <w:pPr>
        <w:spacing w:before="0" w:after="240" w:line="276" w:lineRule="auto"/>
      </w:pPr>
      <w:r>
        <w:rPr>
          <w:color w:val="000000"/>
        </w:rPr>
        <w:t>Table 4.1: Verified REST API Endpoints and Functional Status.</w:t>
      </w:r>
    </w:p>
    <w:p>
      <w:pPr>
        <w:keepNext/>
        <w:spacing w:before="280" w:after="80"/>
      </w:pPr>
      <w:r>
        <w:rPr>
          <w:b/>
          <w:color w:val="000000"/>
          <w:sz w:val="25"/>
        </w:rPr>
        <w:t>4.4. Frontend and End-to-End Integration Verification</w:t>
      </w:r>
    </w:p>
    <w:p>
      <w:pPr>
        <w:spacing w:before="0" w:after="120" w:line="276" w:lineRule="auto"/>
      </w:pPr>
      <w:r>
        <w:rPr>
          <w:color w:val="000000"/>
        </w:rPr>
        <w:t>End-to-end orchestration was verified using the start-all.ps1 script, which simultaneously launched the FastAPI ranker (port 8001), Express API (port 3001), and Vite frontend (port 5173). Verification confirmed session persistence, card rendering, real-time mutual match banner triggers upon reciprocal swiping, and instant chat message delivery.</w:t>
      </w:r>
    </w:p>
    <w:p>
      <w:pPr>
        <w:keepNext/>
        <w:spacing w:before="360" w:after="120"/>
      </w:pPr>
      <w:r>
        <w:rPr>
          <w:b/>
          <w:color w:val="000000"/>
          <w:sz w:val="28"/>
        </w:rPr>
        <w:t>5. PLANNED EMPIRICAL EVALUATION METHODOLOGY</w:t>
      </w:r>
    </w:p>
    <w:p>
      <w:pPr>
        <w:spacing w:before="0" w:after="120" w:line="276" w:lineRule="auto"/>
      </w:pPr>
      <w:r>
        <w:rPr>
          <w:color w:val="000000"/>
        </w:rPr>
        <w:t>While Chapter 4 verifies software execution, Chapter 5 outlines the empirical evaluation methodology to be executed in the 6th semester to measure ranking quality improvements resulting from active learning feedback.</w:t>
      </w:r>
    </w:p>
    <w:p>
      <w:pPr>
        <w:keepNext/>
        <w:spacing w:before="280" w:after="80"/>
      </w:pPr>
      <w:r>
        <w:rPr>
          <w:b/>
          <w:color w:val="000000"/>
          <w:sz w:val="25"/>
        </w:rPr>
        <w:t>5.1. Information Retrieval Metrics</w:t>
      </w:r>
    </w:p>
    <w:p>
      <w:pPr>
        <w:spacing w:before="0" w:after="120" w:line="276" w:lineRule="auto"/>
      </w:pPr>
      <w:r>
        <w:rPr>
          <w:color w:val="000000"/>
        </w:rPr>
        <w:t>The evaluation framework will measure four primary quantitative metrics:</w:t>
      </w:r>
    </w:p>
    <w:p>
      <w:pPr>
        <w:pStyle w:val="ListBullet"/>
        <w:spacing w:before="0" w:after="60" w:line="276" w:lineRule="auto"/>
      </w:pPr>
      <w:r>
        <w:rPr>
          <w:b/>
          <w:color w:val="000000"/>
        </w:rPr>
        <w:t xml:space="preserve">1. Precision@K: </w:t>
      </w:r>
      <w:r>
        <w:rPr>
          <w:color w:val="000000"/>
        </w:rPr>
        <w:t>Evaluates the proportion of relevant candidates within the top K recommended cards (K = 3, 5, 10).</w:t>
      </w:r>
    </w:p>
    <w:p>
      <w:pPr>
        <w:pStyle w:val="ListBullet"/>
        <w:spacing w:before="0" w:after="60" w:line="276" w:lineRule="auto"/>
      </w:pPr>
      <w:r>
        <w:rPr>
          <w:b/>
          <w:color w:val="000000"/>
        </w:rPr>
        <w:t xml:space="preserve">2. Recall@K: </w:t>
      </w:r>
      <w:r>
        <w:rPr>
          <w:color w:val="000000"/>
        </w:rPr>
        <w:t>Measures the proportion of total relevant candidate profiles successfully presented in top card decks.</w:t>
      </w:r>
    </w:p>
    <w:p>
      <w:pPr>
        <w:pStyle w:val="ListBullet"/>
        <w:spacing w:before="0" w:after="60" w:line="276" w:lineRule="auto"/>
      </w:pPr>
      <w:r>
        <w:rPr>
          <w:b/>
          <w:color w:val="000000"/>
        </w:rPr>
        <w:t xml:space="preserve">3. Match Success Rate: </w:t>
      </w:r>
      <w:r>
        <w:rPr>
          <w:color w:val="000000"/>
        </w:rPr>
        <w:t>Measures the percentage of candidate-job swipes that result in mutual interest matches.</w:t>
      </w:r>
    </w:p>
    <w:p>
      <w:pPr>
        <w:pStyle w:val="ListBullet"/>
        <w:spacing w:before="0" w:after="60" w:line="276" w:lineRule="auto"/>
      </w:pPr>
      <w:r>
        <w:rPr>
          <w:b/>
          <w:color w:val="000000"/>
        </w:rPr>
        <w:t xml:space="preserve">4. Recruiter Task Completion Time: </w:t>
      </w:r>
      <w:r>
        <w:rPr>
          <w:color w:val="000000"/>
        </w:rPr>
        <w:t>Measures the time required (in seconds) for a recruiter to shortlist three qualified candidates.</w:t>
      </w:r>
    </w:p>
    <w:p>
      <w:pPr>
        <w:keepNext/>
        <w:spacing w:before="280" w:after="80"/>
      </w:pPr>
      <w:r>
        <w:rPr>
          <w:b/>
          <w:color w:val="000000"/>
          <w:sz w:val="25"/>
        </w:rPr>
        <w:t>5.2. Baseline Comparison Protocol</w:t>
      </w:r>
    </w:p>
    <w:p>
      <w:pPr>
        <w:spacing w:before="0" w:after="120" w:line="276" w:lineRule="auto"/>
      </w:pPr>
      <w:r>
        <w:rPr>
          <w:color w:val="000000"/>
        </w:rPr>
        <w:t>The active learning ranker will be evaluated against a static non-learning baseline (fixed weights) across sequential feedback checkpoints (T = 0, 10, 25, 50 recruiter swipes). The hypothesis asserts that active learning weight updates will yield statistically significant improvements in Precision@K and reduce recruiter task completion time.</w:t>
      </w:r>
    </w:p>
    <w:p>
      <w:pPr>
        <w:keepNext/>
        <w:spacing w:before="360" w:after="120"/>
      </w:pPr>
      <w:r>
        <w:rPr>
          <w:b/>
          <w:color w:val="000000"/>
          <w:sz w:val="28"/>
        </w:rPr>
        <w:t>6. GENERAL CONCLUSIONS AND FUTURE WORK</w:t>
      </w:r>
    </w:p>
    <w:p>
      <w:pPr>
        <w:spacing w:before="0" w:after="120" w:line="276" w:lineRule="auto"/>
      </w:pPr>
      <w:r>
        <w:rPr>
          <w:color w:val="000000"/>
        </w:rPr>
        <w:t>The 5th-semester research and engineering activities delivered the following principal outcomes:</w:t>
      </w:r>
    </w:p>
    <w:p>
      <w:pPr>
        <w:pStyle w:val="ListBullet"/>
        <w:spacing w:before="0" w:after="60" w:line="276" w:lineRule="auto"/>
      </w:pPr>
      <w:r>
        <w:rPr>
          <w:b/>
          <w:color w:val="000000"/>
        </w:rPr>
        <w:t xml:space="preserve">1. Literature Synthesis: </w:t>
      </w:r>
      <w:r>
        <w:rPr>
          <w:color w:val="000000"/>
        </w:rPr>
        <w:t>Empirically established that skilled trades hiring in Latvia relies heavily on informal networks (46.1%–59.4%), justifying a gesture-driven mobile approach.</w:t>
      </w:r>
    </w:p>
    <w:p>
      <w:pPr>
        <w:pStyle w:val="ListBullet"/>
        <w:spacing w:before="0" w:after="60" w:line="276" w:lineRule="auto"/>
      </w:pPr>
      <w:r>
        <w:rPr>
          <w:b/>
          <w:color w:val="000000"/>
        </w:rPr>
        <w:t xml:space="preserve">2. Regulatory Architecture: </w:t>
      </w:r>
      <w:r>
        <w:rPr>
          <w:color w:val="000000"/>
        </w:rPr>
        <w:t>Formulated a compliant hybrid human-in-the-loop architecture fulfilling transparency and oversight mandates under Regulation (EU) 2024/1689 (EU AI Act).</w:t>
      </w:r>
    </w:p>
    <w:p>
      <w:pPr>
        <w:pStyle w:val="ListBullet"/>
        <w:spacing w:before="0" w:after="60" w:line="276" w:lineRule="auto"/>
      </w:pPr>
      <w:r>
        <w:rPr>
          <w:b/>
          <w:color w:val="000000"/>
        </w:rPr>
        <w:t xml:space="preserve">3. Prototype Verification: </w:t>
      </w:r>
      <w:r>
        <w:rPr>
          <w:color w:val="000000"/>
        </w:rPr>
        <w:t>Built and verified a three-tier system (FastAPI, Express, React) supporting reciprocal swiping, multi-factor ranking, and mutual match messaging.</w:t>
      </w:r>
    </w:p>
    <w:p>
      <w:pPr>
        <w:pStyle w:val="ListBullet"/>
        <w:spacing w:before="0" w:after="60" w:line="276" w:lineRule="auto"/>
      </w:pPr>
      <w:r>
        <w:rPr>
          <w:b/>
          <w:color w:val="000000"/>
        </w:rPr>
        <w:t xml:space="preserve">4. Evaluation &amp; Scope Boundary: </w:t>
      </w:r>
      <w:r>
        <w:rPr>
          <w:color w:val="000000"/>
        </w:rPr>
        <w:t>Established a 6th-semester evaluation methodology (Precision@K, Recall@K, task time) while de-scoping voice and calendar extensions.</w:t>
      </w:r>
    </w:p>
    <w:p>
      <w:pPr>
        <w:keepNext/>
        <w:spacing w:before="360" w:after="120"/>
      </w:pPr>
      <w:r>
        <w:rPr>
          <w:b/>
          <w:color w:val="000000"/>
          <w:sz w:val="28"/>
        </w:rPr>
        <w:t>LIST OF REFERENCES</w:t>
      </w:r>
    </w:p>
    <w:p>
      <w:pPr>
        <w:spacing w:before="0" w:after="80" w:line="276" w:lineRule="auto"/>
        <w:ind w:left="720" w:hanging="720"/>
      </w:pPr>
      <w:r>
        <w:rPr>
          <w:color w:val="000000"/>
        </w:rPr>
        <w:t>Amaral Cejas, O., Sannier, N., Abualhaija, S., Ceci, M., &amp; Bianculli, D. (2024). GDPR-relevant privacy concerns in mobile apps research: A systematic literature review. Information and Software Technology / ORBilu, 1–35.</w:t>
      </w:r>
    </w:p>
    <w:p>
      <w:pPr>
        <w:spacing w:before="0" w:after="80" w:line="276" w:lineRule="auto"/>
        <w:ind w:left="720" w:hanging="720"/>
      </w:pPr>
      <w:r>
        <w:rPr>
          <w:color w:val="000000"/>
        </w:rPr>
        <w:t>Amershi, S., Weld, D., Vorvoreanu, M., Fourney, A., Nushi, B., Collisson, P., Suh, J., Iqbal, S., Bennett, P. N., Inkpen, K., Teevan, J., Kikin-Gil, R., &amp; Horvitz, E. (2019). Guidelines for human-AI interaction. Proceedings of the 2019 CHI Conference on Human Factors in Computing Systems, 1–13. https://doi.org/10.1145/3290605.3300233</w:t>
      </w:r>
    </w:p>
    <w:p>
      <w:pPr>
        <w:spacing w:before="0" w:after="80" w:line="276" w:lineRule="auto"/>
        <w:ind w:left="720" w:hanging="720"/>
      </w:pPr>
      <w:r>
        <w:rPr>
          <w:color w:val="000000"/>
        </w:rPr>
        <w:t>Apsite-Berina, E., Mierina, I., &amp; Burgmanis, G. (2020). Spatial distribution and informal recruitment channels in the Latvian labor market. Journal of Baltic Studies, 51(3), 321–339.</w:t>
      </w:r>
    </w:p>
    <w:p>
      <w:pPr>
        <w:spacing w:before="0" w:after="80" w:line="276" w:lineRule="auto"/>
        <w:ind w:left="720" w:hanging="720"/>
      </w:pPr>
      <w:r>
        <w:rPr>
          <w:color w:val="000000"/>
        </w:rPr>
        <w:t>Cedefop. (2018). Insights into skill shortages and skill mismatches in European trade occupations (Cedefop Reference Series No. 108). Publications Office of the European Union.</w:t>
      </w:r>
    </w:p>
    <w:p>
      <w:pPr>
        <w:spacing w:before="0" w:after="80" w:line="276" w:lineRule="auto"/>
        <w:ind w:left="720" w:hanging="720"/>
      </w:pPr>
      <w:r>
        <w:rPr>
          <w:color w:val="000000"/>
        </w:rPr>
        <w:t>Cedefop. (2024). Vocational education and training in Europe: Latvia. European Centre for the Development of Vocational Training. https://www.cedefop.europa.eu/tools/vet-in-europe/systems/latvia</w:t>
      </w:r>
    </w:p>
    <w:p>
      <w:pPr>
        <w:spacing w:before="0" w:after="80" w:line="276" w:lineRule="auto"/>
        <w:ind w:left="720" w:hanging="720"/>
      </w:pPr>
      <w:r>
        <w:rPr>
          <w:color w:val="000000"/>
        </w:rPr>
        <w:t>CMS Law. (2024, October 23). Directive (EU) 2024/2831: Transforming platform work in the EU. CMS Legal Insights. https://cms.law/en/aut/legal-updates/from-gig-to-guarantee-how-the-eu-is-transforming-platform-work</w:t>
      </w:r>
    </w:p>
    <w:p>
      <w:pPr>
        <w:spacing w:before="0" w:after="80" w:line="276" w:lineRule="auto"/>
        <w:ind w:left="720" w:hanging="720"/>
      </w:pPr>
      <w:r>
        <w:rPr>
          <w:color w:val="000000"/>
        </w:rPr>
        <w:t>Cross-Sectoral Coordination Centre. (2020). National Development Plan of Latvia for 2021–2027 (NDP2027). Cross-Sectoral Coordination Centre, Cabinet of Ministers of the Republic of Latvia.</w:t>
      </w:r>
    </w:p>
    <w:p>
      <w:pPr>
        <w:spacing w:before="0" w:after="80" w:line="276" w:lineRule="auto"/>
        <w:ind w:left="720" w:hanging="720"/>
      </w:pPr>
      <w:r>
        <w:rPr>
          <w:color w:val="000000"/>
        </w:rPr>
        <w:t>Dellermann, D., Ebel, P., Söllner, M., &amp; Leimeister, J. M. (2019). Hybrid Intelligence. Business &amp; Information Systems Engineering, 61(5), 637–643. https://doi.org/10.1007/s12599-019-00595-2</w:t>
      </w:r>
    </w:p>
    <w:p>
      <w:pPr>
        <w:spacing w:before="0" w:after="80" w:line="276" w:lineRule="auto"/>
        <w:ind w:left="720" w:hanging="720"/>
      </w:pPr>
      <w:r>
        <w:rPr>
          <w:color w:val="000000"/>
        </w:rPr>
        <w:t>Elahi, M., Ricci, F., &amp; Rubens, N. (2016). A survey of active learning in collaborative filtering recommender systems. Computer Science Review, 20, 29–50. https://doi.org/10.1016/j.cosrev.2016.05.002</w:t>
      </w:r>
    </w:p>
    <w:p>
      <w:pPr>
        <w:spacing w:before="0" w:after="80" w:line="276" w:lineRule="auto"/>
        <w:ind w:left="720" w:hanging="720"/>
      </w:pPr>
      <w:r>
        <w:rPr>
          <w:color w:val="000000"/>
        </w:rPr>
        <w:t>European Commission. (2026). 2026 Country Report – Latvia (SWD(2026) 214 final). Directorate-General for Economic and Financial Affairs, European Commission.</w:t>
      </w:r>
    </w:p>
    <w:p>
      <w:pPr>
        <w:spacing w:before="0" w:after="80" w:line="276" w:lineRule="auto"/>
        <w:ind w:left="720" w:hanging="720"/>
      </w:pPr>
      <w:r>
        <w:rPr>
          <w:color w:val="000000"/>
        </w:rPr>
        <w:t>European Labour Authority. (2026). EURES report on labour shortages and surpluses 2025. Publications Office of the European Union, Luxembourg. https://www.ela.europa.eu/en/publications/labour-shortages-and-surpluses-europe-2025</w:t>
      </w:r>
    </w:p>
    <w:p>
      <w:pPr>
        <w:spacing w:before="0" w:after="80" w:line="276" w:lineRule="auto"/>
        <w:ind w:left="720" w:hanging="720"/>
      </w:pPr>
      <w:r>
        <w:rPr>
          <w:color w:val="000000"/>
        </w:rPr>
        <w:t>European Parliament and Council of the European Union. (2024). Regulation (EU) 2024/1689 laying down harmonised rules on artificial intelligence (Artificial Intelligence Act). Official Journal of the European Union, L 2024/1689.</w:t>
      </w:r>
    </w:p>
    <w:p>
      <w:pPr>
        <w:spacing w:before="0" w:after="80" w:line="276" w:lineRule="auto"/>
        <w:ind w:left="720" w:hanging="720"/>
      </w:pPr>
      <w:r>
        <w:rPr>
          <w:color w:val="000000"/>
        </w:rPr>
        <w:t>Hazans, M. (2019). Emigration and labor shortages in Latvia: Micro-evidence from household surveys. Baltic Journal of Economics, 19(2), 145–168.</w:t>
      </w:r>
    </w:p>
    <w:p>
      <w:pPr>
        <w:spacing w:before="0" w:after="80" w:line="276" w:lineRule="auto"/>
        <w:ind w:left="720" w:hanging="720"/>
      </w:pPr>
      <w:r>
        <w:rPr>
          <w:color w:val="000000"/>
        </w:rPr>
        <w:t>Horton, J. J. (2017). The effects of algorithmic labor market recommendations: Evidence from a field experiment. Journal of Labor Economics, 35(2), 345–385. https://doi.org/10.1086/688846</w:t>
      </w:r>
    </w:p>
    <w:p>
      <w:pPr>
        <w:spacing w:before="0" w:after="80" w:line="276" w:lineRule="auto"/>
        <w:ind w:left="720" w:hanging="720"/>
      </w:pPr>
      <w:r>
        <w:rPr>
          <w:color w:val="000000"/>
        </w:rPr>
        <w:t>Hu, J., Ruder, S., Siddhant, A., Graham, Y., Firat, O., &amp; Johnson, M. (2020). XTREME: A massively multilingual multi-task benchmark for evaluating cross-lingual generalised representations. Proceedings of ICML 2020, 4411–4421.</w:t>
      </w:r>
    </w:p>
    <w:p>
      <w:pPr>
        <w:spacing w:before="0" w:after="80" w:line="276" w:lineRule="auto"/>
        <w:ind w:left="720" w:hanging="720"/>
      </w:pPr>
      <w:r>
        <w:rPr>
          <w:color w:val="000000"/>
        </w:rPr>
        <w:t>Iyengar, S. S., &amp; Lepper, M. R. (2000). When choice is demotivating: Can one desire too much of a good thing? Journal of Personality and Social Psychology, 79(6), 995–1006.</w:t>
      </w:r>
    </w:p>
    <w:p>
      <w:pPr>
        <w:spacing w:before="0" w:after="80" w:line="276" w:lineRule="auto"/>
        <w:ind w:left="720" w:hanging="720"/>
      </w:pPr>
      <w:r>
        <w:rPr>
          <w:color w:val="000000"/>
        </w:rPr>
        <w:t>Jobtech Alliance. (2023). Solving the two-sided marketplace cold start problem: Insights for venture platforms. Jobtech Alliance Library.</w:t>
      </w:r>
    </w:p>
    <w:p>
      <w:pPr>
        <w:spacing w:before="0" w:after="80" w:line="276" w:lineRule="auto"/>
        <w:ind w:left="720" w:hanging="720"/>
      </w:pPr>
      <w:r>
        <w:rPr>
          <w:color w:val="000000"/>
        </w:rPr>
        <w:t>Köchling, A., &amp; Wehner, M. C. (2020). Discriminated by an algorithm: A systematic review of discrimination and fairness by algorithmic decision-making in the context of HR recruitment. Business Research, 13(3), 795–848. https://doi.org/10.1007/s40685-020-00134-w</w:t>
      </w:r>
    </w:p>
    <w:p>
      <w:pPr>
        <w:spacing w:before="0" w:after="80" w:line="276" w:lineRule="auto"/>
        <w:ind w:left="720" w:hanging="720"/>
      </w:pPr>
      <w:r>
        <w:rPr>
          <w:color w:val="000000"/>
        </w:rPr>
        <w:t>Ministry of Economics of the Republic of Latvia. (2020). Medium- and long-term labour market forecasts of Latvia until 2040. Ministry of Economics, Republic of Latvia.</w:t>
      </w:r>
    </w:p>
    <w:p>
      <w:pPr>
        <w:spacing w:before="0" w:after="80" w:line="276" w:lineRule="auto"/>
        <w:ind w:left="720" w:hanging="720"/>
      </w:pPr>
      <w:r>
        <w:rPr>
          <w:color w:val="000000"/>
        </w:rPr>
        <w:t>Mulani, D., Jain, S., Gupta, S., &amp; David, S. (2025). Gamification in recruitment and training: Effectiveness and challenges. International Journal of Science Engineering and Management (IJSEM), 12(4), 59–63.</w:t>
      </w:r>
    </w:p>
    <w:p>
      <w:pPr>
        <w:spacing w:before="0" w:after="80" w:line="276" w:lineRule="auto"/>
        <w:ind w:left="720" w:hanging="720"/>
      </w:pPr>
      <w:r>
        <w:rPr>
          <w:color w:val="000000"/>
        </w:rPr>
        <w:t>Raghavan, M., Barocas, S., Kleinberg, J., &amp; Levy, K. (2020). Mitigating bias in algorithmic hiring. Proceedings of the 2020 Conference on Fairness, Accountability, and Transparency, 469–481. https://doi.org/10.1145/3351095.3372828</w:t>
      </w:r>
    </w:p>
    <w:p>
      <w:pPr>
        <w:spacing w:before="0" w:after="80" w:line="276" w:lineRule="auto"/>
        <w:ind w:left="720" w:hanging="720"/>
      </w:pPr>
      <w:r>
        <w:rPr>
          <w:color w:val="000000"/>
        </w:rPr>
        <w:t>Raghavendra, G. H., &amp; Chitra, K. (2025). Firebase-integrated mobile platform for swipe-driven job matching (SwipeRight). Journal of Mobile Engineering and Technology, 2025(2), 17–28.</w:t>
      </w:r>
    </w:p>
    <w:p>
      <w:pPr>
        <w:spacing w:before="0" w:after="80" w:line="276" w:lineRule="auto"/>
        <w:ind w:left="720" w:hanging="720"/>
      </w:pPr>
      <w:r>
        <w:rPr>
          <w:color w:val="000000"/>
        </w:rPr>
        <w:t>Rubens, N., Elahi, M., Sugiyama, M., &amp; Kaplan, D. (2015). Active learning in recommender systems. Recommender Systems Handbook, 809–846. Springer.</w:t>
      </w:r>
    </w:p>
    <w:p>
      <w:pPr>
        <w:spacing w:before="0" w:after="80" w:line="276" w:lineRule="auto"/>
        <w:ind w:left="720" w:hanging="720"/>
      </w:pPr>
      <w:r>
        <w:rPr>
          <w:color w:val="000000"/>
        </w:rPr>
        <w:t>Settles, B. (2012). Active learning. Morgan &amp; Claypool Publishers.</w:t>
      </w:r>
    </w:p>
    <w:p>
      <w:pPr>
        <w:spacing w:before="0" w:after="80" w:line="276" w:lineRule="auto"/>
        <w:ind w:left="720" w:hanging="720"/>
      </w:pPr>
      <w:r>
        <w:rPr>
          <w:color w:val="000000"/>
        </w:rPr>
        <w:t>Waleson, T. (2022). 1 Swipe worth the hype? Investigating the influence of fast and slow online dating and success on wellbeing (Master's thesis, Tilburg University). Tilburg School of Humanities and Digital Sciences.</w:t>
      </w:r>
    </w:p>
    <w:p>
      <w:pPr>
        <w:spacing w:before="0" w:after="80" w:line="276" w:lineRule="auto"/>
        <w:ind w:left="720" w:hanging="720"/>
      </w:pPr>
      <w:r>
        <w:rPr>
          <w:color w:val="000000"/>
        </w:rPr>
        <w:t>Wei, J., Wang, X., Schuurmans, D., Bosma, M., Ichter, B., Xia, F., Chi, E., Le, Q. V., &amp; Zhou, D. (2022). Chain-of-thought prompting elicits reasoning in large language models. arXiv preprint arXiv:2201.11903.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9"/>
      </w:rPr>
      <w:t>RTU Computer Systems — Bachelor Thesis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