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Lumora Home Technologies - Privacy Policy</w:t>
      </w:r>
    </w:p>
    <w:p>
      <w:r>
        <w:t>Document ID: PRV-POL | Version: 1.0 | Type: Policy | Status: Active | Category: PRIVACY</w:t>
      </w:r>
    </w:p>
    <w:p>
      <w:r>
        <w:t>Effective Date: 2026-01-01</w:t>
      </w:r>
    </w:p>
    <w:p>
      <w:pPr>
        <w:pStyle w:val="Heading1"/>
      </w:pPr>
      <w:r>
        <w:t>1. Scope</w:t>
      </w:r>
    </w:p>
    <w:p>
      <w:r>
        <w:t>This policy explains how Lumora protects customer data and camera footage.</w:t>
      </w:r>
    </w:p>
    <w:p>
      <w:pPr>
        <w:pStyle w:val="Heading1"/>
      </w:pPr>
      <w:r>
        <w:t>2. Data We Collect</w:t>
      </w:r>
    </w:p>
    <w:p>
      <w:pPr>
        <w:pStyle w:val="Heading2"/>
      </w:pPr>
      <w:r>
        <w:t>2.1 Data We Collect</w:t>
      </w:r>
    </w:p>
    <w:p>
      <w:r>
        <w:t>Lumora stores account details, order history, device settings and, for LumoraCare+ customers, camera recordings.</w:t>
      </w:r>
    </w:p>
    <w:p>
      <w:pPr>
        <w:pStyle w:val="Heading1"/>
      </w:pPr>
      <w:r>
        <w:t>3. Camera Footage</w:t>
      </w:r>
    </w:p>
    <w:p>
      <w:pPr>
        <w:pStyle w:val="Heading2"/>
      </w:pPr>
      <w:r>
        <w:t>3.1 Camera Footage Protection</w:t>
      </w:r>
    </w:p>
    <w:p>
      <w:r>
        <w:t>Camera footage is encrypted and can only be viewed by the account holder and the people they choose to share it with.</w:t>
      </w:r>
    </w:p>
    <w:p>
      <w:pPr>
        <w:pStyle w:val="Heading1"/>
      </w:pPr>
      <w:r>
        <w:t>4. Privacy Incidents</w:t>
      </w:r>
    </w:p>
    <w:p>
      <w:pPr>
        <w:pStyle w:val="Heading2"/>
      </w:pPr>
      <w:r>
        <w:t>4.1 Footage Exposure</w:t>
      </w:r>
    </w:p>
    <w:p>
      <w:r>
        <w:t>If footage may have been seen by someone else, all camera sharing links are disabled, access logs are preserved, and the Privacy team is notified within 1 hour. The case is sent to Compliance Review. Agents must not downplay the exposure or promise compensation.</w:t>
      </w:r>
    </w:p>
    <w:p>
      <w:pPr>
        <w:pStyle w:val="Heading2"/>
      </w:pPr>
      <w:r>
        <w:t>4.2 Customer Notification</w:t>
      </w:r>
    </w:p>
    <w:p>
      <w:r>
        <w:t>Affected customers are informed about a privacy incident within 72 hours.</w:t>
      </w:r>
    </w:p>
    <w:p>
      <w:pPr>
        <w:pStyle w:val="Heading1"/>
      </w:pPr>
      <w:r>
        <w:t>5. Marketing</w:t>
      </w:r>
    </w:p>
    <w:p>
      <w:pPr>
        <w:pStyle w:val="Heading2"/>
      </w:pPr>
      <w:r>
        <w:t>5.1 Marketing Opt-out</w:t>
      </w:r>
    </w:p>
    <w:p>
      <w:r>
        <w:t>Customers can opt out of marketing at any time. Opt-outs are processed within 2 business days.</w:t>
      </w:r>
    </w:p>
    <w:p>
      <w:pPr>
        <w:pStyle w:val="Heading2"/>
      </w:pPr>
      <w:r>
        <w:t>5.2 Marketing After Opt-out</w:t>
      </w:r>
    </w:p>
    <w:p>
      <w:r>
        <w:t>Marketing sent after an opt-out is a compliance failure. The customer is unsubscribed immediately and the case is sent to Compliance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