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Architecture Book v3.0</w:t>
      </w:r>
    </w:p>
    <w:p>
      <w:r>
        <w:t>Dokument roboczy stanowiący kanoniczny punkt odtworzenia projektu Aura.</w:t>
        <w:br/>
        <w:br/>
      </w:r>
    </w:p>
    <w:p>
      <w:pPr>
        <w:pStyle w:val="Heading2"/>
      </w:pPr>
      <w:r>
        <w:t>Zakres</w:t>
      </w:r>
    </w:p>
    <w:p>
      <w:r>
        <w:t>Ta wersja konsoliduje dotychczasowe analizy i definiuje strukturę dalszej pracy.</w:t>
        <w:br/>
        <w:t>Nie zastępuje analizy kodu; jest nadrzędnym przewodnikiem architektonicznym.</w:t>
      </w:r>
    </w:p>
    <w:p>
      <w:pPr>
        <w:pStyle w:val="Heading2"/>
      </w:pPr>
      <w:r>
        <w:t>Najważniejsze ustalenia</w:t>
      </w:r>
    </w:p>
    <w:p>
      <w:pPr>
        <w:pStyle w:val="ListBullet"/>
      </w:pPr>
      <w:r>
        <w:t>Analizę należy opierać na kodzie i artefaktach.</w:t>
      </w:r>
    </w:p>
    <w:p>
      <w:pPr>
        <w:pStyle w:val="ListBullet"/>
      </w:pPr>
      <w:r>
        <w:t>Rozdzielać As-Is od To-Be.</w:t>
      </w:r>
    </w:p>
    <w:p>
      <w:pPr>
        <w:pStyle w:val="ListBullet"/>
      </w:pPr>
      <w:r>
        <w:t>Specyfikacja poprzedza implementację.</w:t>
      </w:r>
    </w:p>
    <w:p>
      <w:pPr>
        <w:pStyle w:val="ListBullet"/>
      </w:pPr>
      <w:r>
        <w:t>Conformance powinno być niezależnym subsystemem.</w:t>
      </w:r>
    </w:p>
    <w:p>
      <w:pPr>
        <w:pStyle w:val="ListBullet"/>
      </w:pPr>
      <w:r>
        <w:t>Dokumentacja ma zachowywać pełną historię decyzji.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