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pPr>
      <w:r>
        <w:rPr>
          <w:rFonts w:ascii="Arial" w:cs="Arial" w:eastAsia="Arial" w:hAnsi="Arial"/>
          <w:b/>
          <w:bCs/>
          <w:color w:val="00A878"/>
          <w:sz w:val="56"/>
          <w:szCs w:val="56"/>
        </w:rPr>
        <w:t xml:space="preserve">▌ AURA-GUARD</w:t>
      </w:r>
    </w:p>
    <w:p>
      <w:pPr>
        <w:spacing w:after="40" w:before="0"/>
      </w:pPr>
      <w:r>
        <w:rPr>
          <w:rFonts w:ascii="Arial" w:cs="Arial" w:eastAsia="Arial" w:hAnsi="Arial"/>
          <w:color w:val="0D2137"/>
          <w:sz w:val="36"/>
          <w:szCs w:val="36"/>
        </w:rPr>
        <w:t xml:space="preserve">Technical Compliance Brief</w:t>
      </w:r>
    </w:p>
    <w:p>
      <w:pPr>
        <w:spacing w:after="600" w:before="0"/>
      </w:pPr>
      <w:r>
        <w:rPr>
          <w:rFonts w:ascii="Arial" w:cs="Arial" w:eastAsia="Arial" w:hAnsi="Arial"/>
          <w:color w:val="8B949E"/>
          <w:sz w:val="22"/>
          <w:szCs w:val="22"/>
        </w:rPr>
        <w:t xml:space="preserve">Version 1.2.0  |  Confidential</w:t>
      </w:r>
    </w:p>
    <w:p>
      <w:pPr>
        <w:pBdr>
          <w:bottom w:val="single" w:color="00A878" w:sz="8" w:space="1"/>
        </w:pBdr>
        <w:spacing w:after="160" w:before="0"/>
      </w:pPr>
      <w:r>
        <w:t xml:space="preserve"/>
      </w:r>
    </w:p>
    <w:p>
      <w:pPr>
        <w:spacing w:after="40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b/>
                <w:bCs/>
                <w:color w:val="0D2137"/>
                <w:sz w:val="20"/>
                <w:szCs w:val="20"/>
              </w:rPr>
              <w:t xml:space="preserve">Document Type</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color w:val="1A1A2E"/>
                <w:sz w:val="20"/>
                <w:szCs w:val="20"/>
              </w:rPr>
              <w:t xml:space="preserve">Technical Compliance Brief</w:t>
            </w:r>
          </w:p>
        </w:tc>
      </w:tr>
      <w:tr>
        <w:tc>
          <w:tcPr>
            <w:tcW w:type="dxa" w:w="320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b/>
                <w:bCs/>
                <w:color w:val="0D2137"/>
                <w:sz w:val="20"/>
                <w:szCs w:val="20"/>
              </w:rPr>
              <w:t xml:space="preserve">Product</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color w:val="1A1A2E"/>
                <w:sz w:val="20"/>
                <w:szCs w:val="20"/>
              </w:rPr>
              <w:t xml:space="preserve">Aura-Guard v1.2.0</w:t>
            </w:r>
          </w:p>
        </w:tc>
      </w:tr>
      <w:tr>
        <w:tc>
          <w:tcPr>
            <w:tcW w:type="dxa" w:w="3200"/>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b/>
                <w:bCs/>
                <w:color w:val="0D2137"/>
                <w:sz w:val="20"/>
                <w:szCs w:val="20"/>
              </w:rPr>
              <w:t xml:space="preserve">Classification</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color w:val="1A1A2E"/>
                <w:sz w:val="20"/>
                <w:szCs w:val="20"/>
              </w:rPr>
              <w:t xml:space="preserve">Confidential — For Authorized Recipients Only</w:t>
            </w:r>
          </w:p>
        </w:tc>
      </w:tr>
      <w:tr>
        <w:tc>
          <w:tcPr>
            <w:tcW w:type="dxa" w:w="320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b/>
                <w:bCs/>
                <w:color w:val="0D2137"/>
                <w:sz w:val="20"/>
                <w:szCs w:val="20"/>
              </w:rPr>
              <w:t xml:space="preserve">Prepared by</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color w:val="1A1A2E"/>
                <w:sz w:val="20"/>
                <w:szCs w:val="20"/>
              </w:rPr>
              <w:t xml:space="preserve">Aura-Guard Engineering</w:t>
            </w:r>
          </w:p>
        </w:tc>
      </w:tr>
      <w:tr>
        <w:tc>
          <w:tcPr>
            <w:tcW w:type="dxa" w:w="3200"/>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b/>
                <w:bCs/>
                <w:color w:val="0D2137"/>
                <w:sz w:val="20"/>
                <w:szCs w:val="20"/>
              </w:rPr>
              <w:t xml:space="preserve">Date</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60"/>
              <w:bottom w:type="dxa" w:w="100"/>
              <w:right w:type="dxa" w:w="120"/>
            </w:tcMar>
          </w:tcPr>
          <w:p>
            <w:r>
              <w:rPr>
                <w:rFonts w:ascii="Arial" w:cs="Arial" w:eastAsia="Arial" w:hAnsi="Arial"/>
                <w:color w:val="1A1A2E"/>
                <w:sz w:val="20"/>
                <w:szCs w:val="20"/>
              </w:rPr>
              <w:t xml:space="preserve">10 maja 2026</w:t>
            </w:r>
          </w:p>
        </w:tc>
      </w:tr>
      <w:tr>
        <w:tc>
          <w:tcPr>
            <w:tcW w:type="dxa" w:w="3200"/>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b/>
                <w:bCs/>
                <w:color w:val="0D2137"/>
                <w:sz w:val="20"/>
                <w:szCs w:val="20"/>
              </w:rPr>
              <w:t xml:space="preserve">Language</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60"/>
              <w:bottom w:type="dxa" w:w="100"/>
              <w:right w:type="dxa" w:w="120"/>
            </w:tcMar>
          </w:tcPr>
          <w:p>
            <w:r>
              <w:rPr>
                <w:rFonts w:ascii="Arial" w:cs="Arial" w:eastAsia="Arial" w:hAnsi="Arial"/>
                <w:color w:val="1A1A2E"/>
                <w:sz w:val="20"/>
                <w:szCs w:val="20"/>
              </w:rPr>
              <w:t xml:space="preserve">English (Polish translation available on request)</w:t>
            </w:r>
          </w:p>
        </w:tc>
      </w:tr>
    </w:tbl>
    <w:p>
      <w:pPr>
        <w:spacing w:after="800" w:before="0"/>
      </w:pPr>
      <w:r>
        <w:t xml:space="preserve"/>
      </w:r>
    </w:p>
    <w:p>
      <w:pPr>
        <w:spacing w:after="0" w:before="0"/>
      </w:pPr>
      <w:r>
        <w:rPr>
          <w:rFonts w:ascii="Arial" w:cs="Arial" w:eastAsia="Arial" w:hAnsi="Arial"/>
          <w:i/>
          <w:iCs/>
          <w:color w:val="8B949E"/>
          <w:sz w:val="20"/>
          <w:szCs w:val="20"/>
        </w:rPr>
        <w:t xml:space="preserve">This document describes the operational principles, security architecture, and compliance characteristics of Aura-Guard — a deterministic AI audit middleware. It is intended for compliance officers, external auditors, and technical decision-makers evaluating AI governance solutions.</w:t>
      </w:r>
    </w:p>
    <w:p>
      <w:pPr>
        <w:sectPr>
          <w:pgSz w:w="11906" w:h="16838" w:orient="portrait"/>
          <w:pgMar w:top="1134" w:right="1134" w:bottom="1134" w:left="1134" w:header="708" w:footer="708" w:gutter="0"/>
          <w:pgNumType/>
          <w:docGrid w:linePitch="360"/>
        </w:sectPr>
      </w:pPr>
    </w:p>
    <w:p>
      <w:pPr>
        <w:pStyle w:val="Heading1"/>
        <w:spacing w:after="120" w:before="480"/>
      </w:pPr>
      <w:r>
        <w:rPr>
          <w:rFonts w:ascii="Arial" w:cs="Arial" w:eastAsia="Arial" w:hAnsi="Arial"/>
          <w:b/>
          <w:bCs/>
          <w:color w:val="0D2137"/>
          <w:sz w:val="36"/>
          <w:szCs w:val="36"/>
        </w:rPr>
        <w:t xml:space="preserve">1. Executive Summary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Aura-Guard is a lightweight, stateless AI audit middleware built in Rust. It operates as a deterministic compliance layer between an organization's AI systems and their users, providing real-time policy enforcement, tamper-evident logging, and replayable audit trails — without relying on external cloud services, GPU infrastructure, or probabilistic AI models.</w:t>
      </w:r>
    </w:p>
    <w:p>
      <w:pPr>
        <w:spacing w:after="120" w:before="0"/>
      </w:pPr>
      <w:r>
        <w:t xml:space="preserve"/>
      </w:r>
    </w:p>
    <w:p>
      <w:pPr>
        <w:spacing w:after="140" w:before="0"/>
        <w:jc w:val="left"/>
      </w:pPr>
      <w:r>
        <w:rPr>
          <w:rFonts w:ascii="Arial" w:cs="Arial" w:eastAsia="Arial" w:hAnsi="Arial"/>
          <w:b/>
          <w:bCs/>
          <w:i w:val="false"/>
          <w:iCs w:val="false"/>
          <w:color w:val="1A1A2E"/>
          <w:sz w:val="22"/>
          <w:szCs w:val="22"/>
        </w:rPr>
        <w:t xml:space="preserve">Core guarantees:</w:t>
      </w:r>
    </w:p>
    <w:p>
      <w:pPr>
        <w:pStyle w:val="ListParagraph"/>
        <w:numPr>
          <w:ilvl w:val="0"/>
          <w:numId w:val="2"/>
        </w:numPr>
        <w:spacing w:after="40" w:before="40"/>
      </w:pPr>
      <w:r>
        <w:rPr>
          <w:rFonts w:ascii="Arial" w:cs="Arial" w:eastAsia="Arial" w:hAnsi="Arial"/>
          <w:color w:val="1A1A2E"/>
          <w:sz w:val="22"/>
          <w:szCs w:val="22"/>
        </w:rPr>
        <w:t xml:space="preserve">Every AI interaction is evaluated against configurable YAML policy rules</w:t>
      </w:r>
    </w:p>
    <w:p>
      <w:pPr>
        <w:pStyle w:val="ListParagraph"/>
        <w:numPr>
          <w:ilvl w:val="0"/>
          <w:numId w:val="2"/>
        </w:numPr>
        <w:spacing w:after="40" w:before="40"/>
      </w:pPr>
      <w:r>
        <w:rPr>
          <w:rFonts w:ascii="Arial" w:cs="Arial" w:eastAsia="Arial" w:hAnsi="Arial"/>
          <w:color w:val="1A1A2E"/>
          <w:sz w:val="22"/>
          <w:szCs w:val="22"/>
        </w:rPr>
        <w:t xml:space="preserve">Every decision (ALLOW / REVIEW / DENY) is deterministic and reproducible</w:t>
      </w:r>
    </w:p>
    <w:p>
      <w:pPr>
        <w:pStyle w:val="ListParagraph"/>
        <w:numPr>
          <w:ilvl w:val="0"/>
          <w:numId w:val="2"/>
        </w:numPr>
        <w:spacing w:after="40" w:before="40"/>
      </w:pPr>
      <w:r>
        <w:rPr>
          <w:rFonts w:ascii="Arial" w:cs="Arial" w:eastAsia="Arial" w:hAnsi="Arial"/>
          <w:color w:val="1A1A2E"/>
          <w:sz w:val="22"/>
          <w:szCs w:val="22"/>
        </w:rPr>
        <w:t xml:space="preserve">Every event is logged with a SHA-256 hash linking the decision to its input</w:t>
      </w:r>
    </w:p>
    <w:p>
      <w:pPr>
        <w:pStyle w:val="ListParagraph"/>
        <w:numPr>
          <w:ilvl w:val="0"/>
          <w:numId w:val="2"/>
        </w:numPr>
        <w:spacing w:after="40" w:before="40"/>
      </w:pPr>
      <w:r>
        <w:rPr>
          <w:rFonts w:ascii="Arial" w:cs="Arial" w:eastAsia="Arial" w:hAnsi="Arial"/>
          <w:color w:val="1A1A2E"/>
          <w:sz w:val="22"/>
          <w:szCs w:val="22"/>
        </w:rPr>
        <w:t xml:space="preserve">All processing occurs on-premise — no data leaves the organization's infrastructure</w:t>
      </w:r>
    </w:p>
    <w:p>
      <w:pPr>
        <w:spacing w:after="120" w:before="0"/>
      </w:pPr>
      <w:r>
        <w:t xml:space="preserve"/>
      </w:r>
    </w:p>
    <w:p>
      <w:pPr>
        <w:spacing w:after="140" w:before="0"/>
        <w:jc w:val="left"/>
      </w:pPr>
      <w:r>
        <w:rPr>
          <w:rFonts w:ascii="Arial" w:cs="Arial" w:eastAsia="Arial" w:hAnsi="Arial"/>
          <w:b w:val="false"/>
          <w:bCs w:val="false"/>
          <w:i/>
          <w:iCs/>
          <w:color w:val="1A1A2E"/>
          <w:sz w:val="22"/>
          <w:szCs w:val="22"/>
        </w:rPr>
        <w:t xml:space="preserve">Aura-Guard is not an AI system. It contains no machine learning models, no probabilistic inference, and no hidden logic. Its behavior can be fully explained from its YAML policy files and source code.</w:t>
      </w:r>
    </w:p>
    <w:p>
      <w:pPr>
        <w:pStyle w:val="Heading1"/>
        <w:spacing w:after="120" w:before="480"/>
      </w:pPr>
      <w:r>
        <w:rPr>
          <w:rFonts w:ascii="Arial" w:cs="Arial" w:eastAsia="Arial" w:hAnsi="Arial"/>
          <w:b/>
          <w:bCs/>
          <w:color w:val="0D2137"/>
          <w:sz w:val="36"/>
          <w:szCs w:val="36"/>
        </w:rPr>
        <w:t xml:space="preserve">2. Local-First Architecture &amp; Data Privacy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Aura-Guard is designed on a local-first principle: all audit processing takes place within the organization's own infrastructure. No prompt text, response text, or audit decision is transmitted to any external server, cloud API, or third-party service.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2.1 Deployment Model</w:t>
      </w:r>
    </w:p>
    <w:p>
      <w:pPr>
        <w:spacing w:after="140" w:before="0"/>
        <w:jc w:val="left"/>
      </w:pPr>
      <w:r>
        <w:rPr>
          <w:rFonts w:ascii="Arial" w:cs="Arial" w:eastAsia="Arial" w:hAnsi="Arial"/>
          <w:b w:val="false"/>
          <w:bCs w:val="false"/>
          <w:i w:val="false"/>
          <w:iCs w:val="false"/>
          <w:color w:val="1A1A2E"/>
          <w:sz w:val="22"/>
          <w:szCs w:val="22"/>
        </w:rPr>
        <w:t xml:space="preserve">The system runs as a self-contained HTTP server (default: localhost:8080). It requires only:</w:t>
      </w:r>
    </w:p>
    <w:p>
      <w:pPr>
        <w:pStyle w:val="ListParagraph"/>
        <w:numPr>
          <w:ilvl w:val="0"/>
          <w:numId w:val="2"/>
        </w:numPr>
        <w:spacing w:after="40" w:before="40"/>
      </w:pPr>
      <w:r>
        <w:rPr>
          <w:rFonts w:ascii="Arial" w:cs="Arial" w:eastAsia="Arial" w:hAnsi="Arial"/>
          <w:color w:val="1A1A2E"/>
          <w:sz w:val="22"/>
          <w:szCs w:val="22"/>
        </w:rPr>
        <w:t xml:space="preserve">A Linux/macOS/Windows server with Rust runtime</w:t>
      </w:r>
    </w:p>
    <w:p>
      <w:pPr>
        <w:pStyle w:val="ListParagraph"/>
        <w:numPr>
          <w:ilvl w:val="0"/>
          <w:numId w:val="2"/>
        </w:numPr>
        <w:spacing w:after="40" w:before="40"/>
      </w:pPr>
      <w:r>
        <w:rPr>
          <w:rFonts w:ascii="Arial" w:cs="Arial" w:eastAsia="Arial" w:hAnsi="Arial"/>
          <w:color w:val="1A1A2E"/>
          <w:sz w:val="22"/>
          <w:szCs w:val="22"/>
        </w:rPr>
        <w:t xml:space="preserve">Read access to the policies/ directory</w:t>
      </w:r>
    </w:p>
    <w:p>
      <w:pPr>
        <w:pStyle w:val="ListParagraph"/>
        <w:numPr>
          <w:ilvl w:val="0"/>
          <w:numId w:val="2"/>
        </w:numPr>
        <w:spacing w:after="40" w:before="40"/>
      </w:pPr>
      <w:r>
        <w:rPr>
          <w:rFonts w:ascii="Arial" w:cs="Arial" w:eastAsia="Arial" w:hAnsi="Arial"/>
          <w:color w:val="1A1A2E"/>
          <w:sz w:val="22"/>
          <w:szCs w:val="22"/>
        </w:rPr>
        <w:t xml:space="preserve">Write access to the logs/ directory</w:t>
      </w:r>
    </w:p>
    <w:p>
      <w:pPr>
        <w:pStyle w:val="ListParagraph"/>
        <w:numPr>
          <w:ilvl w:val="0"/>
          <w:numId w:val="2"/>
        </w:numPr>
        <w:spacing w:after="40" w:before="40"/>
      </w:pPr>
      <w:r>
        <w:rPr>
          <w:rFonts w:ascii="Arial" w:cs="Arial" w:eastAsia="Arial" w:hAnsi="Arial"/>
          <w:color w:val="1A1A2E"/>
          <w:sz w:val="22"/>
          <w:szCs w:val="22"/>
        </w:rPr>
        <w:t xml:space="preserve">No internet connectivity — fully air-gapped deployment is supported</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2.2 Data Flow</w:t>
      </w:r>
    </w:p>
    <w:p>
      <w:pPr>
        <w:spacing w:after="140" w:before="0"/>
        <w:jc w:val="left"/>
      </w:pPr>
      <w:r>
        <w:rPr>
          <w:rFonts w:ascii="Arial" w:cs="Arial" w:eastAsia="Arial" w:hAnsi="Arial"/>
          <w:b w:val="false"/>
          <w:bCs w:val="false"/>
          <w:i w:val="false"/>
          <w:iCs w:val="false"/>
          <w:color w:val="1A1A2E"/>
          <w:sz w:val="22"/>
          <w:szCs w:val="22"/>
        </w:rPr>
        <w:t xml:space="preserve">The table below traces every processing step and confirms where data resides at each stage. No step routes data outside the local environment.</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800"/>
        <w:gridCol w:w="3038"/>
      </w:tblGrid>
      <w:tr>
        <w:trPr>
          <w:tblHeader/>
        </w:trPr>
        <w:tc>
          <w:tcPr>
            <w:tcW w:type="dxa" w:w="600"/>
            <w:tcBorders>
              <w:top w:val="single" w:color="D0D7DE" w:sz="4"/>
              <w:left w:val="single" w:color="D0D7DE" w:sz="4"/>
              <w:bottom w:val="single" w:color="D0D7DE" w:sz="4"/>
              <w:right w:val="single" w:color="D0D7DE" w:sz="4"/>
            </w:tcBorders>
            <w:shd w:fill="0D2137" w:val="clear"/>
            <w:tcMar>
              <w:top w:type="dxa" w:w="80"/>
              <w:left w:type="dxa" w:w="100"/>
              <w:bottom w:type="dxa" w:w="80"/>
              <w:right w:type="dxa" w:w="60"/>
            </w:tcMar>
          </w:tcPr>
          <w:p>
            <w:pPr>
              <w:jc w:val="center"/>
            </w:pPr>
            <w:r>
              <w:rPr>
                <w:rFonts w:ascii="Arial" w:cs="Arial" w:eastAsia="Arial" w:hAnsi="Arial"/>
                <w:b/>
                <w:bCs/>
                <w:color w:val="FFFFFF"/>
                <w:sz w:val="20"/>
                <w:szCs w:val="20"/>
              </w:rPr>
              <w:t xml:space="preserve">Step</w:t>
            </w:r>
          </w:p>
        </w:tc>
        <w:tc>
          <w:tcPr>
            <w:tcW w:type="dxa" w:w="2200"/>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Process</w:t>
            </w:r>
          </w:p>
        </w:tc>
        <w:tc>
          <w:tcPr>
            <w:tcW w:type="dxa" w:w="3800"/>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Action</w:t>
            </w:r>
          </w:p>
        </w:tc>
        <w:tc>
          <w:tcPr>
            <w:tcW w:type="dxa" w:w="3038"/>
            <w:tcBorders>
              <w:top w:val="single" w:color="D0D7DE" w:sz="4"/>
              <w:left w:val="single" w:color="D0D7DE" w:sz="4"/>
              <w:bottom w:val="single" w:color="D0D7DE" w:sz="4"/>
              <w:right w:val="single" w:color="D0D7DE" w:sz="4"/>
            </w:tcBorders>
            <w:shd w:fill="0D2137" w:val="clear"/>
            <w:tcMar>
              <w:top w:type="dxa" w:w="80"/>
              <w:left w:type="dxa" w:w="120"/>
              <w:bottom w:type="dxa" w:w="80"/>
              <w:right w:type="dxa" w:w="80"/>
            </w:tcMar>
          </w:tcPr>
          <w:p>
            <w:r>
              <w:rPr>
                <w:rFonts w:ascii="Arial" w:cs="Arial" w:eastAsia="Arial" w:hAnsi="Arial"/>
                <w:b/>
                <w:bCs/>
                <w:color w:val="FFFFFF"/>
                <w:sz w:val="20"/>
                <w:szCs w:val="20"/>
              </w:rPr>
              <w:t xml:space="preserve">Data Destination</w:t>
            </w:r>
          </w:p>
        </w:tc>
      </w:tr>
      <w:tr>
        <w:trPr>
          <w:tblHeader w:val="false"/>
        </w:trPr>
        <w:tc>
          <w:tcPr>
            <w:tcW w:type="dxa" w:w="6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1</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Input</w:t>
            </w:r>
          </w:p>
        </w:tc>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20"/>
                <w:szCs w:val="20"/>
              </w:rPr>
              <w:t xml:space="preserve">Prompt + response ingestion via /v1/audit</w:t>
            </w:r>
          </w:p>
        </w:tc>
        <w:tc>
          <w:tcPr>
            <w:tcW w:type="dxa" w:w="30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0F4F8"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2</w:t>
            </w:r>
          </w:p>
        </w:tc>
        <w:tc>
          <w:tcPr>
            <w:tcW w:type="dxa" w:w="22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Normalization</w:t>
            </w:r>
          </w:p>
        </w:tc>
        <w:tc>
          <w:tcPr>
            <w:tcW w:type="dxa" w:w="3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20"/>
                <w:szCs w:val="20"/>
              </w:rPr>
              <w:t xml:space="preserve">Case-insensitive transformation (lowercase)</w:t>
            </w:r>
          </w:p>
        </w:tc>
        <w:tc>
          <w:tcPr>
            <w:tcW w:type="dxa" w:w="30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3</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Evaluation</w:t>
            </w:r>
          </w:p>
        </w:tc>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20"/>
                <w:szCs w:val="20"/>
              </w:rPr>
              <w:t xml:space="preserve">Regex / heuristic matching against policy rules</w:t>
            </w:r>
          </w:p>
        </w:tc>
        <w:tc>
          <w:tcPr>
            <w:tcW w:type="dxa" w:w="30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0F4F8"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4</w:t>
            </w:r>
          </w:p>
        </w:tc>
        <w:tc>
          <w:tcPr>
            <w:tcW w:type="dxa" w:w="22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Hashing</w:t>
            </w:r>
          </w:p>
        </w:tc>
        <w:tc>
          <w:tcPr>
            <w:tcW w:type="dxa" w:w="3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20"/>
                <w:szCs w:val="20"/>
              </w:rPr>
              <w:t xml:space="preserve">SHA-256 evidence generation from original text</w:t>
            </w:r>
          </w:p>
        </w:tc>
        <w:tc>
          <w:tcPr>
            <w:tcW w:type="dxa" w:w="30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bCs/>
                <w:color w:val="1E8449"/>
                <w:sz w:val="20"/>
                <w:szCs w:val="20"/>
              </w:rPr>
              <w:t xml:space="preserve">Local RAM</w:t>
            </w:r>
          </w:p>
        </w:tc>
      </w:tr>
      <w:tr>
        <w:trPr>
          <w:tblHeader w:val="false"/>
        </w:trPr>
        <w:tc>
          <w:tcPr>
            <w:tcW w:type="dxa" w:w="600"/>
            <w:tcBorders>
              <w:top w:val="single" w:color="D0D7DE" w:sz="4"/>
              <w:left w:val="single" w:color="D0D7DE" w:sz="4"/>
              <w:bottom w:val="single" w:color="D0D7DE" w:sz="4"/>
              <w:right w:val="single" w:color="D0D7DE" w:sz="4"/>
            </w:tcBorders>
            <w:shd w:fill="FFFFFF"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5</w:t>
            </w:r>
          </w:p>
        </w:tc>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Logging</w:t>
            </w:r>
          </w:p>
        </w:tc>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val="false"/>
                <w:bCs w:val="false"/>
                <w:color w:val="1A1A2E"/>
                <w:sz w:val="20"/>
                <w:szCs w:val="20"/>
              </w:rPr>
              <w:t xml:space="preserve">JSONL persistence — decision + hash + violations</w:t>
            </w:r>
          </w:p>
        </w:tc>
        <w:tc>
          <w:tcPr>
            <w:tcW w:type="dxa" w:w="3038"/>
            <w:tcBorders>
              <w:top w:val="single" w:color="D0D7DE" w:sz="4"/>
              <w:left w:val="single" w:color="D0D7DE" w:sz="4"/>
              <w:bottom w:val="single" w:color="D0D7DE" w:sz="4"/>
              <w:right w:val="single" w:color="D0D7DE" w:sz="4"/>
            </w:tcBorders>
            <w:shd w:fill="FFFFFF" w:val="clear"/>
            <w:tcMar>
              <w:top w:type="dxa" w:w="80"/>
              <w:left w:type="dxa" w:w="120"/>
              <w:bottom w:type="dxa" w:w="80"/>
              <w:right w:type="dxa" w:w="80"/>
            </w:tcMar>
          </w:tcPr>
          <w:p>
            <w:r>
              <w:rPr>
                <w:rFonts w:ascii="Arial" w:cs="Arial" w:eastAsia="Arial" w:hAnsi="Arial"/>
                <w:b/>
                <w:bCs/>
                <w:color w:val="00A878"/>
                <w:sz w:val="20"/>
                <w:szCs w:val="20"/>
              </w:rPr>
              <w:t xml:space="preserve">Local Filesystem</w:t>
            </w:r>
          </w:p>
        </w:tc>
      </w:tr>
      <w:tr>
        <w:trPr>
          <w:tblHeader w:val="false"/>
        </w:trPr>
        <w:tc>
          <w:tcPr>
            <w:tcW w:type="dxa" w:w="600"/>
            <w:tcBorders>
              <w:top w:val="single" w:color="D0D7DE" w:sz="4"/>
              <w:left w:val="single" w:color="D0D7DE" w:sz="4"/>
              <w:bottom w:val="single" w:color="D0D7DE" w:sz="4"/>
              <w:right w:val="single" w:color="D0D7DE" w:sz="4"/>
            </w:tcBorders>
            <w:shd w:fill="F0F4F8" w:val="clear"/>
            <w:tcMar>
              <w:top w:type="dxa" w:w="80"/>
              <w:left w:type="dxa" w:w="100"/>
              <w:bottom w:type="dxa" w:w="80"/>
              <w:right w:type="dxa" w:w="60"/>
            </w:tcMar>
          </w:tcPr>
          <w:p>
            <w:pPr>
              <w:jc w:val="center"/>
            </w:pPr>
            <w:r>
              <w:rPr>
                <w:rFonts w:ascii="Arial" w:cs="Arial" w:eastAsia="Arial" w:hAnsi="Arial"/>
                <w:b w:val="false"/>
                <w:bCs w:val="false"/>
                <w:color w:val="1A1A2E"/>
                <w:sz w:val="20"/>
                <w:szCs w:val="20"/>
              </w:rPr>
              <w:t xml:space="preserve">6</w:t>
            </w:r>
          </w:p>
        </w:tc>
        <w:tc>
          <w:tcPr>
            <w:tcW w:type="dxa" w:w="22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Courier New" w:cs="Courier New" w:eastAsia="Courier New" w:hAnsi="Courier New"/>
                <w:b w:val="false"/>
                <w:bCs w:val="false"/>
                <w:color w:val="00A878"/>
                <w:sz w:val="20"/>
                <w:szCs w:val="20"/>
              </w:rPr>
              <w:t xml:space="preserve">Reporting</w:t>
            </w:r>
          </w:p>
        </w:tc>
        <w:tc>
          <w:tcPr>
            <w:tcW w:type="dxa" w:w="3800"/>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val="false"/>
                <w:bCs w:val="false"/>
                <w:color w:val="1A1A2E"/>
                <w:sz w:val="20"/>
                <w:szCs w:val="20"/>
              </w:rPr>
              <w:t xml:space="preserve">PDF / JSON delivery to authorized recipient</w:t>
            </w:r>
          </w:p>
        </w:tc>
        <w:tc>
          <w:tcPr>
            <w:tcW w:type="dxa" w:w="3038"/>
            <w:tcBorders>
              <w:top w:val="single" w:color="D0D7DE" w:sz="4"/>
              <w:left w:val="single" w:color="D0D7DE" w:sz="4"/>
              <w:bottom w:val="single" w:color="D0D7DE" w:sz="4"/>
              <w:right w:val="single" w:color="D0D7DE" w:sz="4"/>
            </w:tcBorders>
            <w:shd w:fill="F0F4F8" w:val="clear"/>
            <w:tcMar>
              <w:top w:type="dxa" w:w="80"/>
              <w:left w:type="dxa" w:w="120"/>
              <w:bottom w:type="dxa" w:w="80"/>
              <w:right w:type="dxa" w:w="80"/>
            </w:tcMar>
          </w:tcPr>
          <w:p>
            <w:r>
              <w:rPr>
                <w:rFonts w:ascii="Arial" w:cs="Arial" w:eastAsia="Arial" w:hAnsi="Arial"/>
                <w:b/>
                <w:bCs/>
                <w:color w:val="D4A017"/>
                <w:sz w:val="20"/>
                <w:szCs w:val="20"/>
              </w:rPr>
              <w:t xml:space="preserve">Local Network</w:t>
            </w:r>
          </w:p>
        </w:tc>
      </w:tr>
    </w:tbl>
    <w:p>
      <w:pPr>
        <w:spacing w:after="120" w:before="0"/>
      </w:pPr>
      <w:r>
        <w:t xml:space="preserve"/>
      </w:r>
    </w:p>
    <w:p>
      <w:pPr>
        <w:spacing w:after="140" w:before="0"/>
        <w:jc w:val="left"/>
      </w:pPr>
      <w:r>
        <w:rPr>
          <w:rFonts w:ascii="Arial" w:cs="Arial" w:eastAsia="Arial" w:hAnsi="Arial"/>
          <w:b w:val="false"/>
          <w:bCs w:val="false"/>
          <w:i/>
          <w:iCs/>
          <w:color w:val="1A1A2E"/>
          <w:sz w:val="22"/>
          <w:szCs w:val="22"/>
        </w:rPr>
        <w:t xml:space="preserve">The system is fully stateless — no data is buffered between requests, cached in cloud storage, or transmitted to external language model APIs. Each request is processed in complete isolation.</w:t>
      </w:r>
    </w:p>
    <w:p>
      <w:pPr>
        <w:pStyle w:val="Heading1"/>
        <w:spacing w:after="120" w:before="480"/>
      </w:pPr>
      <w:r>
        <w:rPr>
          <w:rFonts w:ascii="Arial" w:cs="Arial" w:eastAsia="Arial" w:hAnsi="Arial"/>
          <w:b/>
          <w:bCs/>
          <w:color w:val="0D2137"/>
          <w:sz w:val="36"/>
          <w:szCs w:val="36"/>
        </w:rPr>
        <w:t xml:space="preserve">3. Determinism &amp; Replayability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 core requirement of any compliance system is the ability to reproduce past decisions. Aura-Guard is designed so that any audit decision can be independently verified by any party with access to the policy file and the audit log.</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3.1 SHA-256 Evidence Chain</w:t>
      </w:r>
    </w:p>
    <w:p>
      <w:pPr>
        <w:spacing w:after="140" w:before="0"/>
        <w:jc w:val="left"/>
      </w:pPr>
      <w:r>
        <w:rPr>
          <w:rFonts w:ascii="Arial" w:cs="Arial" w:eastAsia="Arial" w:hAnsi="Arial"/>
          <w:b w:val="false"/>
          <w:bCs w:val="false"/>
          <w:i w:val="false"/>
          <w:iCs w:val="false"/>
          <w:color w:val="1A1A2E"/>
          <w:sz w:val="22"/>
          <w:szCs w:val="22"/>
        </w:rPr>
        <w:t xml:space="preserve">For every audited interaction, Aura-Guard generates a SHA-256 hash of the exact input text (context + prompt + response, in original casing). This hash is stored in the audit log alongside the decision.</w:t>
      </w:r>
    </w:p>
    <w:p>
      <w:pPr>
        <w:spacing w:after="80" w:before="0"/>
      </w:pPr>
      <w:r>
        <w:t xml:space="preserve"/>
      </w:r>
    </w:p>
    <w:p>
      <w:pPr>
        <w:spacing w:after="140" w:before="0"/>
        <w:jc w:val="left"/>
      </w:pPr>
      <w:r>
        <w:rPr>
          <w:rFonts w:ascii="Arial" w:cs="Arial" w:eastAsia="Arial" w:hAnsi="Arial"/>
          <w:b/>
          <w:bCs/>
          <w:i w:val="false"/>
          <w:iCs w:val="false"/>
          <w:color w:val="1A1A2E"/>
          <w:sz w:val="22"/>
          <w:szCs w:val="22"/>
        </w:rPr>
        <w:t xml:space="preserve">An auditor can verify a past decision by:</w:t>
      </w:r>
    </w:p>
    <w:p>
      <w:pPr>
        <w:pStyle w:val="ListParagraph"/>
        <w:numPr>
          <w:ilvl w:val="0"/>
          <w:numId w:val="2"/>
        </w:numPr>
        <w:spacing w:after="40" w:before="40"/>
      </w:pPr>
      <w:r>
        <w:rPr>
          <w:rFonts w:ascii="Arial" w:cs="Arial" w:eastAsia="Arial" w:hAnsi="Arial"/>
          <w:color w:val="1A1A2E"/>
          <w:sz w:val="22"/>
          <w:szCs w:val="22"/>
        </w:rPr>
        <w:t xml:space="preserve">Retrieving the original interaction text from the organization's records</w:t>
      </w:r>
    </w:p>
    <w:p>
      <w:pPr>
        <w:pStyle w:val="ListParagraph"/>
        <w:numPr>
          <w:ilvl w:val="0"/>
          <w:numId w:val="2"/>
        </w:numPr>
        <w:spacing w:after="40" w:before="40"/>
      </w:pPr>
      <w:r>
        <w:rPr>
          <w:rFonts w:ascii="Arial" w:cs="Arial" w:eastAsia="Arial" w:hAnsi="Arial"/>
          <w:color w:val="1A1A2E"/>
          <w:sz w:val="22"/>
          <w:szCs w:val="22"/>
        </w:rPr>
        <w:t xml:space="preserve">Computing SHA-256 of the concatenated text</w:t>
      </w:r>
    </w:p>
    <w:p>
      <w:pPr>
        <w:pStyle w:val="ListParagraph"/>
        <w:numPr>
          <w:ilvl w:val="0"/>
          <w:numId w:val="2"/>
        </w:numPr>
        <w:spacing w:after="40" w:before="40"/>
      </w:pPr>
      <w:r>
        <w:rPr>
          <w:rFonts w:ascii="Arial" w:cs="Arial" w:eastAsia="Arial" w:hAnsi="Arial"/>
          <w:color w:val="1A1A2E"/>
          <w:sz w:val="22"/>
          <w:szCs w:val="22"/>
        </w:rPr>
        <w:t xml:space="preserve">Comparing with the stored hash in logs/audit.jsonl</w:t>
      </w:r>
    </w:p>
    <w:p>
      <w:pPr>
        <w:pStyle w:val="ListParagraph"/>
        <w:numPr>
          <w:ilvl w:val="0"/>
          <w:numId w:val="2"/>
        </w:numPr>
        <w:spacing w:after="40" w:before="40"/>
      </w:pPr>
      <w:r>
        <w:rPr>
          <w:rFonts w:ascii="Arial" w:cs="Arial" w:eastAsia="Arial" w:hAnsi="Arial"/>
          <w:color w:val="1A1A2E"/>
          <w:sz w:val="22"/>
          <w:szCs w:val="22"/>
        </w:rPr>
        <w:t xml:space="preserve">Re-running the text through the same policy file to confirm the decision</w:t>
      </w:r>
    </w:p>
    <w:p>
      <w:pPr>
        <w:spacing w:after="12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This chain provides cryptographic proof that the logged decision corresponds to the logged input. Any tampering with either the log entry or the original text will produce a hash mismatch.</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3.2 Audit Log Format</w:t>
      </w:r>
    </w:p>
    <w:p>
      <w:pPr>
        <w:spacing w:after="140" w:before="0"/>
        <w:jc w:val="left"/>
      </w:pPr>
      <w:r>
        <w:rPr>
          <w:rFonts w:ascii="Arial" w:cs="Arial" w:eastAsia="Arial" w:hAnsi="Arial"/>
          <w:b w:val="false"/>
          <w:bCs w:val="false"/>
          <w:i w:val="false"/>
          <w:iCs w:val="false"/>
          <w:color w:val="1A1A2E"/>
          <w:sz w:val="22"/>
          <w:szCs w:val="22"/>
        </w:rPr>
        <w:t xml:space="preserve">Each log entry in logs/audit.jsonl is a single JSON object on one line: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0A878" w:sz="6"/>
              <w:left w:val="single" w:color="00A878" w:sz="6"/>
              <w:bottom w:val="single" w:color="00A878" w:sz="6"/>
              <w:right w:val="single" w:color="00A878" w:sz="6"/>
            </w:tcBorders>
            <w:shd w:fill="0D1117" w:val="clear"/>
            <w:tcMar>
              <w:top w:type="dxa" w:w="140"/>
              <w:left w:type="dxa" w:w="200"/>
              <w:bottom w:type="dxa" w:w="140"/>
              <w:right w:type="dxa" w:w="200"/>
            </w:tcMar>
          </w:tcPr>
          <w:p>
            <w:r>
              <w:rPr>
                <w:rFonts w:ascii="Courier New" w:cs="Courier New" w:eastAsia="Courier New" w:hAnsi="Courier New"/>
                <w:color w:val="FFFFFF"/>
                <w:sz w:val="18"/>
                <w:szCs w:val="18"/>
              </w:rPr>
              <w:t xml:space="preserve">{</w:t>
            </w:r>
          </w:p>
          <w:p>
            <w:r>
              <w:rPr>
                <w:rFonts w:ascii="Courier New" w:cs="Courier New" w:eastAsia="Courier New" w:hAnsi="Courier New"/>
                <w:color w:val="79C0FF"/>
                <w:sz w:val="18"/>
                <w:szCs w:val="18"/>
              </w:rPr>
              <w:t xml:space="preserve">  "audit_id":  "a1b2c3d4-...",</w:t>
            </w:r>
          </w:p>
          <w:p>
            <w:r>
              <w:rPr>
                <w:rFonts w:ascii="Courier New" w:cs="Courier New" w:eastAsia="Courier New" w:hAnsi="Courier New"/>
                <w:color w:val="79C0FF"/>
                <w:sz w:val="18"/>
                <w:szCs w:val="18"/>
              </w:rPr>
              <w:t xml:space="preserve">  "timestamp": "2026-05-10T14:17:03+00:00",</w:t>
            </w:r>
          </w:p>
          <w:p>
            <w:r>
              <w:rPr>
                <w:rFonts w:ascii="Courier New" w:cs="Courier New" w:eastAsia="Courier New" w:hAnsi="Courier New"/>
                <w:color w:val="FF7B72"/>
                <w:sz w:val="18"/>
                <w:szCs w:val="18"/>
              </w:rPr>
              <w:t xml:space="preserve">  "decision":  "DENY",</w:t>
            </w:r>
          </w:p>
          <w:p>
            <w:r>
              <w:rPr>
                <w:rFonts w:ascii="Courier New" w:cs="Courier New" w:eastAsia="Courier New" w:hAnsi="Courier New"/>
                <w:color w:val="79C0FF"/>
                <w:sz w:val="18"/>
                <w:szCs w:val="18"/>
              </w:rPr>
              <w:t xml:space="preserve">  "policy_set":"finance-v1",</w:t>
            </w:r>
          </w:p>
          <w:p>
            <w:r>
              <w:rPr>
                <w:rFonts w:ascii="Courier New" w:cs="Courier New" w:eastAsia="Courier New" w:hAnsi="Courier New"/>
                <w:color w:val="FFA657"/>
                <w:sz w:val="18"/>
                <w:szCs w:val="18"/>
              </w:rPr>
              <w:t xml:space="preserve">  "violations":[{"rule":"credit-card","action":"deny","confidence":1.0}],</w:t>
            </w:r>
          </w:p>
          <w:p>
            <w:r>
              <w:rPr>
                <w:rFonts w:ascii="Courier New" w:cs="Courier New" w:eastAsia="Courier New" w:hAnsi="Courier New"/>
                <w:color w:val="A5D6FF"/>
                <w:sz w:val="18"/>
                <w:szCs w:val="18"/>
              </w:rPr>
              <w:t xml:space="preserve">  "hash":      "e3b0c44298fc..."</w:t>
            </w:r>
          </w:p>
          <w:p>
            <w:r>
              <w:rPr>
                <w:rFonts w:ascii="Courier New" w:cs="Courier New" w:eastAsia="Courier New" w:hAnsi="Courier New"/>
                <w:color w:val="FFFFFF"/>
                <w:sz w:val="18"/>
                <w:szCs w:val="18"/>
              </w:rPr>
              <w:t xml:space="preserve">}</w:t>
            </w:r>
          </w:p>
        </w:tc>
      </w:tr>
    </w:tbl>
    <w:p>
      <w:pPr>
        <w:pStyle w:val="Heading1"/>
        <w:spacing w:after="120" w:before="480"/>
      </w:pPr>
      <w:r>
        <w:rPr>
          <w:rFonts w:ascii="Arial" w:cs="Arial" w:eastAsia="Arial" w:hAnsi="Arial"/>
          <w:b/>
          <w:bCs/>
          <w:color w:val="0D2137"/>
          <w:sz w:val="36"/>
          <w:szCs w:val="36"/>
        </w:rPr>
        <w:t xml:space="preserve">4. Decision Engine</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decision engine evaluates all applicable rules against the combined input text and produces a single, unambiguous decision. The engine is deterministic: identical input + identical policy file always produces identical output.</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4.1 Decision Hierarchy</w:t>
      </w:r>
    </w:p>
    <w:p>
      <w:pPr>
        <w:spacing w:after="140" w:before="0"/>
        <w:jc w:val="left"/>
      </w:pPr>
      <w:r>
        <w:rPr>
          <w:rFonts w:ascii="Arial" w:cs="Arial" w:eastAsia="Arial" w:hAnsi="Arial"/>
          <w:b w:val="false"/>
          <w:bCs w:val="false"/>
          <w:i w:val="false"/>
          <w:iCs w:val="false"/>
          <w:color w:val="1A1A2E"/>
          <w:sz w:val="22"/>
          <w:szCs w:val="22"/>
        </w:rPr>
        <w:t xml:space="preserve">Aura-Guard uses a strict priority order. If multiple rules match, the highest-severity decision wins:</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438"/>
      </w:tblGrid>
      <w:tr>
        <w:trPr>
          <w:tblHeader/>
        </w:trPr>
        <w:tc>
          <w:tcPr>
            <w:tcW w:type="dxa" w:w="18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pPr>
              <w:jc w:val="center"/>
            </w:pPr>
            <w:r>
              <w:rPr>
                <w:rFonts w:ascii="Arial" w:cs="Arial" w:eastAsia="Arial" w:hAnsi="Arial"/>
                <w:b/>
                <w:bCs/>
                <w:color w:val="FFFFFF"/>
                <w:sz w:val="20"/>
                <w:szCs w:val="20"/>
              </w:rPr>
              <w:t xml:space="preserve">Priority</w:t>
            </w:r>
          </w:p>
        </w:tc>
        <w:tc>
          <w:tcPr>
            <w:tcW w:type="dxa" w:w="14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pPr>
              <w:jc w:val="center"/>
            </w:pPr>
            <w:r>
              <w:rPr>
                <w:rFonts w:ascii="Arial" w:cs="Arial" w:eastAsia="Arial" w:hAnsi="Arial"/>
                <w:b/>
                <w:bCs/>
                <w:color w:val="FFFFFF"/>
                <w:sz w:val="20"/>
                <w:szCs w:val="20"/>
              </w:rPr>
              <w:t xml:space="preserve">Decision</w:t>
            </w:r>
          </w:p>
        </w:tc>
        <w:tc>
          <w:tcPr>
            <w:tcW w:type="dxa" w:w="6438"/>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FFFFFF"/>
                <w:sz w:val="20"/>
                <w:szCs w:val="20"/>
              </w:rPr>
              <w:t xml:space="preserve">Meaning</w:t>
            </w:r>
          </w:p>
        </w:tc>
      </w:tr>
      <w:tr>
        <w:trPr>
          <w:tblHeader w:val="false"/>
        </w:trP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val="false"/>
                <w:bCs w:val="false"/>
                <w:color w:val="1A1A2E"/>
                <w:sz w:val="20"/>
                <w:szCs w:val="20"/>
              </w:rPr>
              <w:t xml:space="preserve">1 (highest)</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bCs/>
                <w:color w:val="C0392B"/>
                <w:sz w:val="20"/>
                <w:szCs w:val="20"/>
              </w:rPr>
              <w:t xml:space="preserve">DENY</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At least one rule with action: deny matched. Interaction blocked.</w:t>
            </w:r>
          </w:p>
        </w:tc>
      </w:tr>
      <w:tr>
        <w:trPr>
          <w:tblHeader w:val="false"/>
        </w:trPr>
        <w:tc>
          <w:tcPr>
            <w:tcW w:type="dxa" w:w="18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pPr>
              <w:jc w:val="center"/>
            </w:pPr>
            <w:r>
              <w:rPr>
                <w:rFonts w:ascii="Arial" w:cs="Arial" w:eastAsia="Arial" w:hAnsi="Arial"/>
                <w:b w:val="false"/>
                <w:bCs w:val="false"/>
                <w:color w:val="1A1A2E"/>
                <w:sz w:val="20"/>
                <w:szCs w:val="20"/>
              </w:rPr>
              <w:t xml:space="preserve">2</w:t>
            </w:r>
          </w:p>
        </w:tc>
        <w:tc>
          <w:tcPr>
            <w:tcW w:type="dxa" w:w="14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pPr>
              <w:jc w:val="center"/>
            </w:pPr>
            <w:r>
              <w:rPr>
                <w:rFonts w:ascii="Arial" w:cs="Arial" w:eastAsia="Arial" w:hAnsi="Arial"/>
                <w:b/>
                <w:bCs/>
                <w:color w:val="D4A017"/>
                <w:sz w:val="20"/>
                <w:szCs w:val="20"/>
              </w:rPr>
              <w:t xml:space="preserve">REVIEW</w:t>
            </w:r>
          </w:p>
        </w:tc>
        <w:tc>
          <w:tcPr>
            <w:tcW w:type="dxa" w:w="64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One or more review rules matched, but no deny rules. Human review required.</w:t>
            </w:r>
          </w:p>
        </w:tc>
      </w:tr>
      <w:tr>
        <w:trPr>
          <w:tblHeader w:val="false"/>
        </w:trPr>
        <w:tc>
          <w:tcPr>
            <w:tcW w:type="dxa" w:w="1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val="false"/>
                <w:bCs w:val="false"/>
                <w:color w:val="1A1A2E"/>
                <w:sz w:val="20"/>
                <w:szCs w:val="20"/>
              </w:rPr>
              <w:t xml:space="preserve">3 (default)</w:t>
            </w:r>
          </w:p>
        </w:tc>
        <w:tc>
          <w:tcPr>
            <w:tcW w:type="dxa"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pPr>
              <w:jc w:val="center"/>
            </w:pPr>
            <w:r>
              <w:rPr>
                <w:rFonts w:ascii="Arial" w:cs="Arial" w:eastAsia="Arial" w:hAnsi="Arial"/>
                <w:b/>
                <w:bCs/>
                <w:color w:val="1E8449"/>
                <w:sz w:val="20"/>
                <w:szCs w:val="20"/>
              </w:rPr>
              <w:t xml:space="preserve">ALLOW</w:t>
            </w:r>
          </w:p>
        </w:tc>
        <w:tc>
          <w:tcPr>
            <w:tcW w:type="dxa" w:w="6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No rules matched. Interaction permitted.</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4.2 Conditional Rules</w:t>
      </w:r>
    </w:p>
    <w:p>
      <w:pPr>
        <w:spacing w:after="140" w:before="0"/>
        <w:jc w:val="left"/>
      </w:pPr>
      <w:r>
        <w:rPr>
          <w:rFonts w:ascii="Arial" w:cs="Arial" w:eastAsia="Arial" w:hAnsi="Arial"/>
          <w:b w:val="false"/>
          <w:bCs w:val="false"/>
          <w:i w:val="false"/>
          <w:iCs w:val="false"/>
          <w:color w:val="1A1A2E"/>
          <w:sz w:val="22"/>
          <w:szCs w:val="22"/>
        </w:rPr>
        <w:t xml:space="preserve">Rules may include a conditions.context field. When present, the rule is evaluated only if the request's context field matches the specified pattern. This prevents false positives across different deployment contexts.</w:t>
      </w:r>
    </w:p>
    <w:p>
      <w:pPr>
        <w:spacing w:after="8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Example: a SWIFT code detection rule defined with conditions.context: "Finance" will fire only for requests from a Finance Bot context — not from a Support Bot or HR system using the same policy file.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4.3 Case-Insensitive Matching</w:t>
      </w:r>
    </w:p>
    <w:p>
      <w:pPr>
        <w:spacing w:after="140" w:before="0"/>
        <w:jc w:val="left"/>
      </w:pPr>
      <w:r>
        <w:rPr>
          <w:rFonts w:ascii="Arial" w:cs="Arial" w:eastAsia="Arial" w:hAnsi="Arial"/>
          <w:b w:val="false"/>
          <w:bCs w:val="false"/>
          <w:i w:val="false"/>
          <w:iCs w:val="false"/>
          <w:color w:val="1A1A2E"/>
          <w:sz w:val="22"/>
          <w:szCs w:val="22"/>
        </w:rPr>
        <w:t xml:space="preserve">Input text is normalized to lowercase before rule evaluation, ensuring rules fire regardless of user capitalization. The SHA-256 hash is always computed from the original, unmodified text, preserving the integrity of the evidence record.</w:t>
      </w:r>
    </w:p>
    <w:p>
      <w:pPr>
        <w:pStyle w:val="Heading1"/>
        <w:spacing w:after="120" w:before="480"/>
      </w:pPr>
      <w:r>
        <w:rPr>
          <w:rFonts w:ascii="Arial" w:cs="Arial" w:eastAsia="Arial" w:hAnsi="Arial"/>
          <w:b/>
          <w:bCs/>
          <w:color w:val="0D2137"/>
          <w:sz w:val="36"/>
          <w:szCs w:val="36"/>
        </w:rPr>
        <w:t xml:space="preserve">5. Policy Management</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Policies are defined as human-readable YAML files stored in the policies/ directory. The business logic (what to detect and how to respond) is fully separated from the engine code. Policies can be updated, audited, and version-controlled independently of the software.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5.1 Policy File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238"/>
      </w:tblGrid>
      <w:tr>
        <w:trPr>
          <w:tblHeader/>
        </w:trPr>
        <w:tc>
          <w:tcPr>
            <w:tcW w:type="dxa" w:w="24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Field</w:t>
            </w:r>
          </w:p>
        </w:tc>
        <w:tc>
          <w:tcPr>
            <w:tcW w:type="dxa" w:w="20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Type</w:t>
            </w:r>
          </w:p>
        </w:tc>
        <w:tc>
          <w:tcPr>
            <w:tcW w:type="dxa" w:w="5238"/>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Description</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id</w:t>
            </w:r>
          </w:p>
        </w:tc>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string</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Unique rule identifier (used in audit log)</w:t>
            </w:r>
          </w:p>
        </w:tc>
      </w:tr>
      <w:tr>
        <w:trPr>
          <w:tblHeader w:val="false"/>
        </w:trPr>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pattern</w:t>
            </w:r>
          </w:p>
        </w:tc>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regex</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Regular expression matched against combined input text</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action</w:t>
            </w:r>
          </w:p>
        </w:tc>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deny | review</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Determines decision contribution of this rule</w:t>
            </w:r>
          </w:p>
        </w:tc>
      </w:tr>
      <w:tr>
        <w:trPr>
          <w:tblHeader w:val="false"/>
        </w:trPr>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score</w:t>
            </w:r>
          </w:p>
        </w:tc>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float 0.0–1.0</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Confidence weight reported in the violation record</w:t>
            </w:r>
          </w:p>
        </w:tc>
      </w:tr>
      <w:tr>
        <w:trPr>
          <w:tblHeader w:val="false"/>
        </w:trPr>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conditions.context</w:t>
            </w:r>
          </w:p>
        </w:tc>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regex (optional)</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Rule activates only if request context matches this pattern</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5.2 Included Policy Packs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838"/>
      </w:tblGrid>
      <w:tr>
        <w:trPr>
          <w:tblHeader/>
        </w:trPr>
        <w:tc>
          <w:tcPr>
            <w:tcW w:type="dxa" w:w="28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Policy File</w:t>
            </w:r>
          </w:p>
        </w:tc>
        <w:tc>
          <w:tcPr>
            <w:tcW w:type="dxa" w:w="30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Domain</w:t>
            </w:r>
          </w:p>
        </w:tc>
        <w:tc>
          <w:tcPr>
            <w:tcW w:type="dxa" w:w="3838"/>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Rules Included</w:t>
            </w:r>
          </w:p>
        </w:tc>
      </w:tr>
      <w:tr>
        <w:trPr>
          <w:tblHeader w:val="false"/>
        </w:trPr>
        <w:tc>
          <w:tcPr>
            <w:tcW w:type="dxa" w:w="28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finance-v1.yaml</w:t>
            </w:r>
          </w:p>
        </w:tc>
        <w:tc>
          <w:tcPr>
            <w:tcW w:type="dxa" w:w="3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Financial services</w:t>
            </w:r>
          </w:p>
        </w:tc>
        <w:tc>
          <w:tcPr>
            <w:tcW w:type="dxa" w:w="38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Credit card numbers, Polish IBANs, SWIFT codes (conditional)</w:t>
            </w:r>
          </w:p>
        </w:tc>
      </w:tr>
      <w:tr>
        <w:trPr>
          <w:tblHeader w:val="false"/>
        </w:trPr>
        <w:tc>
          <w:tcPr>
            <w:tcW w:type="dxa" w:w="28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medtech-v1.yaml</w:t>
            </w:r>
          </w:p>
        </w:tc>
        <w:tc>
          <w:tcPr>
            <w:tcW w:type="dxa" w:w="3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Medical technology</w:t>
            </w:r>
          </w:p>
        </w:tc>
        <w:tc>
          <w:tcPr>
            <w:tcW w:type="dxa" w:w="38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PESEL numbers, medical diagnoses, drug dosages (conditional)</w:t>
            </w:r>
          </w:p>
        </w:tc>
      </w:tr>
      <w:tr>
        <w:trPr>
          <w:tblHeader w:val="false"/>
        </w:trPr>
        <w:tc>
          <w:tcPr>
            <w:tcW w:type="dxa" w:w="28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Courier New" w:cs="Courier New" w:eastAsia="Courier New" w:hAnsi="Courier New"/>
                <w:b w:val="false"/>
                <w:bCs w:val="false"/>
                <w:color w:val="00A878"/>
                <w:sz w:val="20"/>
                <w:szCs w:val="20"/>
              </w:rPr>
              <w:t xml:space="preserve">hr-bias-v1.yaml</w:t>
            </w:r>
          </w:p>
        </w:tc>
        <w:tc>
          <w:tcPr>
            <w:tcW w:type="dxa" w:w="3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Human resources</w:t>
            </w:r>
          </w:p>
        </w:tc>
        <w:tc>
          <w:tcPr>
            <w:tcW w:type="dxa" w:w="38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Age bias, gender bias, salary discrimination (conditional)</w:t>
            </w:r>
          </w:p>
        </w:tc>
      </w:tr>
    </w:tbl>
    <w:p>
      <w:pPr>
        <w:pStyle w:val="Heading1"/>
        <w:spacing w:after="120" w:before="480"/>
      </w:pPr>
      <w:r>
        <w:rPr>
          <w:rFonts w:ascii="Arial" w:cs="Arial" w:eastAsia="Arial" w:hAnsi="Arial"/>
          <w:b/>
          <w:bCs/>
          <w:color w:val="0D2137"/>
          <w:sz w:val="36"/>
          <w:szCs w:val="36"/>
        </w:rPr>
        <w:t xml:space="preserve">6. Risk Scoring</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Each rule in a policy file carries a confidence score between 0.0 and 1.0. This score is reported in the violations array of every audit response and log entry. It does not influence the final decision (which is determined solely by the action field), but provides auditors with context for assessing the severity of each violation.</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6.1 Score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238"/>
      </w:tblGrid>
      <w:tr>
        <w:trPr>
          <w:tblHeader/>
        </w:trPr>
        <w:tc>
          <w:tcPr>
            <w:tcW w:type="dxa" w:w="20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pPr>
              <w:jc w:val="center"/>
            </w:pPr>
            <w:r>
              <w:rPr>
                <w:rFonts w:ascii="Courier New" w:cs="Courier New" w:eastAsia="Courier New" w:hAnsi="Courier New"/>
                <w:b/>
                <w:bCs/>
                <w:color w:val="FFFFFF"/>
                <w:sz w:val="20"/>
                <w:szCs w:val="20"/>
              </w:rPr>
              <w:t xml:space="preserve">Score Range</w:t>
            </w:r>
          </w:p>
        </w:tc>
        <w:tc>
          <w:tcPr>
            <w:tcW w:type="dxa" w:w="2400"/>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Typical Use</w:t>
            </w:r>
          </w:p>
        </w:tc>
        <w:tc>
          <w:tcPr>
            <w:tcW w:type="dxa" w:w="5238"/>
            <w:tcBorders>
              <w:top w:val="single" w:color="D0D7DE" w:sz="4"/>
              <w:left w:val="single" w:color="D0D7DE" w:sz="4"/>
              <w:bottom w:val="single" w:color="D0D7DE" w:sz="4"/>
              <w:right w:val="single" w:color="D0D7DE" w:sz="4"/>
            </w:tcBorders>
            <w:shd w:fill="0D2137" w:val="clear"/>
            <w:tcMar>
              <w:top w:type="dxa" w:w="80"/>
              <w:left w:type="dxa" w:w="140"/>
              <w:bottom w:type="dxa" w:w="80"/>
              <w:right w:type="dxa" w:w="80"/>
            </w:tcMar>
          </w:tcPr>
          <w:p>
            <w:r>
              <w:rPr>
                <w:rFonts w:ascii="Arial" w:cs="Arial" w:eastAsia="Arial" w:hAnsi="Arial"/>
                <w:b/>
                <w:bCs/>
                <w:color w:val="FFFFFF"/>
                <w:sz w:val="20"/>
                <w:szCs w:val="20"/>
              </w:rPr>
              <w:t xml:space="preserve">Example</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1.0</w:t>
            </w:r>
          </w:p>
        </w:tc>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High-certainty PII / financial data</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Credit card number (16-digit pattern)</w:t>
            </w:r>
          </w:p>
        </w:tc>
      </w:tr>
      <w:tr>
        <w:trPr>
          <w:tblHeader w:val="false"/>
        </w:trPr>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0.8 – 0.9</w:t>
            </w:r>
          </w:p>
        </w:tc>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Strong but context-dependent signal</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Age discrimination language</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0.5 – 0.7</w:t>
            </w:r>
          </w:p>
        </w:tc>
        <w:tc>
          <w:tcPr>
            <w:tcW w:type="dxa" w:w="240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1A1A2E"/>
                <w:sz w:val="20"/>
                <w:szCs w:val="20"/>
              </w:rPr>
              <w:t xml:space="preserve">Soft signal — review recommended</w:t>
            </w:r>
          </w:p>
        </w:tc>
        <w:tc>
          <w:tcPr>
            <w:tcW w:type="dxa" w:w="5238"/>
            <w:tcBorders>
              <w:top w:val="single" w:color="D0D7DE" w:sz="4"/>
              <w:left w:val="single" w:color="D0D7DE" w:sz="4"/>
              <w:bottom w:val="single" w:color="D0D7DE" w:sz="4"/>
              <w:right w:val="single" w:color="D0D7DE" w:sz="4"/>
            </w:tcBorders>
            <w:shd w:fill="FFFFFF" w:val="clear"/>
            <w:tcMar>
              <w:top w:type="dxa" w:w="80"/>
              <w:left w:type="dxa" w:w="140"/>
              <w:bottom w:type="dxa" w:w="80"/>
              <w:right w:type="dxa" w:w="80"/>
            </w:tcMar>
          </w:tcPr>
          <w:p>
            <w:r>
              <w:rPr>
                <w:rFonts w:ascii="Arial" w:cs="Arial" w:eastAsia="Arial" w:hAnsi="Arial"/>
                <w:b w:val="false"/>
                <w:bCs w:val="false"/>
                <w:color w:val="8B949E"/>
                <w:sz w:val="20"/>
                <w:szCs w:val="20"/>
              </w:rPr>
              <w:t xml:space="preserve">Medical terminology in ambiguous context</w:t>
            </w:r>
          </w:p>
        </w:tc>
      </w:tr>
      <w:tr>
        <w:trPr>
          <w:tblHeader w:val="false"/>
        </w:trPr>
        <w:tc>
          <w:tcPr>
            <w:tcW w:type="dxa" w:w="20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pPr>
              <w:jc w:val="center"/>
            </w:pPr>
            <w:r>
              <w:rPr>
                <w:rFonts w:ascii="Courier New" w:cs="Courier New" w:eastAsia="Courier New" w:hAnsi="Courier New"/>
                <w:b w:val="false"/>
                <w:bCs w:val="false"/>
                <w:color w:val="00A878"/>
                <w:sz w:val="20"/>
                <w:szCs w:val="20"/>
              </w:rPr>
              <w:t xml:space="preserve">&lt; 0.5</w:t>
            </w:r>
          </w:p>
        </w:tc>
        <w:tc>
          <w:tcPr>
            <w:tcW w:type="dxa" w:w="2400"/>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1A1A2E"/>
                <w:sz w:val="20"/>
                <w:szCs w:val="20"/>
              </w:rPr>
              <w:t xml:space="preserve">Informational flag only</w:t>
            </w:r>
          </w:p>
        </w:tc>
        <w:tc>
          <w:tcPr>
            <w:tcW w:type="dxa" w:w="5238"/>
            <w:tcBorders>
              <w:top w:val="single" w:color="D0D7DE" w:sz="4"/>
              <w:left w:val="single" w:color="D0D7DE" w:sz="4"/>
              <w:bottom w:val="single" w:color="D0D7DE" w:sz="4"/>
              <w:right w:val="single" w:color="D0D7DE" w:sz="4"/>
            </w:tcBorders>
            <w:shd w:fill="F0F4F8" w:val="clear"/>
            <w:tcMar>
              <w:top w:type="dxa" w:w="80"/>
              <w:left w:type="dxa" w:w="140"/>
              <w:bottom w:type="dxa" w:w="80"/>
              <w:right w:type="dxa" w:w="80"/>
            </w:tcMar>
          </w:tcPr>
          <w:p>
            <w:r>
              <w:rPr>
                <w:rFonts w:ascii="Arial" w:cs="Arial" w:eastAsia="Arial" w:hAnsi="Arial"/>
                <w:b w:val="false"/>
                <w:bCs w:val="false"/>
                <w:color w:val="8B949E"/>
                <w:sz w:val="20"/>
                <w:szCs w:val="20"/>
              </w:rPr>
              <w:t xml:space="preserve">Custom organizational rules (future)</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6.2 Aggregate Risk in Daily Reports</w:t>
      </w:r>
    </w:p>
    <w:p>
      <w:pPr>
        <w:spacing w:after="140" w:before="0"/>
        <w:jc w:val="left"/>
      </w:pPr>
      <w:r>
        <w:rPr>
          <w:rFonts w:ascii="Arial" w:cs="Arial" w:eastAsia="Arial" w:hAnsi="Arial"/>
          <w:b w:val="false"/>
          <w:bCs w:val="false"/>
          <w:i w:val="false"/>
          <w:iCs w:val="false"/>
          <w:color w:val="1A1A2E"/>
          <w:sz w:val="22"/>
          <w:szCs w:val="22"/>
        </w:rPr>
        <w:t xml:space="preserve">The PDF Report Generator (reports/generate_report.py) aggregates all audit events from a given day and presents:</w:t>
      </w:r>
    </w:p>
    <w:p>
      <w:pPr>
        <w:pStyle w:val="ListParagraph"/>
        <w:numPr>
          <w:ilvl w:val="0"/>
          <w:numId w:val="2"/>
        </w:numPr>
        <w:spacing w:after="40" w:before="40"/>
      </w:pPr>
      <w:r>
        <w:rPr>
          <w:rFonts w:ascii="Arial" w:cs="Arial" w:eastAsia="Arial" w:hAnsi="Arial"/>
          <w:color w:val="1A1A2E"/>
          <w:sz w:val="22"/>
          <w:szCs w:val="22"/>
        </w:rPr>
        <w:t xml:space="preserve">Total count of DENY / REVIEW / ALLOW decisions</w:t>
      </w:r>
    </w:p>
    <w:p>
      <w:pPr>
        <w:pStyle w:val="ListParagraph"/>
        <w:numPr>
          <w:ilvl w:val="0"/>
          <w:numId w:val="2"/>
        </w:numPr>
        <w:spacing w:after="40" w:before="40"/>
      </w:pPr>
      <w:r>
        <w:rPr>
          <w:rFonts w:ascii="Arial" w:cs="Arial" w:eastAsia="Arial" w:hAnsi="Arial"/>
          <w:color w:val="1A1A2E"/>
          <w:sz w:val="22"/>
          <w:szCs w:val="22"/>
        </w:rPr>
        <w:t xml:space="preserve">Ranking of most frequently triggered rules</w:t>
      </w:r>
    </w:p>
    <w:p>
      <w:pPr>
        <w:pStyle w:val="ListParagraph"/>
        <w:numPr>
          <w:ilvl w:val="0"/>
          <w:numId w:val="2"/>
        </w:numPr>
        <w:spacing w:after="40" w:before="40"/>
      </w:pPr>
      <w:r>
        <w:rPr>
          <w:rFonts w:ascii="Arial" w:cs="Arial" w:eastAsia="Arial" w:hAnsi="Arial"/>
          <w:color w:val="1A1A2E"/>
          <w:sz w:val="22"/>
          <w:szCs w:val="22"/>
        </w:rPr>
        <w:t xml:space="preserve">Breakdown of decisions by policy set</w:t>
      </w:r>
    </w:p>
    <w:p>
      <w:pPr>
        <w:pStyle w:val="ListParagraph"/>
        <w:numPr>
          <w:ilvl w:val="0"/>
          <w:numId w:val="2"/>
        </w:numPr>
        <w:spacing w:after="40" w:before="40"/>
      </w:pPr>
      <w:r>
        <w:rPr>
          <w:rFonts w:ascii="Arial" w:cs="Arial" w:eastAsia="Arial" w:hAnsi="Arial"/>
          <w:color w:val="1A1A2E"/>
          <w:sz w:val="22"/>
          <w:szCs w:val="22"/>
        </w:rPr>
        <w:t xml:space="preserve">Full chronological event log with hash references</w:t>
      </w:r>
    </w:p>
    <w:p>
      <w:pPr>
        <w:spacing w:after="8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Reports are generated locally from logs/audit.jsonl and do not require network access.</w:t>
      </w:r>
    </w:p>
    <w:p>
      <w:pPr>
        <w:pStyle w:val="Heading1"/>
        <w:spacing w:after="120" w:before="480"/>
      </w:pPr>
      <w:r>
        <w:rPr>
          <w:rFonts w:ascii="Arial" w:cs="Arial" w:eastAsia="Arial" w:hAnsi="Arial"/>
          <w:b/>
          <w:bCs/>
          <w:color w:val="0D2137"/>
          <w:sz w:val="36"/>
          <w:szCs w:val="36"/>
        </w:rPr>
        <w:t xml:space="preserve">7. Scope of Responsibility</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The following table defines the boundary of responsibility between Aura-Guard and the deploying organization. This boundary is critical for regulatory compliance assessments under frameworks such as the EU AI Act, GDPR, and sector-specific regulations.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938"/>
      </w:tblGrid>
      <w:tr>
        <w:trPr>
          <w:tblHeader/>
        </w:trPr>
        <w:tc>
          <w:tcPr>
            <w:tcW w:type="dxa" w:w="47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FFFFFF"/>
                <w:sz w:val="20"/>
                <w:szCs w:val="20"/>
              </w:rPr>
              <w:t xml:space="preserve">Aura-Guard Guarantee</w:t>
            </w:r>
          </w:p>
        </w:tc>
        <w:tc>
          <w:tcPr>
            <w:tcW w:type="dxa" w:w="4938"/>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1E8449"/>
                <w:sz w:val="20"/>
                <w:szCs w:val="20"/>
              </w:rPr>
              <w:t xml:space="preserve">Client Responsibility</w:t>
            </w:r>
          </w:p>
        </w:tc>
      </w:tr>
      <w:tr>
        <w:trPr>
          <w:tblHeader w:val="false"/>
        </w:trPr>
        <w:tc>
          <w:tcPr>
            <w:tcW w:type="dxa" w:w="47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Deterministic rule execution — SHA-256 hash chain proves input integrity</w:t>
            </w:r>
          </w:p>
        </w:tc>
        <w:tc>
          <w:tcPr>
            <w:tcW w:type="dxa" w:w="49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Definition and maintenance of YAML business policies</w:t>
            </w:r>
          </w:p>
        </w:tc>
      </w:tr>
      <w:tr>
        <w:trPr>
          <w:tblHeader w:val="false"/>
        </w:trPr>
        <w:tc>
          <w:tcPr>
            <w:tcW w:type="dxa" w:w="47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Accurate application of configured policy rules (DENY/REVIEW/ALLOW)</w:t>
            </w:r>
          </w:p>
        </w:tc>
        <w:tc>
          <w:tcPr>
            <w:tcW w:type="dxa" w:w="49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Interpretation of audit results and business/HR decisions</w:t>
            </w:r>
          </w:p>
        </w:tc>
      </w:tr>
      <w:tr>
        <w:trPr>
          <w:tblHeader w:val="false"/>
        </w:trPr>
        <w:tc>
          <w:tcPr>
            <w:tcW w:type="dxa" w:w="47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Case-insensitive matching with original-text evidence preservation</w:t>
            </w:r>
          </w:p>
        </w:tc>
        <w:tc>
          <w:tcPr>
            <w:tcW w:type="dxa" w:w="49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Deployment, access control, and infrastructure security</w:t>
            </w:r>
          </w:p>
        </w:tc>
      </w:tr>
      <w:tr>
        <w:trPr>
          <w:tblHeader w:val="false"/>
        </w:trPr>
        <w:tc>
          <w:tcPr>
            <w:tcW w:type="dxa" w:w="47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Non-fatal error handling — audit failures logged, never silently dropped</w:t>
            </w:r>
          </w:p>
        </w:tc>
        <w:tc>
          <w:tcPr>
            <w:tcW w:type="dxa" w:w="49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Retention, backup, and protection of audit log files</w:t>
            </w:r>
          </w:p>
        </w:tc>
      </w:tr>
      <w:tr>
        <w:trPr>
          <w:tblHeader w:val="false"/>
        </w:trPr>
        <w:tc>
          <w:tcPr>
            <w:tcW w:type="dxa" w:w="47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Dynamic per-request policy resolution with DashMap cache</w:t>
            </w:r>
          </w:p>
        </w:tc>
        <w:tc>
          <w:tcPr>
            <w:tcW w:type="dxa" w:w="49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20"/>
                <w:szCs w:val="20"/>
              </w:rPr>
              <w:t xml:space="preserve">Integration with downstream systems and compliance workflows</w:t>
            </w:r>
          </w:p>
        </w:tc>
      </w:tr>
      <w:tr>
        <w:trPr>
          <w:tblHeader w:val="false"/>
        </w:trPr>
        <w:tc>
          <w:tcPr>
            <w:tcW w:type="dxa" w:w="4700"/>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PDF report generation from local log data only</w:t>
            </w:r>
          </w:p>
        </w:tc>
        <w:tc>
          <w:tcPr>
            <w:tcW w:type="dxa" w:w="4938"/>
            <w:tcBorders>
              <w:top w:val="single" w:color="D0D7DE" w:sz="4"/>
              <w:left w:val="single" w:color="D0D7DE" w:sz="4"/>
              <w:bottom w:val="single" w:color="D0D7DE" w:sz="4"/>
              <w:right w:val="single" w:color="D0D7DE" w:sz="4"/>
            </w:tcBorders>
            <w:shd w:fill="F0F4F8" w:val="clear"/>
            <w:tcMar>
              <w:top w:type="dxa" w:w="100"/>
              <w:left w:type="dxa" w:w="140"/>
              <w:bottom w:type="dxa" w:w="100"/>
              <w:right w:type="dxa" w:w="80"/>
            </w:tcMar>
          </w:tcPr>
          <w:p>
            <w:r>
              <w:rPr>
                <w:rFonts w:ascii="Arial" w:cs="Arial" w:eastAsia="Arial" w:hAnsi="Arial"/>
                <w:b w:val="false"/>
                <w:bCs w:val="false"/>
                <w:color w:val="1A1A2E"/>
                <w:sz w:val="20"/>
                <w:szCs w:val="20"/>
              </w:rPr>
              <w:t xml:space="preserve">Distribution and governance of generated compliance reports</w:t>
            </w:r>
          </w:p>
        </w:tc>
      </w:tr>
    </w:tbl>
    <w:p>
      <w:pPr>
        <w:spacing w:after="160" w:before="0"/>
      </w:pPr>
      <w:r>
        <w:t xml:space="preserve"/>
      </w:r>
    </w:p>
    <w:p>
      <w:pPr>
        <w:spacing w:after="140" w:before="0"/>
        <w:jc w:val="left"/>
      </w:pPr>
      <w:r>
        <w:rPr>
          <w:rFonts w:ascii="Arial" w:cs="Arial" w:eastAsia="Arial" w:hAnsi="Arial"/>
          <w:b w:val="false"/>
          <w:bCs w:val="false"/>
          <w:i/>
          <w:iCs/>
          <w:color w:val="1A1A2E"/>
          <w:sz w:val="22"/>
          <w:szCs w:val="22"/>
        </w:rPr>
        <w:t xml:space="preserve">Aura-Guard does not make business decisions. It provides a deterministic audit record. All decisions about how to act on that record — blocking users, escalating to human review, filing compliance reports — remain the exclusive responsibility of the deploying organization.</w:t>
      </w:r>
    </w:p>
    <w:p>
      <w:pPr>
        <w:pStyle w:val="Heading1"/>
        <w:spacing w:after="120" w:before="480"/>
      </w:pPr>
      <w:r>
        <w:rPr>
          <w:rFonts w:ascii="Arial" w:cs="Arial" w:eastAsia="Arial" w:hAnsi="Arial"/>
          <w:b/>
          <w:bCs/>
          <w:color w:val="0D2137"/>
          <w:sz w:val="36"/>
          <w:szCs w:val="36"/>
        </w:rPr>
        <w:t xml:space="preserve">8. Product Roadmap</w:t>
      </w:r>
    </w:p>
    <w:p>
      <w:pPr>
        <w:pBdr>
          <w:bottom w:val="single" w:color="00A878" w:sz="8" w:space="1"/>
        </w:pBd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738"/>
      </w:tblGrid>
      <w:tr>
        <w:trPr>
          <w:tblHeader/>
        </w:trPr>
        <w:tc>
          <w:tcPr>
            <w:tcW w:type="dxa" w:w="1700"/>
            <w:tcBorders>
              <w:top w:val="single" w:color="D0D7DE" w:sz="4"/>
              <w:left w:val="single" w:color="D0D7DE" w:sz="4"/>
              <w:bottom w:val="single" w:color="D0D7DE" w:sz="4"/>
              <w:right w:val="single" w:color="D0D7DE" w:sz="4"/>
            </w:tcBorders>
            <w:shd w:fill="0D2137" w:val="clear"/>
            <w:tcMar>
              <w:top w:type="dxa" w:w="90"/>
              <w:left w:type="dxa" w:w="120"/>
              <w:bottom w:type="dxa" w:w="90"/>
              <w:right w:type="dxa" w:w="80"/>
            </w:tcMar>
          </w:tcPr>
          <w:p>
            <w:r>
              <w:rPr>
                <w:rFonts w:ascii="Arial" w:cs="Arial" w:eastAsia="Arial" w:hAnsi="Arial"/>
                <w:b/>
                <w:bCs/>
                <w:color w:val="FFFFFF"/>
                <w:sz w:val="18"/>
                <w:szCs w:val="18"/>
              </w:rPr>
              <w:t xml:space="preserve">Version</w:t>
            </w:r>
          </w:p>
        </w:tc>
        <w:tc>
          <w:tcPr>
            <w:tcW w:type="dxa" w:w="3200"/>
            <w:tcBorders>
              <w:top w:val="single" w:color="D0D7DE" w:sz="4"/>
              <w:left w:val="single" w:color="D0D7DE" w:sz="4"/>
              <w:bottom w:val="single" w:color="D0D7DE" w:sz="4"/>
              <w:right w:val="single" w:color="D0D7DE" w:sz="4"/>
            </w:tcBorders>
            <w:shd w:fill="0D2137" w:val="clear"/>
            <w:tcMar>
              <w:top w:type="dxa" w:w="90"/>
              <w:left w:type="dxa" w:w="120"/>
              <w:bottom w:type="dxa" w:w="90"/>
              <w:right w:type="dxa" w:w="80"/>
            </w:tcMar>
          </w:tcPr>
          <w:p>
            <w:r>
              <w:rPr>
                <w:rFonts w:ascii="Arial" w:cs="Arial" w:eastAsia="Arial" w:hAnsi="Arial"/>
                <w:b/>
                <w:bCs/>
                <w:color w:val="FFFFFF"/>
                <w:sz w:val="18"/>
                <w:szCs w:val="18"/>
              </w:rPr>
              <w:t xml:space="preserve">Feature</w:t>
            </w:r>
          </w:p>
        </w:tc>
        <w:tc>
          <w:tcPr>
            <w:tcW w:type="dxa" w:w="4738"/>
            <w:tcBorders>
              <w:top w:val="single" w:color="D0D7DE" w:sz="4"/>
              <w:left w:val="single" w:color="D0D7DE" w:sz="4"/>
              <w:bottom w:val="single" w:color="D0D7DE" w:sz="4"/>
              <w:right w:val="single" w:color="D0D7DE" w:sz="4"/>
            </w:tcBorders>
            <w:shd w:fill="0D2137" w:val="clear"/>
            <w:tcMar>
              <w:top w:type="dxa" w:w="90"/>
              <w:left w:type="dxa" w:w="120"/>
              <w:bottom w:type="dxa" w:w="90"/>
              <w:right w:type="dxa" w:w="80"/>
            </w:tcMar>
          </w:tcPr>
          <w:p>
            <w:r>
              <w:rPr>
                <w:rFonts w:ascii="Arial" w:cs="Arial" w:eastAsia="Arial" w:hAnsi="Arial"/>
                <w:b/>
                <w:bCs/>
                <w:color w:val="FFFFFF"/>
                <w:sz w:val="18"/>
                <w:szCs w:val="18"/>
              </w:rPr>
              <w:t xml:space="preserve">Compliance Benefit</w:t>
            </w:r>
          </w:p>
        </w:tc>
      </w:tr>
      <w:tr>
        <w:trPr>
          <w:tblHeader w:val="false"/>
        </w:trPr>
        <w:tc>
          <w:tcPr>
            <w:tcW w:type="dxa" w:w="1700"/>
            <w:tcBorders>
              <w:top w:val="single" w:color="D0D7DE" w:sz="4"/>
              <w:left w:val="single" w:color="D0D7DE" w:sz="4"/>
              <w:bottom w:val="single" w:color="D0D7DE" w:sz="4"/>
              <w:right w:val="single" w:color="D0D7DE" w:sz="4"/>
            </w:tcBorders>
            <w:shd w:fill="FFFFFF" w:val="clear"/>
            <w:tcMar>
              <w:top w:type="dxa" w:w="90"/>
              <w:left w:type="dxa" w:w="120"/>
              <w:bottom w:type="dxa" w:w="90"/>
              <w:right w:type="dxa" w:w="80"/>
            </w:tcMar>
          </w:tcPr>
          <w:p>
            <w:r>
              <w:rPr>
                <w:rFonts w:ascii="Courier New" w:cs="Courier New" w:eastAsia="Courier New" w:hAnsi="Courier New"/>
                <w:b w:val="false"/>
                <w:bCs w:val="false"/>
                <w:color w:val="00A878"/>
                <w:sz w:val="18"/>
                <w:szCs w:val="18"/>
              </w:rPr>
              <w:t xml:space="preserve">v1.2 (Current)</w:t>
            </w:r>
          </w:p>
        </w:tc>
        <w:tc>
          <w:tcPr>
            <w:tcW w:type="dxa" w:w="3200"/>
            <w:tcBorders>
              <w:top w:val="single" w:color="D0D7DE" w:sz="4"/>
              <w:left w:val="single" w:color="D0D7DE" w:sz="4"/>
              <w:bottom w:val="single" w:color="D0D7DE" w:sz="4"/>
              <w:right w:val="single" w:color="D0D7DE" w:sz="4"/>
            </w:tcBorders>
            <w:shd w:fill="FFFFFF" w:val="clear"/>
            <w:tcMar>
              <w:top w:type="dxa" w:w="90"/>
              <w:left w:type="dxa" w:w="120"/>
              <w:bottom w:type="dxa" w:w="90"/>
              <w:right w:type="dxa" w:w="80"/>
            </w:tcMar>
          </w:tcPr>
          <w:p>
            <w:r>
              <w:rPr>
                <w:rFonts w:ascii="Arial" w:cs="Arial" w:eastAsia="Arial" w:hAnsi="Arial"/>
                <w:b w:val="false"/>
                <w:bCs w:val="false"/>
                <w:color w:val="1A1A2E"/>
                <w:sz w:val="18"/>
                <w:szCs w:val="18"/>
              </w:rPr>
              <w:t xml:space="preserve">DashMap policy cache, conditional rules, PDF report generator</w:t>
            </w:r>
          </w:p>
        </w:tc>
        <w:tc>
          <w:tcPr>
            <w:tcW w:type="dxa" w:w="4738"/>
            <w:tcBorders>
              <w:top w:val="single" w:color="D0D7DE" w:sz="4"/>
              <w:left w:val="single" w:color="D0D7DE" w:sz="4"/>
              <w:bottom w:val="single" w:color="D0D7DE" w:sz="4"/>
              <w:right w:val="single" w:color="D0D7DE" w:sz="4"/>
            </w:tcBorders>
            <w:shd w:fill="FFFFFF" w:val="clear"/>
            <w:tcMar>
              <w:top w:type="dxa" w:w="90"/>
              <w:left w:type="dxa" w:w="120"/>
              <w:bottom w:type="dxa" w:w="90"/>
              <w:right w:type="dxa" w:w="80"/>
            </w:tcMar>
          </w:tcPr>
          <w:p>
            <w:r>
              <w:rPr>
                <w:rFonts w:ascii="Arial" w:cs="Arial" w:eastAsia="Arial" w:hAnsi="Arial"/>
                <w:b w:val="false"/>
                <w:bCs w:val="false"/>
                <w:color w:val="8B949E"/>
                <w:sz w:val="18"/>
                <w:szCs w:val="18"/>
              </w:rPr>
              <w:t xml:space="preserve">High-throughput compliance; context-aware detection; management reporting without cloud</w:t>
            </w:r>
          </w:p>
        </w:tc>
      </w:tr>
      <w:tr>
        <w:trPr>
          <w:tblHeader w:val="false"/>
        </w:trPr>
        <w:tc>
          <w:tcPr>
            <w:tcW w:type="dxa" w:w="1700"/>
            <w:tcBorders>
              <w:top w:val="single" w:color="D0D7DE" w:sz="4"/>
              <w:left w:val="single" w:color="D0D7DE" w:sz="4"/>
              <w:bottom w:val="single" w:color="D0D7DE" w:sz="4"/>
              <w:right w:val="single" w:color="D0D7DE" w:sz="4"/>
            </w:tcBorders>
            <w:shd w:fill="F0F4F8" w:val="clear"/>
            <w:tcMar>
              <w:top w:type="dxa" w:w="90"/>
              <w:left w:type="dxa" w:w="120"/>
              <w:bottom w:type="dxa" w:w="90"/>
              <w:right w:type="dxa" w:w="80"/>
            </w:tcMar>
          </w:tcPr>
          <w:p>
            <w:r>
              <w:rPr>
                <w:rFonts w:ascii="Courier New" w:cs="Courier New" w:eastAsia="Courier New" w:hAnsi="Courier New"/>
                <w:b w:val="false"/>
                <w:bCs w:val="false"/>
                <w:color w:val="00A878"/>
                <w:sz w:val="18"/>
                <w:szCs w:val="18"/>
              </w:rPr>
              <w:t xml:space="preserve">v1.3 (Planned)</w:t>
            </w:r>
          </w:p>
        </w:tc>
        <w:tc>
          <w:tcPr>
            <w:tcW w:type="dxa" w:w="3200"/>
            <w:tcBorders>
              <w:top w:val="single" w:color="D0D7DE" w:sz="4"/>
              <w:left w:val="single" w:color="D0D7DE" w:sz="4"/>
              <w:bottom w:val="single" w:color="D0D7DE" w:sz="4"/>
              <w:right w:val="single" w:color="D0D7DE" w:sz="4"/>
            </w:tcBorders>
            <w:shd w:fill="F0F4F8" w:val="clear"/>
            <w:tcMar>
              <w:top w:type="dxa" w:w="90"/>
              <w:left w:type="dxa" w:w="120"/>
              <w:bottom w:type="dxa" w:w="90"/>
              <w:right w:type="dxa" w:w="80"/>
            </w:tcMar>
          </w:tcPr>
          <w:p>
            <w:r>
              <w:rPr>
                <w:rFonts w:ascii="Arial" w:cs="Arial" w:eastAsia="Arial" w:hAnsi="Arial"/>
                <w:b w:val="false"/>
                <w:bCs w:val="false"/>
                <w:color w:val="1A1A2E"/>
                <w:sz w:val="18"/>
                <w:szCs w:val="18"/>
              </w:rPr>
              <w:t xml:space="preserve">Replay Verification CLI + Prometheus metrics endpoint</w:t>
            </w:r>
          </w:p>
        </w:tc>
        <w:tc>
          <w:tcPr>
            <w:tcW w:type="dxa" w:w="4738"/>
            <w:tcBorders>
              <w:top w:val="single" w:color="D0D7DE" w:sz="4"/>
              <w:left w:val="single" w:color="D0D7DE" w:sz="4"/>
              <w:bottom w:val="single" w:color="D0D7DE" w:sz="4"/>
              <w:right w:val="single" w:color="D0D7DE" w:sz="4"/>
            </w:tcBorders>
            <w:shd w:fill="F0F4F8" w:val="clear"/>
            <w:tcMar>
              <w:top w:type="dxa" w:w="90"/>
              <w:left w:type="dxa" w:w="120"/>
              <w:bottom w:type="dxa" w:w="90"/>
              <w:right w:type="dxa" w:w="80"/>
            </w:tcMar>
          </w:tcPr>
          <w:p>
            <w:r>
              <w:rPr>
                <w:rFonts w:ascii="Arial" w:cs="Arial" w:eastAsia="Arial" w:hAnsi="Arial"/>
                <w:b w:val="false"/>
                <w:bCs w:val="false"/>
                <w:color w:val="8B949E"/>
                <w:sz w:val="18"/>
                <w:szCs w:val="18"/>
              </w:rPr>
              <w:t xml:space="preserve">Core differentiator: cryptographic audit trail verification; SOC/SIEM dashboard integration</w:t>
            </w:r>
          </w:p>
        </w:tc>
      </w:tr>
      <w:tr>
        <w:trPr>
          <w:tblHeader w:val="false"/>
        </w:trPr>
        <w:tc>
          <w:tcPr>
            <w:tcW w:type="dxa" w:w="1700"/>
            <w:tcBorders>
              <w:top w:val="single" w:color="D0D7DE" w:sz="4"/>
              <w:left w:val="single" w:color="D0D7DE" w:sz="4"/>
              <w:bottom w:val="single" w:color="D0D7DE" w:sz="4"/>
              <w:right w:val="single" w:color="D0D7DE" w:sz="4"/>
            </w:tcBorders>
            <w:shd w:fill="FFFFFF" w:val="clear"/>
            <w:tcMar>
              <w:top w:type="dxa" w:w="90"/>
              <w:left w:type="dxa" w:w="120"/>
              <w:bottom w:type="dxa" w:w="90"/>
              <w:right w:type="dxa" w:w="80"/>
            </w:tcMar>
          </w:tcPr>
          <w:p>
            <w:r>
              <w:rPr>
                <w:rFonts w:ascii="Courier New" w:cs="Courier New" w:eastAsia="Courier New" w:hAnsi="Courier New"/>
                <w:b w:val="false"/>
                <w:bCs w:val="false"/>
                <w:color w:val="00A878"/>
                <w:sz w:val="18"/>
                <w:szCs w:val="18"/>
              </w:rPr>
              <w:t xml:space="preserve">v1.4 (Planned)</w:t>
            </w:r>
          </w:p>
        </w:tc>
        <w:tc>
          <w:tcPr>
            <w:tcW w:type="dxa" w:w="3200"/>
            <w:tcBorders>
              <w:top w:val="single" w:color="D0D7DE" w:sz="4"/>
              <w:left w:val="single" w:color="D0D7DE" w:sz="4"/>
              <w:bottom w:val="single" w:color="D0D7DE" w:sz="4"/>
              <w:right w:val="single" w:color="D0D7DE" w:sz="4"/>
            </w:tcBorders>
            <w:shd w:fill="FFFFFF" w:val="clear"/>
            <w:tcMar>
              <w:top w:type="dxa" w:w="90"/>
              <w:left w:type="dxa" w:w="120"/>
              <w:bottom w:type="dxa" w:w="90"/>
              <w:right w:type="dxa" w:w="80"/>
            </w:tcMar>
          </w:tcPr>
          <w:p>
            <w:r>
              <w:rPr>
                <w:rFonts w:ascii="Arial" w:cs="Arial" w:eastAsia="Arial" w:hAnsi="Arial"/>
                <w:b w:val="false"/>
                <w:bCs w:val="false"/>
                <w:color w:val="1A1A2E"/>
                <w:sz w:val="18"/>
                <w:szCs w:val="18"/>
              </w:rPr>
              <w:t xml:space="preserve">Docker containerization + Kubernetes support</w:t>
            </w:r>
          </w:p>
        </w:tc>
        <w:tc>
          <w:tcPr>
            <w:tcW w:type="dxa" w:w="4738"/>
            <w:tcBorders>
              <w:top w:val="single" w:color="D0D7DE" w:sz="4"/>
              <w:left w:val="single" w:color="D0D7DE" w:sz="4"/>
              <w:bottom w:val="single" w:color="D0D7DE" w:sz="4"/>
              <w:right w:val="single" w:color="D0D7DE" w:sz="4"/>
            </w:tcBorders>
            <w:shd w:fill="FFFFFF" w:val="clear"/>
            <w:tcMar>
              <w:top w:type="dxa" w:w="90"/>
              <w:left w:type="dxa" w:w="120"/>
              <w:bottom w:type="dxa" w:w="90"/>
              <w:right w:type="dxa" w:w="80"/>
            </w:tcMar>
          </w:tcPr>
          <w:p>
            <w:r>
              <w:rPr>
                <w:rFonts w:ascii="Arial" w:cs="Arial" w:eastAsia="Arial" w:hAnsi="Arial"/>
                <w:b w:val="false"/>
                <w:bCs w:val="false"/>
                <w:color w:val="8B949E"/>
                <w:sz w:val="18"/>
                <w:szCs w:val="18"/>
              </w:rPr>
              <w:t xml:space="preserve">Enterprise deployment flexibility; CI/CD pipeline integration</w:t>
            </w:r>
          </w:p>
        </w:tc>
      </w:tr>
      <w:tr>
        <w:trPr>
          <w:tblHeader w:val="false"/>
        </w:trPr>
        <w:tc>
          <w:tcPr>
            <w:tcW w:type="dxa" w:w="1700"/>
            <w:tcBorders>
              <w:top w:val="single" w:color="D0D7DE" w:sz="4"/>
              <w:left w:val="single" w:color="D0D7DE" w:sz="4"/>
              <w:bottom w:val="single" w:color="D0D7DE" w:sz="4"/>
              <w:right w:val="single" w:color="D0D7DE" w:sz="4"/>
            </w:tcBorders>
            <w:shd w:fill="F0F4F8" w:val="clear"/>
            <w:tcMar>
              <w:top w:type="dxa" w:w="90"/>
              <w:left w:type="dxa" w:w="120"/>
              <w:bottom w:type="dxa" w:w="90"/>
              <w:right w:type="dxa" w:w="80"/>
            </w:tcMar>
          </w:tcPr>
          <w:p>
            <w:r>
              <w:rPr>
                <w:rFonts w:ascii="Courier New" w:cs="Courier New" w:eastAsia="Courier New" w:hAnsi="Courier New"/>
                <w:b w:val="false"/>
                <w:bCs w:val="false"/>
                <w:color w:val="00A878"/>
                <w:sz w:val="18"/>
                <w:szCs w:val="18"/>
              </w:rPr>
              <w:t xml:space="preserve">v2.0 (Roadmap)</w:t>
            </w:r>
          </w:p>
        </w:tc>
        <w:tc>
          <w:tcPr>
            <w:tcW w:type="dxa" w:w="3200"/>
            <w:tcBorders>
              <w:top w:val="single" w:color="D0D7DE" w:sz="4"/>
              <w:left w:val="single" w:color="D0D7DE" w:sz="4"/>
              <w:bottom w:val="single" w:color="D0D7DE" w:sz="4"/>
              <w:right w:val="single" w:color="D0D7DE" w:sz="4"/>
            </w:tcBorders>
            <w:shd w:fill="F0F4F8" w:val="clear"/>
            <w:tcMar>
              <w:top w:type="dxa" w:w="90"/>
              <w:left w:type="dxa" w:w="120"/>
              <w:bottom w:type="dxa" w:w="90"/>
              <w:right w:type="dxa" w:w="80"/>
            </w:tcMar>
          </w:tcPr>
          <w:p>
            <w:r>
              <w:rPr>
                <w:rFonts w:ascii="Arial" w:cs="Arial" w:eastAsia="Arial" w:hAnsi="Arial"/>
                <w:b w:val="false"/>
                <w:bCs w:val="false"/>
                <w:color w:val="1A1A2E"/>
                <w:sz w:val="18"/>
                <w:szCs w:val="18"/>
              </w:rPr>
              <w:t xml:space="preserve">Optional advisory SLM plugins</w:t>
            </w:r>
          </w:p>
        </w:tc>
        <w:tc>
          <w:tcPr>
            <w:tcW w:type="dxa" w:w="4738"/>
            <w:tcBorders>
              <w:top w:val="single" w:color="D0D7DE" w:sz="4"/>
              <w:left w:val="single" w:color="D0D7DE" w:sz="4"/>
              <w:bottom w:val="single" w:color="D0D7DE" w:sz="4"/>
              <w:right w:val="single" w:color="D0D7DE" w:sz="4"/>
            </w:tcBorders>
            <w:shd w:fill="F0F4F8" w:val="clear"/>
            <w:tcMar>
              <w:top w:type="dxa" w:w="90"/>
              <w:left w:type="dxa" w:w="120"/>
              <w:bottom w:type="dxa" w:w="90"/>
              <w:right w:type="dxa" w:w="80"/>
            </w:tcMar>
          </w:tcPr>
          <w:p>
            <w:r>
              <w:rPr>
                <w:rFonts w:ascii="Arial" w:cs="Arial" w:eastAsia="Arial" w:hAnsi="Arial"/>
                <w:b w:val="false"/>
                <w:bCs w:val="false"/>
                <w:color w:val="8B949E"/>
                <w:sz w:val="18"/>
                <w:szCs w:val="18"/>
              </w:rPr>
              <w:t xml:space="preserve">AI-assisted rule suggestions; deterministic engine retains final authority</w:t>
            </w:r>
          </w:p>
        </w:tc>
      </w:tr>
    </w:tbl>
    <w:p>
      <w:pPr>
        <w:spacing w:after="120" w:before="0"/>
      </w:pPr>
      <w:r>
        <w:t xml:space="preserve"/>
      </w:r>
    </w:p>
    <w:p>
      <w:pPr>
        <w:spacing w:after="140" w:before="0"/>
        <w:jc w:val="left"/>
      </w:pPr>
      <w:r>
        <w:rPr>
          <w:rFonts w:ascii="Arial" w:cs="Arial" w:eastAsia="Arial" w:hAnsi="Arial"/>
          <w:b w:val="false"/>
          <w:bCs w:val="false"/>
          <w:i/>
          <w:iCs/>
          <w:color w:val="1A1A2E"/>
          <w:sz w:val="22"/>
          <w:szCs w:val="22"/>
        </w:rPr>
        <w:t xml:space="preserve">Note on Replay Verification (v1.3): This feature is elevated from v1.4 to v1.3 because replayability is the core differentiator between a logging system and a true audit infrastructure. Without it, hash verification remains a manual process requiring developer involvement.</w:t>
      </w:r>
    </w:p>
    <w:p>
      <w:pPr>
        <w:pStyle w:val="Heading1"/>
        <w:spacing w:after="120" w:before="480"/>
      </w:pPr>
      <w:r>
        <w:rPr>
          <w:rFonts w:ascii="Arial" w:cs="Arial" w:eastAsia="Arial" w:hAnsi="Arial"/>
          <w:b/>
          <w:bCs/>
          <w:color w:val="0D2137"/>
          <w:sz w:val="36"/>
          <w:szCs w:val="36"/>
        </w:rPr>
        <w:t xml:space="preserve">9. Threat Model &amp; Explicit Non-Goals</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 mature security system defines not only what it protects against, but also what lies outside its scope. This section provides an explicit boundary between Aura-Guard's detection capabilities and the threats it does not address. Misrepresenting these boundaries would undermine the trust of auditors and compliance officers.</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9.1 What Aura-Guard Detects</w:t>
      </w:r>
    </w:p>
    <w:p>
      <w:pPr>
        <w:spacing w:after="140" w:before="0"/>
        <w:jc w:val="left"/>
      </w:pPr>
      <w:r>
        <w:rPr>
          <w:rFonts w:ascii="Arial" w:cs="Arial" w:eastAsia="Arial" w:hAnsi="Arial"/>
          <w:b w:val="false"/>
          <w:bCs w:val="false"/>
          <w:i w:val="false"/>
          <w:iCs w:val="false"/>
          <w:color w:val="1A1A2E"/>
          <w:sz w:val="22"/>
          <w:szCs w:val="22"/>
        </w:rPr>
        <w:t xml:space="preserve">Aura-Guard detects patterns explicitly defined in its YAML policy files. Detection is performed via deterministic regular expression matching against the combined input text (context + prompt + response).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4238"/>
      </w:tblGrid>
      <w:tr>
        <w:trPr>
          <w:tblHeader/>
        </w:trPr>
        <w:tc>
          <w:tcPr>
            <w:tcW w:type="dxa" w:w="3400"/>
            <w:tcBorders>
              <w:top w:val="single" w:color="D0D7DE" w:sz="4"/>
              <w:left w:val="single" w:color="D0D7DE" w:sz="4"/>
              <w:bottom w:val="single" w:color="D0D7DE" w:sz="4"/>
              <w:right w:val="single" w:color="D0D7DE" w:sz="4"/>
            </w:tcBorders>
            <w:shd w:fill="0D2137" w:val="clear"/>
            <w:tcMar>
              <w:top w:type="dxa" w:w="90"/>
              <w:left w:type="dxa" w:w="130"/>
              <w:bottom w:type="dxa" w:w="90"/>
              <w:right w:type="dxa" w:w="80"/>
            </w:tcMar>
          </w:tcPr>
          <w:p>
            <w:r>
              <w:rPr>
                <w:rFonts w:ascii="Arial" w:cs="Arial" w:eastAsia="Arial" w:hAnsi="Arial"/>
                <w:b/>
                <w:bCs/>
                <w:color w:val="FFFFFF"/>
                <w:sz w:val="19"/>
                <w:szCs w:val="19"/>
              </w:rPr>
              <w:t xml:space="preserve">Detection Category</w:t>
            </w:r>
          </w:p>
        </w:tc>
        <w:tc>
          <w:tcPr>
            <w:tcW w:type="dxa" w:w="2000"/>
            <w:tcBorders>
              <w:top w:val="single" w:color="D0D7DE" w:sz="4"/>
              <w:left w:val="single" w:color="D0D7DE" w:sz="4"/>
              <w:bottom w:val="single" w:color="D0D7DE" w:sz="4"/>
              <w:right w:val="single" w:color="D0D7DE" w:sz="4"/>
            </w:tcBorders>
            <w:shd w:fill="0D2137" w:val="clear"/>
            <w:tcMar>
              <w:top w:type="dxa" w:w="90"/>
              <w:left w:type="dxa" w:w="130"/>
              <w:bottom w:type="dxa" w:w="90"/>
              <w:right w:type="dxa" w:w="80"/>
            </w:tcMar>
          </w:tcPr>
          <w:p>
            <w:r>
              <w:rPr>
                <w:rFonts w:ascii="Arial" w:cs="Arial" w:eastAsia="Arial" w:hAnsi="Arial"/>
                <w:b/>
                <w:bCs/>
                <w:color w:val="FFFFFF"/>
                <w:sz w:val="19"/>
                <w:szCs w:val="19"/>
              </w:rPr>
              <w:t xml:space="preserve">Example Rules</w:t>
            </w:r>
          </w:p>
        </w:tc>
        <w:tc>
          <w:tcPr>
            <w:tcW w:type="dxa" w:w="4238"/>
            <w:tcBorders>
              <w:top w:val="single" w:color="D0D7DE" w:sz="4"/>
              <w:left w:val="single" w:color="D0D7DE" w:sz="4"/>
              <w:bottom w:val="single" w:color="D0D7DE" w:sz="4"/>
              <w:right w:val="single" w:color="D0D7DE" w:sz="4"/>
            </w:tcBorders>
            <w:shd w:fill="0D2137" w:val="clear"/>
            <w:tcMar>
              <w:top w:type="dxa" w:w="90"/>
              <w:left w:type="dxa" w:w="130"/>
              <w:bottom w:type="dxa" w:w="90"/>
              <w:right w:type="dxa" w:w="80"/>
            </w:tcMar>
          </w:tcPr>
          <w:p>
            <w:r>
              <w:rPr>
                <w:rFonts w:ascii="Arial" w:cs="Arial" w:eastAsia="Arial" w:hAnsi="Arial"/>
                <w:b/>
                <w:bCs/>
                <w:color w:val="FFFFFF"/>
                <w:sz w:val="19"/>
                <w:szCs w:val="19"/>
              </w:rPr>
              <w:t xml:space="preserve">Decision Output</w:t>
            </w:r>
          </w:p>
        </w:tc>
      </w:tr>
      <w:tr>
        <w:trPr>
          <w:tblHeader w:val="false"/>
        </w:trPr>
        <w:tc>
          <w:tcPr>
            <w:tcW w:type="dxa" w:w="3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bCs/>
                <w:color w:val="1A1A2E"/>
                <w:sz w:val="19"/>
                <w:szCs w:val="19"/>
              </w:rPr>
              <w:t xml:space="preserve">Personally Identifiable Information (PII)</w:t>
            </w:r>
          </w:p>
        </w:tc>
        <w:tc>
          <w:tcPr>
            <w:tcW w:type="dxa" w:w="20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9"/>
                <w:szCs w:val="19"/>
              </w:rPr>
              <w:t xml:space="preserve">Polish PESEL, credit card numbers, IBANs</w:t>
            </w:r>
          </w:p>
        </w:tc>
        <w:tc>
          <w:tcPr>
            <w:tcW w:type="dxa" w:w="42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bCs/>
                <w:color w:val="C0392B"/>
                <w:sz w:val="19"/>
                <w:szCs w:val="19"/>
              </w:rPr>
              <w:t xml:space="preserve">DENY</w:t>
            </w:r>
          </w:p>
        </w:tc>
      </w:tr>
      <w:tr>
        <w:trPr>
          <w:tblHeader w:val="false"/>
        </w:trPr>
        <w:tc>
          <w:tcPr>
            <w:tcW w:type="dxa" w:w="3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bCs/>
                <w:color w:val="1A1A2E"/>
                <w:sz w:val="19"/>
                <w:szCs w:val="19"/>
              </w:rPr>
              <w:t xml:space="preserve">Financial data patterns</w:t>
            </w:r>
          </w:p>
        </w:tc>
        <w:tc>
          <w:tcPr>
            <w:tcW w:type="dxa" w:w="20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9"/>
                <w:szCs w:val="19"/>
              </w:rPr>
              <w:t xml:space="preserve">16-digit card numbers, SWIFT codes</w:t>
            </w:r>
          </w:p>
        </w:tc>
        <w:tc>
          <w:tcPr>
            <w:tcW w:type="dxa" w:w="42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bCs/>
                <w:color w:val="C0392B"/>
                <w:sz w:val="19"/>
                <w:szCs w:val="19"/>
              </w:rPr>
              <w:t xml:space="preserve">DENY / REVIEW</w:t>
            </w:r>
          </w:p>
        </w:tc>
      </w:tr>
      <w:tr>
        <w:trPr>
          <w:tblHeader w:val="false"/>
        </w:trPr>
        <w:tc>
          <w:tcPr>
            <w:tcW w:type="dxa" w:w="3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bCs/>
                <w:color w:val="1A1A2E"/>
                <w:sz w:val="19"/>
                <w:szCs w:val="19"/>
              </w:rPr>
              <w:t xml:space="preserve">Medical terminology &amp; diagnoses</w:t>
            </w:r>
          </w:p>
        </w:tc>
        <w:tc>
          <w:tcPr>
            <w:tcW w:type="dxa" w:w="20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9"/>
                <w:szCs w:val="19"/>
              </w:rPr>
              <w:t xml:space="preserve">Diagnosis keywords, drug dosages</w:t>
            </w:r>
          </w:p>
        </w:tc>
        <w:tc>
          <w:tcPr>
            <w:tcW w:type="dxa" w:w="42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bCs/>
                <w:color w:val="D4A017"/>
                <w:sz w:val="19"/>
                <w:szCs w:val="19"/>
              </w:rPr>
              <w:t xml:space="preserve">REVIEW</w:t>
            </w:r>
          </w:p>
        </w:tc>
      </w:tr>
      <w:tr>
        <w:trPr>
          <w:tblHeader w:val="false"/>
        </w:trPr>
        <w:tc>
          <w:tcPr>
            <w:tcW w:type="dxa" w:w="3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bCs/>
                <w:color w:val="1A1A2E"/>
                <w:sz w:val="19"/>
                <w:szCs w:val="19"/>
              </w:rPr>
              <w:t xml:space="preserve">HR bias language</w:t>
            </w:r>
          </w:p>
        </w:tc>
        <w:tc>
          <w:tcPr>
            <w:tcW w:type="dxa" w:w="20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9"/>
                <w:szCs w:val="19"/>
              </w:rPr>
              <w:t xml:space="preserve">Gender and age discrimination phrases</w:t>
            </w:r>
          </w:p>
        </w:tc>
        <w:tc>
          <w:tcPr>
            <w:tcW w:type="dxa" w:w="42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bCs/>
                <w:color w:val="C0392B"/>
                <w:sz w:val="19"/>
                <w:szCs w:val="19"/>
              </w:rPr>
              <w:t xml:space="preserve">DENY / REVIEW</w:t>
            </w:r>
          </w:p>
        </w:tc>
      </w:tr>
      <w:tr>
        <w:trPr>
          <w:tblHeader w:val="false"/>
        </w:trPr>
        <w:tc>
          <w:tcPr>
            <w:tcW w:type="dxa" w:w="3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bCs/>
                <w:color w:val="1A1A2E"/>
                <w:sz w:val="19"/>
                <w:szCs w:val="19"/>
              </w:rPr>
              <w:t xml:space="preserve">Context-conditional patterns</w:t>
            </w:r>
          </w:p>
        </w:tc>
        <w:tc>
          <w:tcPr>
            <w:tcW w:type="dxa" w:w="20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9"/>
                <w:szCs w:val="19"/>
              </w:rPr>
              <w:t xml:space="preserve">Rules active only for specific deployment contexts</w:t>
            </w:r>
          </w:p>
        </w:tc>
        <w:tc>
          <w:tcPr>
            <w:tcW w:type="dxa" w:w="42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bCs/>
                <w:color w:val="00A878"/>
                <w:sz w:val="19"/>
                <w:szCs w:val="19"/>
              </w:rPr>
              <w:t xml:space="preserve">Configurable</w:t>
            </w:r>
          </w:p>
        </w:tc>
      </w:tr>
      <w:tr>
        <w:trPr>
          <w:tblHeader w:val="false"/>
        </w:trPr>
        <w:tc>
          <w:tcPr>
            <w:tcW w:type="dxa" w:w="3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bCs/>
                <w:color w:val="1A1A2E"/>
                <w:sz w:val="19"/>
                <w:szCs w:val="19"/>
              </w:rPr>
              <w:t xml:space="preserve">Custom organizational patterns</w:t>
            </w:r>
          </w:p>
        </w:tc>
        <w:tc>
          <w:tcPr>
            <w:tcW w:type="dxa" w:w="20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9"/>
                <w:szCs w:val="19"/>
              </w:rPr>
              <w:t xml:space="preserve">Any regex-expressible pattern in client YAML files</w:t>
            </w:r>
          </w:p>
        </w:tc>
        <w:tc>
          <w:tcPr>
            <w:tcW w:type="dxa" w:w="42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bCs/>
                <w:color w:val="00A878"/>
                <w:sz w:val="19"/>
                <w:szCs w:val="19"/>
              </w:rPr>
              <w:t xml:space="preserve">Configurable</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9.2 Explicit Non-Goals</w:t>
      </w:r>
    </w:p>
    <w:p>
      <w:pPr>
        <w:spacing w:after="140" w:before="0"/>
        <w:jc w:val="left"/>
      </w:pPr>
      <w:r>
        <w:rPr>
          <w:rFonts w:ascii="Arial" w:cs="Arial" w:eastAsia="Arial" w:hAnsi="Arial"/>
          <w:b w:val="false"/>
          <w:bCs w:val="false"/>
          <w:i w:val="false"/>
          <w:iCs w:val="false"/>
          <w:color w:val="1A1A2E"/>
          <w:sz w:val="22"/>
          <w:szCs w:val="22"/>
        </w:rPr>
        <w:t xml:space="preserve">The following capabilities are intentionally outside the scope of Aura-Guard v1.2. Claiming otherwise would be technically inaccurate and commercially irresponsible: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FFFFFF"/>
                <w:sz w:val="19"/>
                <w:szCs w:val="19"/>
              </w:rPr>
              <w:t xml:space="preserve">Aura-Guard Does NOT</w:t>
            </w:r>
          </w:p>
        </w:tc>
        <w:tc>
          <w:tcPr>
            <w:tcW w:type="dxa" w:w="5438"/>
            <w:tcBorders>
              <w:top w:val="single" w:color="D0D7DE" w:sz="4"/>
              <w:left w:val="single" w:color="D0D7DE" w:sz="4"/>
              <w:bottom w:val="single" w:color="D0D7DE" w:sz="4"/>
              <w:right w:val="single" w:color="D0D7DE" w:sz="4"/>
            </w:tcBorders>
            <w:shd w:fill="0D2137" w:val="clear"/>
            <w:tcMar>
              <w:top w:type="dxa" w:w="100"/>
              <w:left w:type="dxa" w:w="140"/>
              <w:bottom w:type="dxa" w:w="100"/>
              <w:right w:type="dxa" w:w="80"/>
            </w:tcMar>
          </w:tcPr>
          <w:p>
            <w:r>
              <w:rPr>
                <w:rFonts w:ascii="Arial" w:cs="Arial" w:eastAsia="Arial" w:hAnsi="Arial"/>
                <w:b/>
                <w:bCs/>
                <w:color w:val="FFFFFF"/>
                <w:sz w:val="19"/>
                <w:szCs w:val="19"/>
              </w:rPr>
              <w:t xml:space="preserve">Rationale</w:t>
            </w:r>
          </w:p>
        </w:tc>
      </w:tr>
      <w:tr>
        <w:trPr>
          <w:tblHeader w:val="false"/>
        </w:trPr>
        <w:tc>
          <w:tcPr>
            <w:tcW w:type="dxa" w:w="4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C0392B"/>
                <w:sz w:val="19"/>
                <w:szCs w:val="19"/>
              </w:rPr>
              <w:t xml:space="preserve">Detect semantic deception or manipulation</w:t>
            </w:r>
          </w:p>
        </w:tc>
        <w:tc>
          <w:tcPr>
            <w:tcW w:type="dxa" w:w="5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19"/>
                <w:szCs w:val="19"/>
              </w:rPr>
              <w:t xml:space="preserve">Semantic analysis requires probabilistic NLP models — incompatible with deterministic design</w:t>
            </w:r>
          </w:p>
        </w:tc>
      </w:tr>
      <w:tr>
        <w:trPr>
          <w:tblHeader w:val="false"/>
        </w:trPr>
        <w:tc>
          <w:tcPr>
            <w:tcW w:type="dxa" w:w="4200"/>
            <w:tcBorders>
              <w:top w:val="single" w:color="D0D7DE" w:sz="4"/>
              <w:left w:val="single" w:color="D0D7DE" w:sz="4"/>
              <w:bottom w:val="single" w:color="D0D7DE" w:sz="4"/>
              <w:right w:val="single" w:color="D0D7DE" w:sz="4"/>
            </w:tcBorders>
            <w:shd w:fill="FFF3F3" w:val="clear"/>
            <w:tcMar>
              <w:top w:type="dxa" w:w="100"/>
              <w:left w:type="dxa" w:w="140"/>
              <w:bottom w:type="dxa" w:w="100"/>
              <w:right w:type="dxa" w:w="80"/>
            </w:tcMar>
          </w:tcPr>
          <w:p>
            <w:r>
              <w:rPr>
                <w:rFonts w:ascii="Arial" w:cs="Arial" w:eastAsia="Arial" w:hAnsi="Arial"/>
                <w:b w:val="false"/>
                <w:bCs w:val="false"/>
                <w:color w:val="C0392B"/>
                <w:sz w:val="19"/>
                <w:szCs w:val="19"/>
              </w:rPr>
              <w:t xml:space="preserve">Guarantee factual correctness of AI responses</w:t>
            </w:r>
          </w:p>
        </w:tc>
        <w:tc>
          <w:tcPr>
            <w:tcW w:type="dxa" w:w="5438"/>
            <w:tcBorders>
              <w:top w:val="single" w:color="D0D7DE" w:sz="4"/>
              <w:left w:val="single" w:color="D0D7DE" w:sz="4"/>
              <w:bottom w:val="single" w:color="D0D7DE" w:sz="4"/>
              <w:right w:val="single" w:color="D0D7DE" w:sz="4"/>
            </w:tcBorders>
            <w:shd w:fill="FFF3F3" w:val="clear"/>
            <w:tcMar>
              <w:top w:type="dxa" w:w="100"/>
              <w:left w:type="dxa" w:w="140"/>
              <w:bottom w:type="dxa" w:w="100"/>
              <w:right w:type="dxa" w:w="80"/>
            </w:tcMar>
          </w:tcPr>
          <w:p>
            <w:r>
              <w:rPr>
                <w:rFonts w:ascii="Arial" w:cs="Arial" w:eastAsia="Arial" w:hAnsi="Arial"/>
                <w:b w:val="false"/>
                <w:bCs w:val="false"/>
                <w:color w:val="1A1A2E"/>
                <w:sz w:val="19"/>
                <w:szCs w:val="19"/>
              </w:rPr>
              <w:t xml:space="preserve">Fact-checking is a separate problem domain outside this system's scope</w:t>
            </w:r>
          </w:p>
        </w:tc>
      </w:tr>
      <w:tr>
        <w:trPr>
          <w:tblHeader w:val="false"/>
        </w:trPr>
        <w:tc>
          <w:tcPr>
            <w:tcW w:type="dxa" w:w="4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C0392B"/>
                <w:sz w:val="19"/>
                <w:szCs w:val="19"/>
              </w:rPr>
              <w:t xml:space="preserve">Prevent AI hallucinations</w:t>
            </w:r>
          </w:p>
        </w:tc>
        <w:tc>
          <w:tcPr>
            <w:tcW w:type="dxa" w:w="5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19"/>
                <w:szCs w:val="19"/>
              </w:rPr>
              <w:t xml:space="preserve">Hallucination detection requires model-level access Aura-Guard does not have</w:t>
            </w:r>
          </w:p>
        </w:tc>
      </w:tr>
      <w:tr>
        <w:trPr>
          <w:tblHeader w:val="false"/>
        </w:trPr>
        <w:tc>
          <w:tcPr>
            <w:tcW w:type="dxa" w:w="4200"/>
            <w:tcBorders>
              <w:top w:val="single" w:color="D0D7DE" w:sz="4"/>
              <w:left w:val="single" w:color="D0D7DE" w:sz="4"/>
              <w:bottom w:val="single" w:color="D0D7DE" w:sz="4"/>
              <w:right w:val="single" w:color="D0D7DE" w:sz="4"/>
            </w:tcBorders>
            <w:shd w:fill="FFF3F3" w:val="clear"/>
            <w:tcMar>
              <w:top w:type="dxa" w:w="100"/>
              <w:left w:type="dxa" w:w="140"/>
              <w:bottom w:type="dxa" w:w="100"/>
              <w:right w:type="dxa" w:w="80"/>
            </w:tcMar>
          </w:tcPr>
          <w:p>
            <w:r>
              <w:rPr>
                <w:rFonts w:ascii="Arial" w:cs="Arial" w:eastAsia="Arial" w:hAnsi="Arial"/>
                <w:b w:val="false"/>
                <w:bCs w:val="false"/>
                <w:color w:val="C0392B"/>
                <w:sz w:val="19"/>
                <w:szCs w:val="19"/>
              </w:rPr>
              <w:t xml:space="preserve">Replace Data Loss Prevention (DLP) systems</w:t>
            </w:r>
          </w:p>
        </w:tc>
        <w:tc>
          <w:tcPr>
            <w:tcW w:type="dxa" w:w="5438"/>
            <w:tcBorders>
              <w:top w:val="single" w:color="D0D7DE" w:sz="4"/>
              <w:left w:val="single" w:color="D0D7DE" w:sz="4"/>
              <w:bottom w:val="single" w:color="D0D7DE" w:sz="4"/>
              <w:right w:val="single" w:color="D0D7DE" w:sz="4"/>
            </w:tcBorders>
            <w:shd w:fill="FFF3F3" w:val="clear"/>
            <w:tcMar>
              <w:top w:type="dxa" w:w="100"/>
              <w:left w:type="dxa" w:w="140"/>
              <w:bottom w:type="dxa" w:w="100"/>
              <w:right w:type="dxa" w:w="80"/>
            </w:tcMar>
          </w:tcPr>
          <w:p>
            <w:r>
              <w:rPr>
                <w:rFonts w:ascii="Arial" w:cs="Arial" w:eastAsia="Arial" w:hAnsi="Arial"/>
                <w:b w:val="false"/>
                <w:bCs w:val="false"/>
                <w:color w:val="1A1A2E"/>
                <w:sz w:val="19"/>
                <w:szCs w:val="19"/>
              </w:rPr>
              <w:t xml:space="preserve">DLP operates at network/endpoint level; Aura-Guard operates at application layer only</w:t>
            </w:r>
          </w:p>
        </w:tc>
      </w:tr>
      <w:tr>
        <w:trPr>
          <w:tblHeader w:val="false"/>
        </w:trPr>
        <w:tc>
          <w:tcPr>
            <w:tcW w:type="dxa" w:w="4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C0392B"/>
                <w:sz w:val="19"/>
                <w:szCs w:val="19"/>
              </w:rPr>
              <w:t xml:space="preserve">Classify intent using machine learning</w:t>
            </w:r>
          </w:p>
        </w:tc>
        <w:tc>
          <w:tcPr>
            <w:tcW w:type="dxa" w:w="5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19"/>
                <w:szCs w:val="19"/>
              </w:rPr>
              <w:t xml:space="preserve">No ML models are present in the system; classification is regex-based only</w:t>
            </w:r>
          </w:p>
        </w:tc>
      </w:tr>
      <w:tr>
        <w:trPr>
          <w:tblHeader w:val="false"/>
        </w:trPr>
        <w:tc>
          <w:tcPr>
            <w:tcW w:type="dxa" w:w="4200"/>
            <w:tcBorders>
              <w:top w:val="single" w:color="D0D7DE" w:sz="4"/>
              <w:left w:val="single" w:color="D0D7DE" w:sz="4"/>
              <w:bottom w:val="single" w:color="D0D7DE" w:sz="4"/>
              <w:right w:val="single" w:color="D0D7DE" w:sz="4"/>
            </w:tcBorders>
            <w:shd w:fill="FFF3F3" w:val="clear"/>
            <w:tcMar>
              <w:top w:type="dxa" w:w="100"/>
              <w:left w:type="dxa" w:w="140"/>
              <w:bottom w:type="dxa" w:w="100"/>
              <w:right w:type="dxa" w:w="80"/>
            </w:tcMar>
          </w:tcPr>
          <w:p>
            <w:r>
              <w:rPr>
                <w:rFonts w:ascii="Arial" w:cs="Arial" w:eastAsia="Arial" w:hAnsi="Arial"/>
                <w:b w:val="false"/>
                <w:bCs w:val="false"/>
                <w:color w:val="C0392B"/>
                <w:sz w:val="19"/>
                <w:szCs w:val="19"/>
              </w:rPr>
              <w:t xml:space="preserve">Provide real-time threat intelligence</w:t>
            </w:r>
          </w:p>
        </w:tc>
        <w:tc>
          <w:tcPr>
            <w:tcW w:type="dxa" w:w="5438"/>
            <w:tcBorders>
              <w:top w:val="single" w:color="D0D7DE" w:sz="4"/>
              <w:left w:val="single" w:color="D0D7DE" w:sz="4"/>
              <w:bottom w:val="single" w:color="D0D7DE" w:sz="4"/>
              <w:right w:val="single" w:color="D0D7DE" w:sz="4"/>
            </w:tcBorders>
            <w:shd w:fill="FFF3F3" w:val="clear"/>
            <w:tcMar>
              <w:top w:type="dxa" w:w="100"/>
              <w:left w:type="dxa" w:w="140"/>
              <w:bottom w:type="dxa" w:w="100"/>
              <w:right w:type="dxa" w:w="80"/>
            </w:tcMar>
          </w:tcPr>
          <w:p>
            <w:r>
              <w:rPr>
                <w:rFonts w:ascii="Arial" w:cs="Arial" w:eastAsia="Arial" w:hAnsi="Arial"/>
                <w:b w:val="false"/>
                <w:bCs w:val="false"/>
                <w:color w:val="1A1A2E"/>
                <w:sz w:val="19"/>
                <w:szCs w:val="19"/>
              </w:rPr>
              <w:t xml:space="preserve">Policy updates are manual and version-controlled, not continuous</w:t>
            </w:r>
          </w:p>
        </w:tc>
      </w:tr>
      <w:tr>
        <w:trPr>
          <w:tblHeader w:val="false"/>
        </w:trPr>
        <w:tc>
          <w:tcPr>
            <w:tcW w:type="dxa" w:w="42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C0392B"/>
                <w:sz w:val="19"/>
                <w:szCs w:val="19"/>
              </w:rPr>
              <w:t xml:space="preserve">Audit interactions it does not receive</w:t>
            </w:r>
          </w:p>
        </w:tc>
        <w:tc>
          <w:tcPr>
            <w:tcW w:type="dxa" w:w="5438"/>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80"/>
            </w:tcMar>
          </w:tcPr>
          <w:p>
            <w:r>
              <w:rPr>
                <w:rFonts w:ascii="Arial" w:cs="Arial" w:eastAsia="Arial" w:hAnsi="Arial"/>
                <w:b w:val="false"/>
                <w:bCs w:val="false"/>
                <w:color w:val="1A1A2E"/>
                <w:sz w:val="19"/>
                <w:szCs w:val="19"/>
              </w:rPr>
              <w:t xml:space="preserve">Only requests routed to /v1/audit are evaluated — coverage depends on integration</w:t>
            </w:r>
          </w:p>
        </w:tc>
      </w:tr>
    </w:tbl>
    <w:p>
      <w:pPr>
        <w:spacing w:after="120" w:before="0"/>
      </w:pPr>
      <w:r>
        <w:t xml:space="preserve"/>
      </w:r>
    </w:p>
    <w:p>
      <w:pPr>
        <w:spacing w:after="140" w:before="0"/>
        <w:jc w:val="left"/>
      </w:pPr>
      <w:r>
        <w:rPr>
          <w:rFonts w:ascii="Arial" w:cs="Arial" w:eastAsia="Arial" w:hAnsi="Arial"/>
          <w:b w:val="false"/>
          <w:bCs w:val="false"/>
          <w:i/>
          <w:iCs/>
          <w:color w:val="1A1A2E"/>
          <w:sz w:val="22"/>
          <w:szCs w:val="22"/>
        </w:rPr>
        <w:t xml:space="preserve">These non-goals are not deficiencies — they are deliberate boundaries that keep the system deterministic, auditable, and within a clearly defensible legal and technical scope.</w:t>
      </w:r>
    </w:p>
    <w:p>
      <w:pPr>
        <w:pStyle w:val="Heading1"/>
        <w:spacing w:after="120" w:before="480"/>
      </w:pPr>
      <w:r>
        <w:rPr>
          <w:rFonts w:ascii="Arial" w:cs="Arial" w:eastAsia="Arial" w:hAnsi="Arial"/>
          <w:b/>
          <w:bCs/>
          <w:color w:val="0D2137"/>
          <w:sz w:val="36"/>
          <w:szCs w:val="36"/>
        </w:rPr>
        <w:t xml:space="preserve">10. Failure Modes &amp; System Behavior</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Enterprise deployments require a precise understanding of system behavior under adverse conditions. This section describes how Aura-Guard responds to each failure scenario and defines the system's overall failure posture.</w:t>
      </w:r>
    </w:p>
    <w:p>
      <w:pPr>
        <w:spacing w:after="120" w:before="0"/>
      </w:pPr>
      <w:r>
        <w:t xml:space="preserve"/>
      </w:r>
    </w:p>
    <w:p>
      <w:pPr>
        <w:pStyle w:val="Heading2"/>
        <w:spacing w:after="100" w:before="360"/>
      </w:pPr>
      <w:r>
        <w:rPr>
          <w:rFonts w:ascii="Arial" w:cs="Arial" w:eastAsia="Arial" w:hAnsi="Arial"/>
          <w:b/>
          <w:bCs/>
          <w:color w:val="0D2137"/>
          <w:sz w:val="26"/>
          <w:szCs w:val="26"/>
        </w:rPr>
        <w:t xml:space="preserve">10.1 Failure Posture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0392B" w:sz="8"/>
              <w:left w:val="single" w:color="C0392B" w:sz="8"/>
              <w:bottom w:val="single" w:color="C0392B" w:sz="8"/>
              <w:right w:val="single" w:color="C0392B" w:sz="8"/>
            </w:tcBorders>
            <w:shd w:fill="FFF3F3" w:val="clear"/>
            <w:tcMar>
              <w:top w:type="dxa" w:w="160"/>
              <w:left w:type="dxa" w:w="240"/>
              <w:bottom w:type="dxa" w:w="160"/>
              <w:right w:type="dxa" w:w="240"/>
            </w:tcMar>
          </w:tcPr>
          <w:p>
            <w:r>
              <w:rPr>
                <w:rFonts w:ascii="Arial" w:cs="Arial" w:eastAsia="Arial" w:hAnsi="Arial"/>
                <w:b/>
                <w:bCs/>
                <w:color w:val="C0392B"/>
                <w:sz w:val="24"/>
                <w:szCs w:val="24"/>
              </w:rPr>
              <w:t xml:space="preserve">Failure Posture: FAIL-CLOSED</w:t>
            </w:r>
          </w:p>
          <w:p>
            <w:pPr>
              <w:spacing w:before="80"/>
            </w:pPr>
            <w:r>
              <w:rPr>
                <w:rFonts w:ascii="Arial" w:cs="Arial" w:eastAsia="Arial" w:hAnsi="Arial"/>
                <w:color w:val="1A1A2E"/>
                <w:sz w:val="20"/>
                <w:szCs w:val="20"/>
              </w:rPr>
              <w:t xml:space="preserve">When Aura-Guard cannot complete a valid audit (invalid policy, unreadable file, compile error), it returns HTTP 400 with a descriptive error. It does not silently pass requests through. If an audit cannot be performed, the client is informed and must handle the failure explicitly. There is no fail-open mode.</w:t>
            </w:r>
          </w:p>
        </w:tc>
      </w:tr>
    </w:tbl>
    <w:p>
      <w:pPr>
        <w:spacing w:after="160" w:before="0"/>
      </w:pPr>
      <w:r>
        <w:t xml:space="preserve"/>
      </w:r>
    </w:p>
    <w:p>
      <w:pPr>
        <w:pStyle w:val="Heading2"/>
        <w:spacing w:after="100" w:before="360"/>
      </w:pPr>
      <w:r>
        <w:rPr>
          <w:rFonts w:ascii="Arial" w:cs="Arial" w:eastAsia="Arial" w:hAnsi="Arial"/>
          <w:b/>
          <w:bCs/>
          <w:color w:val="0D2137"/>
          <w:sz w:val="26"/>
          <w:szCs w:val="26"/>
        </w:rPr>
        <w:t xml:space="preserve">10.2 Failure Scenario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638"/>
      </w:tblGrid>
      <w:tr>
        <w:trPr>
          <w:tblHeader/>
        </w:trPr>
        <w:tc>
          <w:tcPr>
            <w:tcW w:type="dxa" w:w="2600"/>
            <w:tcBorders>
              <w:top w:val="single" w:color="D0D7DE" w:sz="4"/>
              <w:left w:val="single" w:color="D0D7DE" w:sz="4"/>
              <w:bottom w:val="single" w:color="D0D7DE" w:sz="4"/>
              <w:right w:val="single" w:color="D0D7DE" w:sz="4"/>
            </w:tcBorders>
            <w:shd w:fill="0D2137" w:val="clear"/>
            <w:tcMar>
              <w:top w:type="dxa" w:w="90"/>
              <w:left w:type="dxa" w:w="130"/>
              <w:bottom w:type="dxa" w:w="90"/>
              <w:right w:type="dxa" w:w="80"/>
            </w:tcMar>
          </w:tcPr>
          <w:p>
            <w:r>
              <w:rPr>
                <w:rFonts w:ascii="Arial" w:cs="Arial" w:eastAsia="Arial" w:hAnsi="Arial"/>
                <w:b/>
                <w:bCs/>
                <w:color w:val="FFFFFF"/>
                <w:sz w:val="18"/>
                <w:szCs w:val="18"/>
              </w:rPr>
              <w:t xml:space="preserve">Failure Scenario</w:t>
            </w:r>
          </w:p>
        </w:tc>
        <w:tc>
          <w:tcPr>
            <w:tcW w:type="dxa" w:w="2400"/>
            <w:tcBorders>
              <w:top w:val="single" w:color="D0D7DE" w:sz="4"/>
              <w:left w:val="single" w:color="D0D7DE" w:sz="4"/>
              <w:bottom w:val="single" w:color="D0D7DE" w:sz="4"/>
              <w:right w:val="single" w:color="D0D7DE" w:sz="4"/>
            </w:tcBorders>
            <w:shd w:fill="0D2137" w:val="clear"/>
            <w:tcMar>
              <w:top w:type="dxa" w:w="90"/>
              <w:left w:type="dxa" w:w="130"/>
              <w:bottom w:type="dxa" w:w="90"/>
              <w:right w:type="dxa" w:w="80"/>
            </w:tcMar>
          </w:tcPr>
          <w:p>
            <w:r>
              <w:rPr>
                <w:rFonts w:ascii="Arial" w:cs="Arial" w:eastAsia="Arial" w:hAnsi="Arial"/>
                <w:b/>
                <w:bCs/>
                <w:color w:val="FFFFFF"/>
                <w:sz w:val="17"/>
                <w:szCs w:val="17"/>
              </w:rPr>
              <w:t xml:space="preserve">System Response</w:t>
            </w:r>
          </w:p>
        </w:tc>
        <w:tc>
          <w:tcPr>
            <w:tcW w:type="dxa" w:w="4638"/>
            <w:tcBorders>
              <w:top w:val="single" w:color="D0D7DE" w:sz="4"/>
              <w:left w:val="single" w:color="D0D7DE" w:sz="4"/>
              <w:bottom w:val="single" w:color="D0D7DE" w:sz="4"/>
              <w:right w:val="single" w:color="D0D7DE" w:sz="4"/>
            </w:tcBorders>
            <w:shd w:fill="0D2137" w:val="clear"/>
            <w:tcMar>
              <w:top w:type="dxa" w:w="90"/>
              <w:left w:type="dxa" w:w="130"/>
              <w:bottom w:type="dxa" w:w="90"/>
              <w:right w:type="dxa" w:w="80"/>
            </w:tcMar>
          </w:tcPr>
          <w:p>
            <w:r>
              <w:rPr>
                <w:rFonts w:ascii="Arial" w:cs="Arial" w:eastAsia="Arial" w:hAnsi="Arial"/>
                <w:b/>
                <w:bCs/>
                <w:color w:val="FFFFFF"/>
                <w:sz w:val="18"/>
                <w:szCs w:val="18"/>
              </w:rPr>
              <w:t xml:space="preserve">Client Action Required</w:t>
            </w:r>
          </w:p>
        </w:tc>
      </w:tr>
      <w:tr>
        <w:trPr>
          <w:tblHeader w:val="false"/>
        </w:trPr>
        <w:tc>
          <w:tcPr>
            <w:tcW w:type="dxa" w:w="26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1A1A2E"/>
                <w:sz w:val="18"/>
                <w:szCs w:val="18"/>
              </w:rPr>
              <w:t xml:space="preserve">Policy YAML file missing</w:t>
            </w:r>
          </w:p>
        </w:tc>
        <w:tc>
          <w:tcPr>
            <w:tcW w:type="dxa" w:w="2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Courier New" w:cs="Courier New" w:eastAsia="Courier New" w:hAnsi="Courier New"/>
                <w:b w:val="false"/>
                <w:bCs w:val="false"/>
                <w:color w:val="C0392B"/>
                <w:sz w:val="17"/>
                <w:szCs w:val="17"/>
              </w:rPr>
              <w:t xml:space="preserve">HTTP 400: 'Cannot read policy file'</w:t>
            </w:r>
          </w:p>
        </w:tc>
        <w:tc>
          <w:tcPr>
            <w:tcW w:type="dxa" w:w="46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8"/>
                <w:szCs w:val="18"/>
              </w:rPr>
              <w:t xml:space="preserve">Verify policies/ directory and file name</w:t>
            </w:r>
          </w:p>
        </w:tc>
      </w:tr>
      <w:tr>
        <w:trPr>
          <w:tblHeader w:val="false"/>
        </w:trPr>
        <w:tc>
          <w:tcPr>
            <w:tcW w:type="dxa" w:w="26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1A1A2E"/>
                <w:sz w:val="18"/>
                <w:szCs w:val="18"/>
              </w:rPr>
              <w:t xml:space="preserve">Policy YAML syntax error</w:t>
            </w:r>
          </w:p>
        </w:tc>
        <w:tc>
          <w:tcPr>
            <w:tcW w:type="dxa" w:w="2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Courier New" w:cs="Courier New" w:eastAsia="Courier New" w:hAnsi="Courier New"/>
                <w:b w:val="false"/>
                <w:bCs w:val="false"/>
                <w:color w:val="C0392B"/>
                <w:sz w:val="17"/>
                <w:szCs w:val="17"/>
              </w:rPr>
              <w:t xml:space="preserve">HTTP 400: 'Invalid YAML in policy'</w:t>
            </w:r>
          </w:p>
        </w:tc>
        <w:tc>
          <w:tcPr>
            <w:tcW w:type="dxa" w:w="46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8"/>
                <w:szCs w:val="18"/>
              </w:rPr>
              <w:t xml:space="preserve">Fix YAML syntax; re-deploy corrected file</w:t>
            </w:r>
          </w:p>
        </w:tc>
      </w:tr>
      <w:tr>
        <w:trPr>
          <w:tblHeader w:val="false"/>
        </w:trPr>
        <w:tc>
          <w:tcPr>
            <w:tcW w:type="dxa" w:w="26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1A1A2E"/>
                <w:sz w:val="18"/>
                <w:szCs w:val="18"/>
              </w:rPr>
              <w:t xml:space="preserve">Regex compile error in rule</w:t>
            </w:r>
          </w:p>
        </w:tc>
        <w:tc>
          <w:tcPr>
            <w:tcW w:type="dxa" w:w="2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Courier New" w:cs="Courier New" w:eastAsia="Courier New" w:hAnsi="Courier New"/>
                <w:b w:val="false"/>
                <w:bCs w:val="false"/>
                <w:color w:val="C0392B"/>
                <w:sz w:val="17"/>
                <w:szCs w:val="17"/>
              </w:rPr>
              <w:t xml:space="preserve">HTTP 400: 'Bad regex in rule &lt;id&gt;'</w:t>
            </w:r>
          </w:p>
        </w:tc>
        <w:tc>
          <w:tcPr>
            <w:tcW w:type="dxa" w:w="46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8"/>
                <w:szCs w:val="18"/>
              </w:rPr>
              <w:t xml:space="preserve">Correct the pattern in YAML; no restart needed</w:t>
            </w:r>
          </w:p>
        </w:tc>
      </w:tr>
      <w:tr>
        <w:trPr>
          <w:tblHeader w:val="false"/>
        </w:trPr>
        <w:tc>
          <w:tcPr>
            <w:tcW w:type="dxa" w:w="26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1A1A2E"/>
                <w:sz w:val="18"/>
                <w:szCs w:val="18"/>
              </w:rPr>
              <w:t xml:space="preserve">Log filesystem full</w:t>
            </w:r>
          </w:p>
        </w:tc>
        <w:tc>
          <w:tcPr>
            <w:tcW w:type="dxa" w:w="2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Courier New" w:cs="Courier New" w:eastAsia="Courier New" w:hAnsi="Courier New"/>
                <w:b w:val="false"/>
                <w:bCs w:val="false"/>
                <w:color w:val="D4A017"/>
                <w:sz w:val="17"/>
                <w:szCs w:val="17"/>
              </w:rPr>
              <w:t xml:space="preserve">[WARN] logged to stderr; audit response still returned</w:t>
            </w:r>
          </w:p>
        </w:tc>
        <w:tc>
          <w:tcPr>
            <w:tcW w:type="dxa" w:w="46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8"/>
                <w:szCs w:val="18"/>
              </w:rPr>
              <w:t xml:space="preserve">Monitor disk space; rotate or archive logs</w:t>
            </w:r>
          </w:p>
        </w:tc>
      </w:tr>
      <w:tr>
        <w:trPr>
          <w:tblHeader w:val="false"/>
        </w:trPr>
        <w:tc>
          <w:tcPr>
            <w:tcW w:type="dxa" w:w="26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1A1A2E"/>
                <w:sz w:val="18"/>
                <w:szCs w:val="18"/>
              </w:rPr>
              <w:t xml:space="preserve">Log file write failure</w:t>
            </w:r>
          </w:p>
        </w:tc>
        <w:tc>
          <w:tcPr>
            <w:tcW w:type="dxa" w:w="2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Courier New" w:cs="Courier New" w:eastAsia="Courier New" w:hAnsi="Courier New"/>
                <w:b w:val="false"/>
                <w:bCs w:val="false"/>
                <w:color w:val="D4A017"/>
                <w:sz w:val="17"/>
                <w:szCs w:val="17"/>
              </w:rPr>
              <w:t xml:space="preserve">[WARN] logged to stderr; HTTP response unaffected</w:t>
            </w:r>
          </w:p>
        </w:tc>
        <w:tc>
          <w:tcPr>
            <w:tcW w:type="dxa" w:w="46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8"/>
                <w:szCs w:val="18"/>
              </w:rPr>
              <w:t xml:space="preserve">Check filesystem permissions and disk health</w:t>
            </w:r>
          </w:p>
        </w:tc>
      </w:tr>
      <w:tr>
        <w:trPr>
          <w:tblHeader w:val="false"/>
        </w:trPr>
        <w:tc>
          <w:tcPr>
            <w:tcW w:type="dxa" w:w="26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1A1A2E"/>
                <w:sz w:val="18"/>
                <w:szCs w:val="18"/>
              </w:rPr>
              <w:t xml:space="preserve">JSON serialization error</w:t>
            </w:r>
          </w:p>
        </w:tc>
        <w:tc>
          <w:tcPr>
            <w:tcW w:type="dxa" w:w="2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Courier New" w:cs="Courier New" w:eastAsia="Courier New" w:hAnsi="Courier New"/>
                <w:b w:val="false"/>
                <w:bCs w:val="false"/>
                <w:color w:val="D4A017"/>
                <w:sz w:val="17"/>
                <w:szCs w:val="17"/>
              </w:rPr>
              <w:t xml:space="preserve">[WARN] logged to stderr; audit response still returned</w:t>
            </w:r>
          </w:p>
        </w:tc>
        <w:tc>
          <w:tcPr>
            <w:tcW w:type="dxa" w:w="46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8"/>
                <w:szCs w:val="18"/>
              </w:rPr>
              <w:t xml:space="preserve">Report as bug; edge case in data encoding</w:t>
            </w:r>
          </w:p>
        </w:tc>
      </w:tr>
      <w:tr>
        <w:trPr>
          <w:tblHeader w:val="false"/>
        </w:trPr>
        <w:tc>
          <w:tcPr>
            <w:tcW w:type="dxa" w:w="26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1A1A2E"/>
                <w:sz w:val="18"/>
                <w:szCs w:val="18"/>
              </w:rPr>
              <w:t xml:space="preserve">Request body malformed</w:t>
            </w:r>
          </w:p>
        </w:tc>
        <w:tc>
          <w:tcPr>
            <w:tcW w:type="dxa" w:w="2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Courier New" w:cs="Courier New" w:eastAsia="Courier New" w:hAnsi="Courier New"/>
                <w:b w:val="false"/>
                <w:bCs w:val="false"/>
                <w:color w:val="C0392B"/>
                <w:sz w:val="17"/>
                <w:szCs w:val="17"/>
              </w:rPr>
              <w:t xml:space="preserve">HTTP 422 (Axum default unprocessable entity)</w:t>
            </w:r>
          </w:p>
        </w:tc>
        <w:tc>
          <w:tcPr>
            <w:tcW w:type="dxa" w:w="46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8"/>
                <w:szCs w:val="18"/>
              </w:rPr>
              <w:t xml:space="preserve">Verify request JSON structure against spec</w:t>
            </w:r>
          </w:p>
        </w:tc>
      </w:tr>
      <w:tr>
        <w:trPr>
          <w:tblHeader w:val="false"/>
        </w:trPr>
        <w:tc>
          <w:tcPr>
            <w:tcW w:type="dxa" w:w="26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1A1A2E"/>
                <w:sz w:val="18"/>
                <w:szCs w:val="18"/>
              </w:rPr>
              <w:t xml:space="preserve">Server port already in use</w:t>
            </w:r>
          </w:p>
        </w:tc>
        <w:tc>
          <w:tcPr>
            <w:tcW w:type="dxa" w:w="2400"/>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Courier New" w:cs="Courier New" w:eastAsia="Courier New" w:hAnsi="Courier New"/>
                <w:b w:val="false"/>
                <w:bCs w:val="false"/>
                <w:color w:val="1A1A2E"/>
                <w:sz w:val="17"/>
                <w:szCs w:val="17"/>
              </w:rPr>
              <w:t xml:space="preserve">Process exits with bind error on startup</w:t>
            </w:r>
          </w:p>
        </w:tc>
        <w:tc>
          <w:tcPr>
            <w:tcW w:type="dxa" w:w="4638"/>
            <w:tcBorders>
              <w:top w:val="single" w:color="D0D7DE" w:sz="4"/>
              <w:left w:val="single" w:color="D0D7DE" w:sz="4"/>
              <w:bottom w:val="single" w:color="D0D7DE" w:sz="4"/>
              <w:right w:val="single" w:color="D0D7DE" w:sz="4"/>
            </w:tcBorders>
            <w:shd w:fill="F0F4F8" w:val="clear"/>
            <w:tcMar>
              <w:top w:type="dxa" w:w="90"/>
              <w:left w:type="dxa" w:w="130"/>
              <w:bottom w:type="dxa" w:w="90"/>
              <w:right w:type="dxa" w:w="80"/>
            </w:tcMar>
          </w:tcPr>
          <w:p>
            <w:r>
              <w:rPr>
                <w:rFonts w:ascii="Arial" w:cs="Arial" w:eastAsia="Arial" w:hAnsi="Arial"/>
                <w:b w:val="false"/>
                <w:bCs w:val="false"/>
                <w:color w:val="8B949E"/>
                <w:sz w:val="18"/>
                <w:szCs w:val="18"/>
              </w:rPr>
              <w:t xml:space="preserve">Free port 8080 or configure alternate port</w:t>
            </w:r>
          </w:p>
        </w:tc>
      </w:tr>
      <w:tr>
        <w:trPr>
          <w:tblHeader w:val="false"/>
        </w:trPr>
        <w:tc>
          <w:tcPr>
            <w:tcW w:type="dxa" w:w="26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1A1A2E"/>
                <w:sz w:val="18"/>
                <w:szCs w:val="18"/>
              </w:rPr>
              <w:t xml:space="preserve">Report generation failure</w:t>
            </w:r>
          </w:p>
        </w:tc>
        <w:tc>
          <w:tcPr>
            <w:tcW w:type="dxa" w:w="2400"/>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Courier New" w:cs="Courier New" w:eastAsia="Courier New" w:hAnsi="Courier New"/>
                <w:b w:val="false"/>
                <w:bCs w:val="false"/>
                <w:color w:val="1A1A2E"/>
                <w:sz w:val="17"/>
                <w:szCs w:val="17"/>
              </w:rPr>
              <w:t xml:space="preserve">Python script exits with error code; logs intact</w:t>
            </w:r>
          </w:p>
        </w:tc>
        <w:tc>
          <w:tcPr>
            <w:tcW w:type="dxa" w:w="4638"/>
            <w:tcBorders>
              <w:top w:val="single" w:color="D0D7DE" w:sz="4"/>
              <w:left w:val="single" w:color="D0D7DE" w:sz="4"/>
              <w:bottom w:val="single" w:color="D0D7DE" w:sz="4"/>
              <w:right w:val="single" w:color="D0D7DE" w:sz="4"/>
            </w:tcBorders>
            <w:shd w:fill="FFFFFF" w:val="clear"/>
            <w:tcMar>
              <w:top w:type="dxa" w:w="90"/>
              <w:left w:type="dxa" w:w="130"/>
              <w:bottom w:type="dxa" w:w="90"/>
              <w:right w:type="dxa" w:w="80"/>
            </w:tcMar>
          </w:tcPr>
          <w:p>
            <w:r>
              <w:rPr>
                <w:rFonts w:ascii="Arial" w:cs="Arial" w:eastAsia="Arial" w:hAnsi="Arial"/>
                <w:b w:val="false"/>
                <w:bCs w:val="false"/>
                <w:color w:val="8B949E"/>
                <w:sz w:val="18"/>
                <w:szCs w:val="18"/>
              </w:rPr>
              <w:t xml:space="preserve">Check reportlab install; verify log file format</w:t>
            </w:r>
          </w:p>
        </w:tc>
      </w:tr>
    </w:tbl>
    <w:p>
      <w:pPr>
        <w:pStyle w:val="Heading1"/>
        <w:spacing w:after="120" w:before="480"/>
      </w:pPr>
      <w:r>
        <w:rPr>
          <w:rFonts w:ascii="Arial" w:cs="Arial" w:eastAsia="Arial" w:hAnsi="Arial"/>
          <w:b/>
          <w:bCs/>
          <w:color w:val="0D2137"/>
          <w:sz w:val="36"/>
          <w:szCs w:val="36"/>
        </w:rPr>
        <w:t xml:space="preserve">11. Deployment Modes</w:t>
      </w:r>
    </w:p>
    <w:p>
      <w:pPr>
        <w:pBdr>
          <w:bottom w:val="single" w:color="00A878" w:sz="8" w:space="1"/>
        </w:pBd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Aura-Guard is designed to operate across a range of infrastructure environments. The following deployment modes are supported or planned, allowing organizations to match the deployment model to their security posture and operational constraints.</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2038"/>
      </w:tblGrid>
      <w:tr>
        <w:trPr>
          <w:tblHeader/>
        </w:trPr>
        <w:tc>
          <w:tcPr>
            <w:tcW w:type="dxa" w:w="2000"/>
            <w:tcBorders>
              <w:top w:val="single" w:color="D0D7DE" w:sz="4"/>
              <w:left w:val="single" w:color="D0D7DE" w:sz="4"/>
              <w:bottom w:val="single" w:color="D0D7DE" w:sz="4"/>
              <w:right w:val="single" w:color="D0D7DE" w:sz="4"/>
            </w:tcBorders>
            <w:shd w:fill="0D2137" w:val="clear"/>
            <w:tcMar>
              <w:top w:type="dxa" w:w="120"/>
              <w:left w:type="dxa" w:w="140"/>
              <w:bottom w:type="dxa" w:w="120"/>
              <w:right w:type="dxa" w:w="80"/>
            </w:tcMar>
          </w:tcPr>
          <w:p>
            <w:r>
              <w:rPr>
                <w:rFonts w:ascii="Arial" w:cs="Arial" w:eastAsia="Arial" w:hAnsi="Arial"/>
                <w:b/>
                <w:bCs/>
                <w:color w:val="FFFFFF"/>
                <w:sz w:val="20"/>
                <w:szCs w:val="20"/>
              </w:rPr>
              <w:t xml:space="preserve">Mode</w:t>
            </w:r>
          </w:p>
        </w:tc>
        <w:tc>
          <w:tcPr>
            <w:tcW w:type="dxa" w:w="2800"/>
            <w:tcBorders>
              <w:top w:val="single" w:color="D0D7DE" w:sz="4"/>
              <w:left w:val="single" w:color="D0D7DE" w:sz="4"/>
              <w:bottom w:val="single" w:color="D0D7DE" w:sz="4"/>
              <w:right w:val="single" w:color="D0D7DE" w:sz="4"/>
            </w:tcBorders>
            <w:shd w:fill="0D2137" w:val="clear"/>
            <w:tcMar>
              <w:top w:type="dxa" w:w="120"/>
              <w:left w:type="dxa" w:w="140"/>
              <w:bottom w:type="dxa" w:w="120"/>
              <w:right w:type="dxa" w:w="80"/>
            </w:tcMar>
          </w:tcPr>
          <w:p>
            <w:r>
              <w:rPr>
                <w:rFonts w:ascii="Arial" w:cs="Arial" w:eastAsia="Arial" w:hAnsi="Arial"/>
                <w:b/>
                <w:bCs/>
                <w:color w:val="FFFFFF"/>
                <w:sz w:val="18"/>
                <w:szCs w:val="18"/>
              </w:rPr>
              <w:t xml:space="preserve">Description</w:t>
            </w:r>
          </w:p>
        </w:tc>
        <w:tc>
          <w:tcPr>
            <w:tcW w:type="dxa" w:w="2800"/>
            <w:tcBorders>
              <w:top w:val="single" w:color="D0D7DE" w:sz="4"/>
              <w:left w:val="single" w:color="D0D7DE" w:sz="4"/>
              <w:bottom w:val="single" w:color="D0D7DE" w:sz="4"/>
              <w:right w:val="single" w:color="D0D7DE" w:sz="4"/>
            </w:tcBorders>
            <w:shd w:fill="0D2137" w:val="clear"/>
            <w:tcMar>
              <w:top w:type="dxa" w:w="120"/>
              <w:left w:type="dxa" w:w="140"/>
              <w:bottom w:type="dxa" w:w="120"/>
              <w:right w:type="dxa" w:w="80"/>
            </w:tcMar>
          </w:tcPr>
          <w:p>
            <w:r>
              <w:rPr>
                <w:rFonts w:ascii="Arial" w:cs="Arial" w:eastAsia="Arial" w:hAnsi="Arial"/>
                <w:b/>
                <w:bCs/>
                <w:color w:val="FFFFFF"/>
                <w:sz w:val="18"/>
                <w:szCs w:val="18"/>
              </w:rPr>
              <w:t xml:space="preserve">Use Case</w:t>
            </w:r>
          </w:p>
        </w:tc>
        <w:tc>
          <w:tcPr>
            <w:tcW w:type="dxa" w:w="2038"/>
            <w:tcBorders>
              <w:top w:val="single" w:color="D0D7DE" w:sz="4"/>
              <w:left w:val="single" w:color="D0D7DE" w:sz="4"/>
              <w:bottom w:val="single" w:color="D0D7DE" w:sz="4"/>
              <w:right w:val="single" w:color="D0D7DE" w:sz="4"/>
            </w:tcBorders>
            <w:shd w:fill="0D2137" w:val="clear"/>
            <w:tcMar>
              <w:top w:type="dxa" w:w="120"/>
              <w:left w:type="dxa" w:w="140"/>
              <w:bottom w:type="dxa" w:w="120"/>
              <w:right w:type="dxa" w:w="80"/>
            </w:tcMar>
          </w:tcPr>
          <w:p>
            <w:pPr>
              <w:jc w:val="center"/>
            </w:pPr>
            <w:r>
              <w:rPr>
                <w:rFonts w:ascii="Arial" w:cs="Arial" w:eastAsia="Arial" w:hAnsi="Arial"/>
                <w:b/>
                <w:bCs/>
                <w:color w:val="FFFFFF"/>
                <w:sz w:val="18"/>
                <w:szCs w:val="18"/>
              </w:rPr>
              <w:t xml:space="preserve">Status</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bCs/>
                <w:color w:val="0D2137"/>
                <w:sz w:val="20"/>
                <w:szCs w:val="20"/>
              </w:rPr>
              <w:t xml:space="preserve">Air-Gapped</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1A1A2E"/>
                <w:sz w:val="18"/>
                <w:szCs w:val="18"/>
              </w:rPr>
              <w:t xml:space="preserve">Fully offline deployment. No network egress required at any point. All policies and logs remain on isolated host.</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8B949E"/>
                <w:sz w:val="18"/>
                <w:szCs w:val="18"/>
              </w:rPr>
              <w:t xml:space="preserve">High-security finance, defence, government</w:t>
            </w:r>
          </w:p>
        </w:tc>
        <w:tc>
          <w:tcPr>
            <w:tcW w:type="dxa" w:w="2038"/>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pPr>
              <w:jc w:val="center"/>
            </w:pPr>
            <w:r>
              <w:rPr>
                <w:rFonts w:ascii="Arial" w:cs="Arial" w:eastAsia="Arial" w:hAnsi="Arial"/>
                <w:b/>
                <w:bCs/>
                <w:color w:val="1E8449"/>
                <w:sz w:val="18"/>
                <w:szCs w:val="18"/>
              </w:rPr>
              <w:t xml:space="preserve">v1.2 ✓</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bCs/>
                <w:color w:val="0D2137"/>
                <w:sz w:val="20"/>
                <w:szCs w:val="20"/>
              </w:rPr>
              <w:t xml:space="preserve">Local Server</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1A1A2E"/>
                <w:sz w:val="18"/>
                <w:szCs w:val="18"/>
              </w:rPr>
              <w:t xml:space="preserve">On-premise middleware on internal network. Accessible to internal AI systems via local HTTP.</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8B949E"/>
                <w:sz w:val="18"/>
                <w:szCs w:val="18"/>
              </w:rPr>
              <w:t xml:space="preserve">Enterprise internal tooling, regulated industries</w:t>
            </w:r>
          </w:p>
        </w:tc>
        <w:tc>
          <w:tcPr>
            <w:tcW w:type="dxa" w:w="2038"/>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pPr>
              <w:jc w:val="center"/>
            </w:pPr>
            <w:r>
              <w:rPr>
                <w:rFonts w:ascii="Arial" w:cs="Arial" w:eastAsia="Arial" w:hAnsi="Arial"/>
                <w:b/>
                <w:bCs/>
                <w:color w:val="1E8449"/>
                <w:sz w:val="18"/>
                <w:szCs w:val="18"/>
              </w:rPr>
              <w:t xml:space="preserve">v1.2 ✓</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bCs/>
                <w:color w:val="0D2137"/>
                <w:sz w:val="20"/>
                <w:szCs w:val="20"/>
              </w:rPr>
              <w:t xml:space="preserve">Docker</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1A1A2E"/>
                <w:sz w:val="18"/>
                <w:szCs w:val="18"/>
              </w:rPr>
              <w:t xml:space="preserve">Containerized deployment with volume mounts for policies/ and logs/. Compatible with Kubernetes.</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8B949E"/>
                <w:sz w:val="18"/>
                <w:szCs w:val="18"/>
              </w:rPr>
              <w:t xml:space="preserve">Cloud-native teams, CI/CD pipeline integration</w:t>
            </w:r>
          </w:p>
        </w:tc>
        <w:tc>
          <w:tcPr>
            <w:tcW w:type="dxa" w:w="2038"/>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pPr>
              <w:jc w:val="center"/>
            </w:pPr>
            <w:r>
              <w:rPr>
                <w:rFonts w:ascii="Arial" w:cs="Arial" w:eastAsia="Arial" w:hAnsi="Arial"/>
                <w:b/>
                <w:bCs/>
                <w:color w:val="D4A017"/>
                <w:sz w:val="18"/>
                <w:szCs w:val="18"/>
              </w:rPr>
              <w:t xml:space="preserve">v1.3 Planned</w:t>
            </w:r>
          </w:p>
        </w:tc>
      </w:tr>
      <w:tr>
        <w:trPr>
          <w:tblHeader w:val="false"/>
        </w:trPr>
        <w:tc>
          <w:tcPr>
            <w:tcW w:type="dxa" w:w="20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bCs/>
                <w:color w:val="0D2137"/>
                <w:sz w:val="20"/>
                <w:szCs w:val="20"/>
              </w:rPr>
              <w:t xml:space="preserve">Edge Runtime</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1A1A2E"/>
                <w:sz w:val="18"/>
                <w:szCs w:val="18"/>
              </w:rPr>
              <w:t xml:space="preserve">Lightweight binary on branch office hardware. Minimal RAM footprint, no GPU, no JVM.</w:t>
            </w:r>
          </w:p>
        </w:tc>
        <w:tc>
          <w:tcPr>
            <w:tcW w:type="dxa" w:w="2800"/>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r>
              <w:rPr>
                <w:rFonts w:ascii="Arial" w:cs="Arial" w:eastAsia="Arial" w:hAnsi="Arial"/>
                <w:b w:val="false"/>
                <w:bCs w:val="false"/>
                <w:color w:val="8B949E"/>
                <w:sz w:val="18"/>
                <w:szCs w:val="18"/>
              </w:rPr>
              <w:t xml:space="preserve">Distributed enterprise, retail branches, edge AI</w:t>
            </w:r>
          </w:p>
        </w:tc>
        <w:tc>
          <w:tcPr>
            <w:tcW w:type="dxa" w:w="2038"/>
            <w:tcBorders>
              <w:top w:val="single" w:color="D0D7DE" w:sz="4"/>
              <w:left w:val="single" w:color="D0D7DE" w:sz="4"/>
              <w:bottom w:val="single" w:color="D0D7DE" w:sz="4"/>
              <w:right w:val="single" w:color="D0D7DE" w:sz="4"/>
            </w:tcBorders>
            <w:shd w:fill="FFFFFF" w:val="clear"/>
            <w:tcMar>
              <w:top w:type="dxa" w:w="120"/>
              <w:left w:type="dxa" w:w="140"/>
              <w:bottom w:type="dxa" w:w="120"/>
              <w:right w:type="dxa" w:w="80"/>
            </w:tcMar>
          </w:tcPr>
          <w:p>
            <w:pPr>
              <w:jc w:val="center"/>
            </w:pPr>
            <w:r>
              <w:rPr>
                <w:rFonts w:ascii="Arial" w:cs="Arial" w:eastAsia="Arial" w:hAnsi="Arial"/>
                <w:b/>
                <w:bCs/>
                <w:color w:val="D4A017"/>
                <w:sz w:val="18"/>
                <w:szCs w:val="18"/>
              </w:rPr>
              <w:t xml:space="preserve">v1.4 Planned</w:t>
            </w:r>
          </w:p>
        </w:tc>
      </w:tr>
    </w:tbl>
    <w:p>
      <w:pPr>
        <w:spacing w:after="160" w:before="0"/>
      </w:pPr>
      <w:r>
        <w:t xml:space="preserve"/>
      </w:r>
    </w:p>
    <w:p>
      <w:pPr>
        <w:spacing w:after="140" w:before="0"/>
        <w:jc w:val="left"/>
      </w:pPr>
      <w:r>
        <w:rPr>
          <w:rFonts w:ascii="Arial" w:cs="Arial" w:eastAsia="Arial" w:hAnsi="Arial"/>
          <w:b w:val="false"/>
          <w:bCs w:val="false"/>
          <w:i w:val="false"/>
          <w:iCs w:val="false"/>
          <w:color w:val="1A1A2E"/>
          <w:sz w:val="22"/>
          <w:szCs w:val="22"/>
        </w:rPr>
        <w:t xml:space="preserve">All deployment modes share identical engine behavior, policy format, and log structure. A policy YAML file written for a Local Server deployment will function identically in an Air-Gapped or Docker environment without modification.</w:t>
      </w:r>
    </w:p>
    <w:p>
      <w:pPr>
        <w:spacing w:after="600" w:before="0"/>
      </w:pPr>
      <w:r>
        <w:t xml:space="preserve"/>
      </w:r>
    </w:p>
    <w:p>
      <w:pPr>
        <w:pBdr>
          <w:bottom w:val="single" w:color="8B949E" w:sz="8" w:space="1"/>
        </w:pBdr>
        <w:spacing w:after="160" w:before="0"/>
      </w:pPr>
      <w:r>
        <w:t xml:space="preserve"/>
      </w:r>
    </w:p>
    <w:p>
      <w:pPr>
        <w:spacing w:after="140" w:before="0"/>
        <w:jc w:val="left"/>
      </w:pPr>
      <w:r>
        <w:rPr>
          <w:rFonts w:ascii="Arial" w:cs="Arial" w:eastAsia="Arial" w:hAnsi="Arial"/>
          <w:b w:val="false"/>
          <w:bCs w:val="false"/>
          <w:i/>
          <w:iCs/>
          <w:color w:val="8B949E"/>
          <w:sz w:val="22"/>
          <w:szCs w:val="22"/>
        </w:rPr>
        <w:t xml:space="preserve">This document is provided for compliance evaluation purposes. It describes the design and operational characteristics of Aura-Guard v1.2.0 as implemented. Aura-Guard makes no warranties beyond those explicitly stated in the Scope of Responsibility section (Section 7).</w:t>
      </w:r>
    </w:p>
    <w:sectPr>
      <w:headerReference w:type="default" r:id="rId7"/>
      <w:footerReference w:type="default" r:id="rId8"/>
      <w:pgSz w:w="11906" w:h="16838" w:orient="portrait"/>
      <w:pgMar w:top="1440"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1"/>
      </w:pBdr>
      <w:tabs>
        <w:tab w:val="right" w:pos="9638"/>
      </w:tabs>
      <w:spacing w:before="80"/>
    </w:pPr>
    <w:r>
      <w:rPr>
        <w:rFonts w:ascii="Arial" w:cs="Arial" w:eastAsia="Arial" w:hAnsi="Arial"/>
        <w:color w:val="8B949E"/>
        <w:sz w:val="16"/>
        <w:szCs w:val="16"/>
      </w:rPr>
      <w:t xml:space="preserve">Aura-Guard  |  Confidential  	</w:t>
    </w:r>
    <w:r>
      <w:rPr>
        <w:rFonts w:ascii="Arial" w:cs="Arial" w:eastAsia="Arial" w:hAnsi="Arial"/>
        <w:color w:val="8B949E"/>
        <w:sz w:val="16"/>
        <w:szCs w:val="16"/>
      </w:rPr>
      <w:t xml:space="preserve">Page </w:t>
    </w:r>
    <w:r>
      <w:rPr>
        <w:rFonts w:ascii="Arial" w:cs="Arial" w:eastAsia="Arial" w:hAnsi="Arial"/>
        <w:color w:val="8B94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78" w:sz="4" w:space="1"/>
      </w:pBdr>
      <w:spacing w:after="0"/>
    </w:pPr>
    <w:r>
      <w:rPr>
        <w:rFonts w:ascii="Arial" w:cs="Arial" w:eastAsia="Arial" w:hAnsi="Arial"/>
        <w:color w:val="8B949E"/>
        <w:sz w:val="16"/>
        <w:szCs w:val="16"/>
      </w:rPr>
      <w:t xml:space="preserve">AURA-GUARD v1.2.0  |  Technical Compliance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0D2137"/>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D21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2026-05-10T23:29:11.964Z</dcterms:created>
  <dcterms:modified xsi:type="dcterms:W3CDTF">2026-05-10T23:29:11.965Z</dcterms:modified>
</cp:coreProperties>
</file>

<file path=docProps/custom.xml><?xml version="1.0" encoding="utf-8"?>
<Properties xmlns="http://schemas.openxmlformats.org/officeDocument/2006/custom-properties" xmlns:vt="http://schemas.openxmlformats.org/officeDocument/2006/docPropsVTypes"/>
</file>