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1.此依赖库提供三种方法,分别为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个税计算器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calculateIncomeTax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calculateEqualPrincipalAndInterest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房贷等额本金算法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2.引入依赖库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83840"/>
            <wp:effectExtent l="0" t="0" r="10795" b="10160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3.使用个税计算器方法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入参参数需要必填不为空,且大于等于0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onth 缴税期数 Integer类型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income 税前月收入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totalSal 五险一金(每月)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socInsur 专享扣除费 Double类型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48330"/>
            <wp:effectExtent l="0" t="0" r="9525" b="127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方法调用示例：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229485"/>
            <wp:effectExtent l="0" t="0" r="5715" b="571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接收返回数据，可自行将数据展示在ide对应页面中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86940"/>
            <wp:effectExtent l="0" t="0" r="3810" b="1016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使用房贷计算器,此处用房贷等额本息算法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注:房贷等额本息和房贷等额本金出参和入参实体结构一致，只有计算算法不同，此处只用一个示例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调用calculateEqualPrincipalAndInterest 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入参参数需要必填不为空,且大于等于0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贷款年数为1-30之间包含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输入参数</w:t>
      </w:r>
      <w:r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loanAmount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贷款总额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annualInterestRate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贷款利率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loanTermInYears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贷款年数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Integer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92835"/>
            <wp:effectExtent l="0" t="0" r="11430" b="1206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输出参数</w:t>
      </w:r>
      <w:r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CalculateAndSumReturnStructure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包含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List&lt;CalculateReturnStructure&gt; listCalculateReturnStructure;//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每期还款实体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sumInterest 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总利息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CalculateReturnStructure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实体包含返还参数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Integer month;//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月份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期数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principal;//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本金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interest;//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利息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totalPayment;//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总计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loanAmount;//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剩余贷款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1350" cy="3733800"/>
            <wp:effectExtent l="0" t="0" r="6350" b="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10155"/>
            <wp:effectExtent l="0" t="0" r="0" b="444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254BF"/>
    <w:multiLevelType w:val="singleLevel"/>
    <w:tmpl w:val="C42254B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lNjkxNDBlMDRiMTIzMmUzNTJhYTM0NWJmZTdiMDgifQ=="/>
  </w:docVars>
  <w:rsids>
    <w:rsidRoot w:val="00000000"/>
    <w:rsid w:val="014D1C6B"/>
    <w:rsid w:val="28D30E22"/>
    <w:rsid w:val="650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2024-04-18T06:07:00Z</dcterms:created>
  <dc:creator>wb.yanghongjie02</dc:creator>
  <cp:lastModifiedBy>WPS_1559572791</cp:lastModifiedBy>
  <dcterms:modified xsi:type="dcterms:W3CDTF">2024-04-18T07:15:39Z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83E64D0C274A4111AC4D4BE621FAB49B_12</vt:lpwstr>
  </property>
</Properties>
</file>