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Insight Report: Sales Dashboard Analysis (Superstore Dataset)</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Overview:</w:t>
        <w:br w:type="textWrapping"/>
      </w:r>
      <w:r w:rsidDel="00000000" w:rsidR="00000000" w:rsidRPr="00000000">
        <w:rPr>
          <w:rFonts w:ascii="Times New Roman" w:cs="Times New Roman" w:eastAsia="Times New Roman" w:hAnsi="Times New Roman"/>
          <w:sz w:val="28"/>
          <w:szCs w:val="28"/>
          <w:rtl w:val="0"/>
        </w:rPr>
        <w:t xml:space="preserve"> This dashboard was built using the Superstore Sales dataset to analyze sales performance by category, region, and over time (month). The main aim is to uncover key trends and business opportunities using interactive visuals.</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Components Used:</w:t>
      </w:r>
    </w:p>
    <w:p w:rsidR="00000000" w:rsidDel="00000000" w:rsidP="00000000" w:rsidRDefault="00000000" w:rsidRPr="00000000" w14:paraId="00000004">
      <w:pPr>
        <w:numPr>
          <w:ilvl w:val="0"/>
          <w:numId w:val="2"/>
        </w:numPr>
        <w:spacing w:after="0" w:afterAutospacing="0" w:before="24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Line Chart</w:t>
      </w:r>
      <w:r w:rsidDel="00000000" w:rsidR="00000000" w:rsidRPr="00000000">
        <w:rPr>
          <w:rFonts w:ascii="Times New Roman" w:cs="Times New Roman" w:eastAsia="Times New Roman" w:hAnsi="Times New Roman"/>
          <w:sz w:val="28"/>
          <w:szCs w:val="28"/>
          <w:rtl w:val="0"/>
        </w:rPr>
        <w:t xml:space="preserve"> – Sales over Time (Monthly):</w:t>
        <w:br w:type="textWrapping"/>
        <w:t xml:space="preserve"> Displays how sales have changed month-by-month. Helps in identifying sales spikes and seasonal trends.</w:t>
        <w:br w:type="textWrapping"/>
      </w:r>
    </w:p>
    <w:p w:rsidR="00000000" w:rsidDel="00000000" w:rsidP="00000000" w:rsidRDefault="00000000" w:rsidRPr="00000000" w14:paraId="00000005">
      <w:pPr>
        <w:numPr>
          <w:ilvl w:val="0"/>
          <w:numId w:val="2"/>
        </w:numPr>
        <w:spacing w:after="0" w:afterAutospacing="0" w:before="0" w:beforeAutospacing="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Bar Chart</w:t>
      </w:r>
      <w:r w:rsidDel="00000000" w:rsidR="00000000" w:rsidRPr="00000000">
        <w:rPr>
          <w:rFonts w:ascii="Times New Roman" w:cs="Times New Roman" w:eastAsia="Times New Roman" w:hAnsi="Times New Roman"/>
          <w:sz w:val="28"/>
          <w:szCs w:val="28"/>
          <w:rtl w:val="0"/>
        </w:rPr>
        <w:t xml:space="preserve"> – Sales by Region:</w:t>
        <w:br w:type="textWrapping"/>
        <w:t xml:space="preserve"> Compares sales across Central, East, West, and South regions.</w:t>
        <w:br w:type="textWrapping"/>
      </w:r>
    </w:p>
    <w:p w:rsidR="00000000" w:rsidDel="00000000" w:rsidP="00000000" w:rsidRDefault="00000000" w:rsidRPr="00000000" w14:paraId="00000006">
      <w:pPr>
        <w:numPr>
          <w:ilvl w:val="0"/>
          <w:numId w:val="2"/>
        </w:numPr>
        <w:spacing w:after="0" w:afterAutospacing="0" w:before="0" w:beforeAutospacing="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Donut Chart</w:t>
      </w:r>
      <w:r w:rsidDel="00000000" w:rsidR="00000000" w:rsidRPr="00000000">
        <w:rPr>
          <w:rFonts w:ascii="Times New Roman" w:cs="Times New Roman" w:eastAsia="Times New Roman" w:hAnsi="Times New Roman"/>
          <w:sz w:val="28"/>
          <w:szCs w:val="28"/>
          <w:rtl w:val="0"/>
        </w:rPr>
        <w:t xml:space="preserve"> – Sales by Category:</w:t>
        <w:br w:type="textWrapping"/>
        <w:t xml:space="preserve"> Shows contribution of each category (Technology, Furniture, Office Supplies) to total sales.</w:t>
        <w:br w:type="textWrapping"/>
      </w:r>
    </w:p>
    <w:p w:rsidR="00000000" w:rsidDel="00000000" w:rsidP="00000000" w:rsidRDefault="00000000" w:rsidRPr="00000000" w14:paraId="00000007">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Slicers (Filters):</w:t>
        <w:br w:type="textWrapping"/>
      </w:r>
    </w:p>
    <w:p w:rsidR="00000000" w:rsidDel="00000000" w:rsidP="00000000" w:rsidRDefault="00000000" w:rsidRPr="00000000" w14:paraId="00000008">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w:t>
        <w:br w:type="textWrapping"/>
      </w:r>
    </w:p>
    <w:p w:rsidR="00000000" w:rsidDel="00000000" w:rsidP="00000000" w:rsidRDefault="00000000" w:rsidRPr="00000000" w14:paraId="00000009">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w:t>
        <w:br w:type="textWrapping"/>
      </w:r>
    </w:p>
    <w:p w:rsidR="00000000" w:rsidDel="00000000" w:rsidP="00000000" w:rsidRDefault="00000000" w:rsidRPr="00000000" w14:paraId="0000000A">
      <w:pPr>
        <w:numPr>
          <w:ilvl w:val="1"/>
          <w:numId w:val="2"/>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Date (converted to Month-Year format)</w:t>
        <w:br w:type="textWrapping"/>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Insights:</w:t>
      </w:r>
    </w:p>
    <w:p w:rsidR="00000000" w:rsidDel="00000000" w:rsidP="00000000" w:rsidRDefault="00000000" w:rsidRPr="00000000" w14:paraId="0000000D">
      <w:pPr>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category leads in total sales, contributing over 35% to total revenue.</w:t>
        <w:br w:type="textWrapping"/>
      </w:r>
    </w:p>
    <w:p w:rsidR="00000000" w:rsidDel="00000000" w:rsidP="00000000" w:rsidRDefault="00000000" w:rsidRPr="00000000" w14:paraId="0000000E">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West region outperformed others consistently, especially during the third and fourth quarters.</w:t>
        <w:br w:type="textWrapping"/>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were highest in November and December, indicating strong holiday demand.</w:t>
        <w:br w:type="textWrapping"/>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Furniture sales showed irregular patterns — likely due to higher prices and infrequent purchases.</w:t>
        <w:br w:type="textWrapping"/>
      </w:r>
    </w:p>
    <w:p w:rsidR="00000000" w:rsidDel="00000000" w:rsidP="00000000" w:rsidRDefault="00000000" w:rsidRPr="00000000" w14:paraId="00000011">
      <w:pPr>
        <w:numPr>
          <w:ilvl w:val="0"/>
          <w:numId w:val="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Office Supplies had consistent but lower sales, good for regular promotions.</w:t>
        <w:br w:type="textWrapping"/>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14">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Q4 marketing efforts on Technology products.</w:t>
        <w:br w:type="textWrapping"/>
      </w:r>
    </w:p>
    <w:p w:rsidR="00000000" w:rsidDel="00000000" w:rsidP="00000000" w:rsidRDefault="00000000" w:rsidRPr="00000000" w14:paraId="00000015">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 strategies in the South region to boost performance.</w:t>
        <w:br w:type="textWrapping"/>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Offer bundle deals for Furniture + Office Supplies to increase average order value.</w:t>
        <w:br w:type="textWrapping"/>
      </w:r>
    </w:p>
    <w:p w:rsidR="00000000" w:rsidDel="00000000" w:rsidP="00000000" w:rsidRDefault="00000000" w:rsidRPr="00000000" w14:paraId="00000017">
      <w:pPr>
        <w:numPr>
          <w:ilvl w:val="0"/>
          <w:numId w:val="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identified peak sales months to forecast future inventory and staffing.</w:t>
        <w:br w:type="textWrapping"/>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w:t>
        <w:br w:type="textWrapping"/>
      </w:r>
      <w:r w:rsidDel="00000000" w:rsidR="00000000" w:rsidRPr="00000000">
        <w:rPr>
          <w:rFonts w:ascii="Times New Roman" w:cs="Times New Roman" w:eastAsia="Times New Roman" w:hAnsi="Times New Roman"/>
          <w:sz w:val="28"/>
          <w:szCs w:val="28"/>
          <w:rtl w:val="0"/>
        </w:rPr>
        <w:t xml:space="preserve"> This dashboard helps understand business performance at a glance, identify top-performing segments, and plan data-driven strategies for marketing, sales, and inventory.</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 Used:</w:t>
      </w:r>
      <w:r w:rsidDel="00000000" w:rsidR="00000000" w:rsidRPr="00000000">
        <w:rPr>
          <w:rFonts w:ascii="Times New Roman" w:cs="Times New Roman" w:eastAsia="Times New Roman" w:hAnsi="Times New Roman"/>
          <w:sz w:val="28"/>
          <w:szCs w:val="28"/>
          <w:rtl w:val="0"/>
        </w:rPr>
        <w:t xml:space="preserve"> Power BI</w:t>
        <w:br w:type="textWrapping"/>
        <w:t xml:space="preserve"> </w:t>
      </w: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Fonts w:ascii="Times New Roman" w:cs="Times New Roman" w:eastAsia="Times New Roman" w:hAnsi="Times New Roman"/>
          <w:sz w:val="28"/>
          <w:szCs w:val="28"/>
          <w:rtl w:val="0"/>
        </w:rPr>
        <w:t xml:space="preserve"> Superstore_Sales.csv</w:t>
        <w:br w:type="textWrapping"/>
        <w:t xml:space="preserve"> </w:t>
      </w:r>
      <w:r w:rsidDel="00000000" w:rsidR="00000000" w:rsidRPr="00000000">
        <w:rPr>
          <w:rFonts w:ascii="Times New Roman" w:cs="Times New Roman" w:eastAsia="Times New Roman" w:hAnsi="Times New Roman"/>
          <w:b w:val="1"/>
          <w:sz w:val="28"/>
          <w:szCs w:val="28"/>
          <w:rtl w:val="0"/>
        </w:rPr>
        <w:t xml:space="preserve">Prepared by:</w:t>
      </w:r>
      <w:r w:rsidDel="00000000" w:rsidR="00000000" w:rsidRPr="00000000">
        <w:rPr>
          <w:rFonts w:ascii="Times New Roman" w:cs="Times New Roman" w:eastAsia="Times New Roman" w:hAnsi="Times New Roman"/>
          <w:sz w:val="28"/>
          <w:szCs w:val="28"/>
          <w:rtl w:val="0"/>
        </w:rPr>
        <w:t xml:space="preserve"> Angel Suri</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