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shd w:fill="1a1612" w:val="clear"/>
            <w:tcMar>
              <w:top w:type="dxa" w:w="120"/>
              <w:left w:type="dxa" w:w="180"/>
              <w:bottom w:type="dxa" w:w="100"/>
              <w:right w:type="dxa" w:w="180"/>
            </w:tcMar>
          </w:tcPr>
          <w:p>
            <w:pPr>
              <w:spacing w:after="60" w:before="0"/>
              <w:jc w:val="left"/>
            </w:pPr>
            <w:r>
              <w:rPr>
                <w:rFonts w:ascii="Arial" w:cs="Arial" w:eastAsia="Arial" w:hAnsi="Arial"/>
                <w:b w:val="false"/>
                <w:bCs w:val="false"/>
                <w:i w:val="false"/>
                <w:iCs w:val="false"/>
                <w:color w:val="60a090"/>
                <w:sz w:val="15"/>
                <w:szCs w:val="15"/>
              </w:rPr>
              <w:t xml:space="preserve">BATH SPA UNIVERSITY  ·  DOCTORAL RESEARCH INSTRUMENT  ·  E-AGPO-HT v3.1</w:t>
            </w:r>
          </w:p>
          <w:p>
            <w:pPr>
              <w:spacing w:after="40" w:before="0"/>
              <w:jc w:val="left"/>
            </w:pPr>
            <w:r>
              <w:rPr>
                <w:rFonts w:ascii="Arial" w:cs="Arial" w:eastAsia="Arial" w:hAnsi="Arial"/>
                <w:b/>
                <w:bCs/>
                <w:i w:val="false"/>
                <w:iCs w:val="false"/>
                <w:color w:val="f0ece4"/>
                <w:sz w:val="26"/>
                <w:szCs w:val="26"/>
              </w:rPr>
              <w:t xml:space="preserve">Auracelle </w:t>
            </w:r>
            <w:r>
              <w:rPr>
                <w:rFonts w:ascii="Arial" w:cs="Arial" w:eastAsia="Arial" w:hAnsi="Arial"/>
                <w:b/>
                <w:bCs/>
                <w:i/>
                <w:iCs/>
                <w:color w:val="2d9d8e"/>
                <w:sz w:val="26"/>
                <w:szCs w:val="26"/>
              </w:rPr>
              <w:t xml:space="preserve">Charlie</w:t>
            </w:r>
          </w:p>
          <w:p>
            <w:pPr>
              <w:spacing w:after="0" w:before="0"/>
              <w:jc w:val="left"/>
            </w:pPr>
            <w:r>
              <w:rPr>
                <w:rFonts w:ascii="Arial" w:cs="Arial" w:eastAsia="Arial" w:hAnsi="Arial"/>
                <w:b w:val="false"/>
                <w:bCs w:val="false"/>
                <w:i/>
                <w:iCs/>
                <w:color w:val="80a09a"/>
                <w:sz w:val="17"/>
                <w:szCs w:val="17"/>
              </w:rPr>
              <w:t xml:space="preserve">AI Governance War Game Simulation</w:t>
            </w:r>
          </w:p>
        </w:tc>
        <w:tc>
          <w:tcPr>
            <w:tcW w:type="dxa" w:w="3160"/>
            <w:tcBorders>
              <w:top w:val="none" w:color="ffffff" w:sz="0"/>
              <w:left w:val="single" w:color="1a7a6e" w:sz="4"/>
              <w:bottom w:val="none" w:color="ffffff" w:sz="0"/>
              <w:right w:val="none" w:color="ffffff" w:sz="0"/>
            </w:tcBorders>
            <w:shd w:fill="0d1a14" w:val="clear"/>
            <w:tcMar>
              <w:top w:type="dxa" w:w="120"/>
              <w:left w:type="dxa" w:w="160"/>
              <w:bottom w:type="dxa" w:w="100"/>
              <w:right w:type="dxa" w:w="160"/>
            </w:tcMar>
          </w:tcPr>
          <w:p>
            <w:pPr>
              <w:spacing w:after="50" w:before="0"/>
              <w:jc w:val="left"/>
            </w:pPr>
            <w:r>
              <w:rPr>
                <w:rFonts w:ascii="Arial" w:cs="Arial" w:eastAsia="Arial" w:hAnsi="Arial"/>
                <w:b/>
                <w:bCs/>
                <w:i w:val="false"/>
                <w:iCs w:val="false"/>
                <w:color w:val="60a090"/>
                <w:sz w:val="15"/>
                <w:szCs w:val="15"/>
              </w:rPr>
              <w:t xml:space="preserve">PILOT WORKSHOP</w:t>
            </w:r>
          </w:p>
          <w:p>
            <w:pPr>
              <w:spacing w:after="40" w:before="0"/>
              <w:jc w:val="left"/>
            </w:pPr>
            <w:r>
              <w:rPr>
                <w:rFonts w:ascii="Arial" w:cs="Arial" w:eastAsia="Arial" w:hAnsi="Arial"/>
                <w:b/>
                <w:bCs/>
                <w:i w:val="false"/>
                <w:iCs w:val="false"/>
                <w:color w:val="f0ece4"/>
                <w:sz w:val="18"/>
                <w:szCs w:val="18"/>
              </w:rPr>
              <w:t xml:space="preserve">California SB-53 Stress-Test</w:t>
            </w:r>
          </w:p>
          <w:p>
            <w:pPr>
              <w:spacing w:after="0" w:before="0"/>
              <w:jc w:val="left"/>
            </w:pPr>
            <w:r>
              <w:rPr>
                <w:rFonts w:ascii="Arial" w:cs="Arial" w:eastAsia="Arial" w:hAnsi="Arial"/>
                <w:b w:val="false"/>
                <w:bCs w:val="false"/>
                <w:i w:val="false"/>
                <w:iCs w:val="false"/>
                <w:color w:val="5a8070"/>
                <w:sz w:val="15"/>
                <w:szCs w:val="15"/>
              </w:rPr>
              <w:t xml:space="preserve">3–4 participants  ·  90 minutes  ·  Autonomous mode</w:t>
            </w:r>
          </w:p>
        </w:tc>
      </w:tr>
    </w:tbl>
    <w:p>
      <w:pPr>
        <w:spacing w:after="0" w:before="100"/>
        <w:jc w:val="left"/>
      </w:pPr>
      <w:r>
        <w:rPr>
          <w:rFonts w:ascii="Arial" w:cs="Arial" w:eastAsia="Arial" w:hAnsi="Arial"/>
          <w:b w:val="false"/>
          <w:bCs w:val="false"/>
          <w:i w:val="false"/>
          <w:iCs w:val="false"/>
          <w:color w:val="3d383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1"/>
              <w:left w:val="single" w:color="1a7a6e" w:sz="4"/>
              <w:bottom w:val="single" w:color="1a7a6e" w:sz="1"/>
              <w:right w:val="single" w:color="1a7a6e" w:sz="1"/>
            </w:tcBorders>
            <w:shd w:fill="e8f4f2"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1a7a6e"/>
                <w:sz w:val="19"/>
                <w:szCs w:val="19"/>
              </w:rPr>
              <w:t xml:space="preserve">What you are about to do — in plain language</w:t>
            </w:r>
          </w:p>
          <w:p>
            <w:pPr>
              <w:spacing w:after="60" w:before="0"/>
              <w:jc w:val="left"/>
            </w:pPr>
            <w:r>
              <w:rPr>
                <w:rFonts w:ascii="Arial" w:cs="Arial" w:eastAsia="Arial" w:hAnsi="Arial"/>
                <w:b w:val="false"/>
                <w:bCs w:val="false"/>
                <w:i w:val="false"/>
                <w:iCs w:val="false"/>
                <w:color w:val="3d3830"/>
                <w:sz w:val="18"/>
                <w:szCs w:val="18"/>
              </w:rPr>
              <w:t xml:space="preserve">You are going to walk into a room where an AI law is being negotiated and try to make it work — or break it. </w:t>
            </w:r>
            <w:r>
              <w:rPr>
                <w:rFonts w:ascii="Arial" w:cs="Arial" w:eastAsia="Arial" w:hAnsi="Arial"/>
                <w:b w:val="false"/>
                <w:bCs w:val="false"/>
                <w:i w:val="false"/>
                <w:iCs w:val="false"/>
                <w:color w:val="3d3830"/>
                <w:sz w:val="18"/>
                <w:szCs w:val="18"/>
              </w:rPr>
              <w:t xml:space="preserve">You will play a real stakeholder: a government, a tech company, a civil society group, or a regulator. </w:t>
            </w:r>
            <w:r>
              <w:rPr>
                <w:rFonts w:ascii="Arial" w:cs="Arial" w:eastAsia="Arial" w:hAnsi="Arial"/>
                <w:b w:val="false"/>
                <w:bCs w:val="false"/>
                <w:i w:val="false"/>
                <w:iCs w:val="false"/>
                <w:color w:val="3d3830"/>
                <w:sz w:val="18"/>
                <w:szCs w:val="18"/>
              </w:rPr>
              <w:t xml:space="preserve">The simulation will run whether you move or not, because AI agents are running the other actors alongside you. </w:t>
            </w:r>
            <w:r>
              <w:rPr>
                <w:rFonts w:ascii="Arial" w:cs="Arial" w:eastAsia="Arial" w:hAnsi="Arial"/>
                <w:b/>
                <w:bCs/>
                <w:i w:val="false"/>
                <w:iCs w:val="false"/>
                <w:color w:val="1a1612"/>
                <w:sz w:val="18"/>
                <w:szCs w:val="18"/>
              </w:rPr>
              <w:t xml:space="preserve">By the end you will know, with a score, whether the policy held under pressure — and exactly where it cracked.</w:t>
            </w:r>
          </w:p>
          <w:p>
            <w:pPr>
              <w:spacing w:after="0" w:before="0"/>
              <w:jc w:val="left"/>
            </w:pPr>
            <w:r>
              <w:rPr>
                <w:rFonts w:ascii="Arial" w:cs="Arial" w:eastAsia="Arial" w:hAnsi="Arial"/>
                <w:b/>
                <w:bCs/>
                <w:i w:val="false"/>
                <w:iCs w:val="false"/>
                <w:color w:val="1a7a6e"/>
                <w:sz w:val="18"/>
                <w:szCs w:val="18"/>
              </w:rPr>
              <w:t xml:space="preserve">No expertise required. </w:t>
            </w:r>
            <w:r>
              <w:rPr>
                <w:rFonts w:ascii="Arial" w:cs="Arial" w:eastAsia="Arial" w:hAnsi="Arial"/>
                <w:b w:val="false"/>
                <w:bCs w:val="false"/>
                <w:i w:val="false"/>
                <w:iCs w:val="false"/>
                <w:color w:val="6b6358"/>
                <w:sz w:val="18"/>
                <w:szCs w:val="18"/>
              </w:rPr>
              <w:t xml:space="preserve">No preparation required. The simulation explains every step. Your job is to represent your actor's interests as forcefully as you would in reality.</w:t>
            </w:r>
          </w:p>
        </w:tc>
      </w:tr>
    </w:tbl>
    <w:p>
      <w:pPr>
        <w:spacing w:after="0" w:before="100"/>
        <w:jc w:val="left"/>
      </w:pPr>
      <w:r>
        <w:rPr>
          <w:rFonts w:ascii="Arial" w:cs="Arial" w:eastAsia="Arial" w:hAnsi="Arial"/>
          <w:b w:val="false"/>
          <w:bCs w:val="false"/>
          <w:i w:val="false"/>
          <w:iCs w:val="false"/>
          <w:color w:val="3d383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20"/>
        <w:gridCol w:w="4540"/>
      </w:tblGrid>
      <w:tr>
        <w:tc>
          <w:tcPr>
            <w:tcW w:type="dxa" w:w="47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spacing w:after="70" w:before="0"/>
              <w:jc w:val="left"/>
            </w:pPr>
            <w:r>
              <w:rPr>
                <w:rFonts w:ascii="Arial" w:cs="Arial" w:eastAsia="Arial" w:hAnsi="Arial"/>
                <w:b/>
                <w:bCs/>
                <w:i w:val="false"/>
                <w:iCs w:val="false"/>
                <w:color w:val="2c4a6e"/>
                <w:sz w:val="19"/>
                <w:szCs w:val="19"/>
              </w:rPr>
              <w:t xml:space="preserve">Why this experiment matters</w:t>
            </w:r>
          </w:p>
          <w:p>
            <w:pPr>
              <w:spacing w:after="70" w:before="0"/>
              <w:jc w:val="left"/>
            </w:pPr>
            <w:r>
              <w:rPr>
                <w:rFonts w:ascii="Arial" w:cs="Arial" w:eastAsia="Arial" w:hAnsi="Arial"/>
                <w:b w:val="false"/>
                <w:bCs w:val="false"/>
                <w:i w:val="false"/>
                <w:iCs w:val="false"/>
                <w:color w:val="3d3830"/>
                <w:sz w:val="18"/>
                <w:szCs w:val="18"/>
              </w:rPr>
              <w:t xml:space="preserve">Most AI policy is written about AI. </w:t>
            </w:r>
            <w:r>
              <w:rPr>
                <w:rFonts w:ascii="Arial" w:cs="Arial" w:eastAsia="Arial" w:hAnsi="Arial"/>
                <w:b/>
                <w:bCs/>
                <w:i w:val="false"/>
                <w:iCs w:val="false"/>
                <w:color w:val="1a1612"/>
                <w:sz w:val="18"/>
                <w:szCs w:val="18"/>
              </w:rPr>
              <w:t xml:space="preserve">This simulation puts AI in the room as a participant. </w:t>
            </w:r>
            <w:r>
              <w:rPr>
                <w:rFonts w:ascii="Arial" w:cs="Arial" w:eastAsia="Arial" w:hAnsi="Arial"/>
                <w:b w:val="false"/>
                <w:bCs w:val="false"/>
                <w:i w:val="false"/>
                <w:iCs w:val="false"/>
                <w:color w:val="3d3830"/>
                <w:sz w:val="18"/>
                <w:szCs w:val="18"/>
              </w:rPr>
              <w:t xml:space="preserve">That changes everything.</w:t>
            </w:r>
          </w:p>
          <w:p>
            <w:pPr>
              <w:spacing w:after="60" w:before="0"/>
              <w:jc w:val="left"/>
            </w:pPr>
            <w:r>
              <w:rPr>
                <w:rFonts w:ascii="Arial" w:cs="Arial" w:eastAsia="Arial" w:hAnsi="Arial"/>
                <w:b w:val="false"/>
                <w:bCs w:val="false"/>
                <w:i w:val="false"/>
                <w:iCs w:val="false"/>
                <w:color w:val="6b6358"/>
                <w:sz w:val="17"/>
                <w:szCs w:val="17"/>
              </w:rPr>
              <w:t xml:space="preserve">The experiment measures three things nobody has formally measured before:</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80"/>
              <w:gridCol w:w="4340"/>
            </w:tblGrid>
            <w:tr>
              <w:tc>
                <w:tcPr>
                  <w:tcW w:type="dxa" w:w="180"/>
                  <w:tcBorders>
                    <w:top w:val="none" w:color="ffffff" w:sz="0"/>
                    <w:left w:val="none" w:color="ffffff" w:sz="0"/>
                    <w:bottom w:val="none" w:color="ffffff" w:sz="0"/>
                    <w:right w:val="none" w:color="ffffff" w:sz="0"/>
                  </w:tcBorders>
                  <w:shd w:fill="e8f4f2" w:val="clear"/>
                  <w:tcMar>
                    <w:top w:type="dxa" w:w="80"/>
                    <w:left w:type="dxa" w:w="80"/>
                    <w:bottom w:type="dxa" w:w="80"/>
                    <w:right w:type="dxa" w:w="80"/>
                  </w:tcMar>
                </w:tcPr>
                <w:p>
                  <w:pPr>
                    <w:spacing w:after="0" w:before="0"/>
                    <w:jc w:val="center"/>
                  </w:pPr>
                  <w:r>
                    <w:rPr>
                      <w:rFonts w:ascii="Arial" w:cs="Arial" w:eastAsia="Arial" w:hAnsi="Arial"/>
                      <w:b/>
                      <w:bCs/>
                      <w:i w:val="false"/>
                      <w:iCs w:val="false"/>
                      <w:color w:val="1a7a6e"/>
                      <w:sz w:val="17"/>
                      <w:szCs w:val="17"/>
                    </w:rPr>
                    <w:t xml:space="preserve">1</w:t>
                  </w:r>
                </w:p>
              </w:tc>
              <w:tc>
                <w:tcPr>
                  <w:tcW w:type="dxa" w:w="4340"/>
                  <w:tcBorders>
                    <w:top w:val="none" w:color="ffffff" w:sz="0"/>
                    <w:left w:val="none" w:color="ffffff" w:sz="0"/>
                    <w:bottom w:val="none" w:color="ffffff" w:sz="0"/>
                    <w:right w:val="none" w:color="ffffff" w:sz="0"/>
                  </w:tcBorders>
                  <w:shd w:fill="e8f4f2" w:val="clear"/>
                  <w:tcMar>
                    <w:top w:type="dxa" w:w="80"/>
                    <w:left w:type="dxa" w:w="100"/>
                    <w:bottom w:type="dxa" w:w="80"/>
                    <w:right w:type="dxa" w:w="100"/>
                  </w:tcMar>
                </w:tcPr>
                <w:p>
                  <w:pPr>
                    <w:spacing w:after="30" w:before="0"/>
                    <w:jc w:val="left"/>
                  </w:pPr>
                  <w:r>
                    <w:rPr>
                      <w:rFonts w:ascii="Arial" w:cs="Arial" w:eastAsia="Arial" w:hAnsi="Arial"/>
                      <w:b/>
                      <w:bCs/>
                      <w:i w:val="false"/>
                      <w:iCs w:val="false"/>
                      <w:color w:val="1a7a6e"/>
                      <w:sz w:val="17"/>
                      <w:szCs w:val="17"/>
                    </w:rPr>
                    <w:t xml:space="preserve">Does the AI reason about governance correctly?</w:t>
                  </w:r>
                </w:p>
                <w:p>
                  <w:pPr>
                    <w:spacing w:after="0" w:before="0"/>
                    <w:jc w:val="left"/>
                  </w:pPr>
                  <w:r>
                    <w:rPr>
                      <w:rFonts w:ascii="Arial" w:cs="Arial" w:eastAsia="Arial" w:hAnsi="Arial"/>
                      <w:b w:val="false"/>
                      <w:bCs w:val="false"/>
                      <w:i w:val="false"/>
                      <w:iCs w:val="false"/>
                      <w:color w:val="6b6358"/>
                      <w:sz w:val="16"/>
                      <w:szCs w:val="16"/>
                    </w:rPr>
                    <w:t xml:space="preserve">When you challenge the AI agent's move and it adapts, that is an alignment signal. You are defining what correct governance reasoning looks like in a contested environment.</w:t>
                  </w:r>
                </w:p>
              </w:tc>
            </w:tr>
          </w:tbl>
          <w:p>
            <w:pPr>
              <w:spacing w:after="0" w:before="60"/>
              <w:jc w:val="left"/>
            </w:pPr>
            <w:r>
              <w:rPr>
                <w:rFonts w:ascii="Arial" w:cs="Arial" w:eastAsia="Arial" w:hAnsi="Arial"/>
                <w:b w:val="false"/>
                <w:bCs w:val="false"/>
                <w:i w:val="false"/>
                <w:iCs w:val="false"/>
                <w:color w:val="3d3830"/>
                <w:sz w:val="18"/>
                <w:szCs w:val="18"/>
              </w:rPr>
              <w:t xml:space="preserve"/>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80"/>
              <w:gridCol w:w="4340"/>
            </w:tblGrid>
            <w:tr>
              <w:tc>
                <w:tcPr>
                  <w:tcW w:type="dxa" w:w="180"/>
                  <w:tcBorders>
                    <w:top w:val="none" w:color="ffffff" w:sz="0"/>
                    <w:left w:val="none" w:color="ffffff" w:sz="0"/>
                    <w:bottom w:val="none" w:color="ffffff" w:sz="0"/>
                    <w:right w:val="none" w:color="ffffff" w:sz="0"/>
                  </w:tcBorders>
                  <w:shd w:fill="edf2f8" w:val="clear"/>
                  <w:tcMar>
                    <w:top w:type="dxa" w:w="80"/>
                    <w:left w:type="dxa" w:w="80"/>
                    <w:bottom w:type="dxa" w:w="80"/>
                    <w:right w:type="dxa" w:w="80"/>
                  </w:tcMar>
                </w:tcPr>
                <w:p>
                  <w:pPr>
                    <w:spacing w:after="0" w:before="0"/>
                    <w:jc w:val="center"/>
                  </w:pPr>
                  <w:r>
                    <w:rPr>
                      <w:rFonts w:ascii="Arial" w:cs="Arial" w:eastAsia="Arial" w:hAnsi="Arial"/>
                      <w:b/>
                      <w:bCs/>
                      <w:i w:val="false"/>
                      <w:iCs w:val="false"/>
                      <w:color w:val="2c4a6e"/>
                      <w:sz w:val="17"/>
                      <w:szCs w:val="17"/>
                    </w:rPr>
                    <w:t xml:space="preserve">2</w:t>
                  </w:r>
                </w:p>
              </w:tc>
              <w:tc>
                <w:tcPr>
                  <w:tcW w:type="dxa" w:w="4340"/>
                  <w:tcBorders>
                    <w:top w:val="none" w:color="ffffff" w:sz="0"/>
                    <w:left w:val="none" w:color="ffffff" w:sz="0"/>
                    <w:bottom w:val="none" w:color="ffffff" w:sz="0"/>
                    <w:right w:val="none" w:color="ffffff" w:sz="0"/>
                  </w:tcBorders>
                  <w:shd w:fill="edf2f8" w:val="clear"/>
                  <w:tcMar>
                    <w:top w:type="dxa" w:w="80"/>
                    <w:left w:type="dxa" w:w="100"/>
                    <w:bottom w:type="dxa" w:w="80"/>
                    <w:right w:type="dxa" w:w="100"/>
                  </w:tcMar>
                </w:tcPr>
                <w:p>
                  <w:pPr>
                    <w:spacing w:after="30" w:before="0"/>
                    <w:jc w:val="left"/>
                  </w:pPr>
                  <w:r>
                    <w:rPr>
                      <w:rFonts w:ascii="Arial" w:cs="Arial" w:eastAsia="Arial" w:hAnsi="Arial"/>
                      <w:b/>
                      <w:bCs/>
                      <w:i w:val="false"/>
                      <w:iCs w:val="false"/>
                      <w:color w:val="2c4a6e"/>
                      <w:sz w:val="17"/>
                      <w:szCs w:val="17"/>
                    </w:rPr>
                    <w:t xml:space="preserve">Does the policy survive when AI is a co-author?</w:t>
                  </w:r>
                </w:p>
                <w:p>
                  <w:pPr>
                    <w:spacing w:after="0" w:before="0"/>
                    <w:jc w:val="left"/>
                  </w:pPr>
                  <w:r>
                    <w:rPr>
                      <w:rFonts w:ascii="Arial" w:cs="Arial" w:eastAsia="Arial" w:hAnsi="Arial"/>
                      <w:b w:val="false"/>
                      <w:bCs w:val="false"/>
                      <w:i w:val="false"/>
                      <w:iCs w:val="false"/>
                      <w:color w:val="6b6358"/>
                      <w:sz w:val="16"/>
                      <w:szCs w:val="16"/>
                    </w:rPr>
                    <w:t xml:space="preserve">SB-53 was written about AI models, but not with them in the room. This experiment asks: does the policy hold when the governed entity is also a negotiating participant?</w:t>
                  </w:r>
                </w:p>
              </w:tc>
            </w:tr>
          </w:tbl>
          <w:p>
            <w:pPr>
              <w:spacing w:after="0" w:before="60"/>
              <w:jc w:val="left"/>
            </w:pPr>
            <w:r>
              <w:rPr>
                <w:rFonts w:ascii="Arial" w:cs="Arial" w:eastAsia="Arial" w:hAnsi="Arial"/>
                <w:b w:val="false"/>
                <w:bCs w:val="false"/>
                <w:i w:val="false"/>
                <w:iCs w:val="false"/>
                <w:color w:val="3d3830"/>
                <w:sz w:val="18"/>
                <w:szCs w:val="18"/>
              </w:rPr>
              <w:t xml:space="preserve"/>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80"/>
              <w:gridCol w:w="4340"/>
            </w:tblGrid>
            <w:tr>
              <w:tc>
                <w:tcPr>
                  <w:tcW w:type="dxa" w:w="180"/>
                  <w:tcBorders>
                    <w:top w:val="none" w:color="ffffff" w:sz="0"/>
                    <w:left w:val="none" w:color="ffffff" w:sz="0"/>
                    <w:bottom w:val="none" w:color="ffffff" w:sz="0"/>
                    <w:right w:val="none" w:color="ffffff" w:sz="0"/>
                  </w:tcBorders>
                  <w:shd w:fill="fdf3e7" w:val="clear"/>
                  <w:tcMar>
                    <w:top w:type="dxa" w:w="80"/>
                    <w:left w:type="dxa" w:w="80"/>
                    <w:bottom w:type="dxa" w:w="80"/>
                    <w:right w:type="dxa" w:w="80"/>
                  </w:tcMar>
                </w:tcPr>
                <w:p>
                  <w:pPr>
                    <w:spacing w:after="0" w:before="0"/>
                    <w:jc w:val="center"/>
                  </w:pPr>
                  <w:r>
                    <w:rPr>
                      <w:rFonts w:ascii="Arial" w:cs="Arial" w:eastAsia="Arial" w:hAnsi="Arial"/>
                      <w:b/>
                      <w:bCs/>
                      <w:i w:val="false"/>
                      <w:iCs w:val="false"/>
                      <w:color w:val="b5620a"/>
                      <w:sz w:val="17"/>
                      <w:szCs w:val="17"/>
                    </w:rPr>
                    <w:t xml:space="preserve">3</w:t>
                  </w:r>
                </w:p>
              </w:tc>
              <w:tc>
                <w:tcPr>
                  <w:tcW w:type="dxa" w:w="4340"/>
                  <w:tcBorders>
                    <w:top w:val="none" w:color="ffffff" w:sz="0"/>
                    <w:left w:val="none" w:color="ffffff" w:sz="0"/>
                    <w:bottom w:val="none" w:color="ffffff" w:sz="0"/>
                    <w:right w:val="none" w:color="ffffff" w:sz="0"/>
                  </w:tcBorders>
                  <w:shd w:fill="fdf3e7" w:val="clear"/>
                  <w:tcMar>
                    <w:top w:type="dxa" w:w="80"/>
                    <w:left w:type="dxa" w:w="100"/>
                    <w:bottom w:type="dxa" w:w="80"/>
                    <w:right w:type="dxa" w:w="100"/>
                  </w:tcMar>
                </w:tcPr>
                <w:p>
                  <w:pPr>
                    <w:spacing w:after="30" w:before="0"/>
                    <w:jc w:val="left"/>
                  </w:pPr>
                  <w:r>
                    <w:rPr>
                      <w:rFonts w:ascii="Arial" w:cs="Arial" w:eastAsia="Arial" w:hAnsi="Arial"/>
                      <w:b/>
                      <w:bCs/>
                      <w:i w:val="false"/>
                      <w:iCs w:val="false"/>
                      <w:color w:val="b5620a"/>
                      <w:sz w:val="17"/>
                      <w:szCs w:val="17"/>
                    </w:rPr>
                    <w:t xml:space="preserve">Which levers does your group pull hardest?</w:t>
                  </w:r>
                </w:p>
                <w:p>
                  <w:pPr>
                    <w:spacing w:after="0" w:before="0"/>
                    <w:jc w:val="left"/>
                  </w:pPr>
                  <w:r>
                    <w:rPr>
                      <w:rFonts w:ascii="Arial" w:cs="Arial" w:eastAsia="Arial" w:hAnsi="Arial"/>
                      <w:b w:val="false"/>
                      <w:bCs w:val="false"/>
                      <w:i w:val="false"/>
                      <w:iCs w:val="false"/>
                      <w:color w:val="6b6358"/>
                      <w:sz w:val="16"/>
                      <w:szCs w:val="16"/>
                    </w:rPr>
                    <w:t xml:space="preserve">Your participant group is the independent variable. A military group, a civil society group, and a technical group all negotiate the same scenario differently. That difference is the data.</w:t>
                  </w:r>
                </w:p>
              </w:tc>
            </w:tr>
          </w:tbl>
          <w:p/>
        </w:tc>
        <w:tc>
          <w:tcPr>
            <w:tcW w:type="dxa" w:w="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d3830"/>
                <w:sz w:val="18"/>
                <w:szCs w:val="18"/>
              </w:rPr>
              <w:t xml:space="preserve"/>
            </w:r>
          </w:p>
        </w:tc>
        <w:tc>
          <w:tcPr>
            <w:tcW w:type="dxa" w:w="454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pPr>
              <w:spacing w:after="60" w:before="0"/>
              <w:jc w:val="left"/>
            </w:pPr>
            <w:r>
              <w:rPr>
                <w:rFonts w:ascii="Arial" w:cs="Arial" w:eastAsia="Arial" w:hAnsi="Arial"/>
                <w:b/>
                <w:bCs/>
                <w:i w:val="false"/>
                <w:iCs w:val="false"/>
                <w:color w:val="2c4a6e"/>
                <w:sz w:val="19"/>
                <w:szCs w:val="19"/>
              </w:rPr>
              <w:t xml:space="preserve">The policy: California SB-53</w:t>
            </w:r>
          </w:p>
          <w:p>
            <w:pPr>
              <w:spacing w:after="80" w:before="0"/>
              <w:jc w:val="left"/>
            </w:pPr>
            <w:r>
              <w:rPr>
                <w:rFonts w:ascii="Arial" w:cs="Arial" w:eastAsia="Arial" w:hAnsi="Arial"/>
                <w:b w:val="false"/>
                <w:bCs w:val="false"/>
                <w:i w:val="false"/>
                <w:iCs w:val="false"/>
                <w:color w:val="6b6358"/>
                <w:sz w:val="17"/>
                <w:szCs w:val="17"/>
              </w:rPr>
              <w:t xml:space="preserve">Signed September 29, 2025. The first enforceable US AI safety law. It targets frontier AI models — the most powerful systems built today — and imposes four obligations on the companies that build them.</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440"/>
              <w:gridCol w:w="3080"/>
            </w:tblGrid>
            <w:tr>
              <w:tc>
                <w:tcPr>
                  <w:tcW w:type="dxa" w:w="1440"/>
                  <w:tcBorders>
                    <w:top w:val="single" w:color="d8d2c8" w:sz="1"/>
                    <w:left w:val="single" w:color="d8d2c8" w:sz="1"/>
                    <w:bottom w:val="single" w:color="d8d2c8" w:sz="1"/>
                    <w:right w:val="single" w:color="d8d2c8" w:sz="1"/>
                  </w:tcBorders>
                  <w:shd w:fill="2c4a6e"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5"/>
                      <w:szCs w:val="15"/>
                    </w:rPr>
                    <w:t xml:space="preserve">Obligation</w:t>
                  </w:r>
                </w:p>
              </w:tc>
              <w:tc>
                <w:tcPr>
                  <w:tcW w:type="dxa" w:w="3080"/>
                  <w:tcBorders>
                    <w:top w:val="single" w:color="d8d2c8" w:sz="1"/>
                    <w:left w:val="single" w:color="d8d2c8" w:sz="1"/>
                    <w:bottom w:val="single" w:color="d8d2c8" w:sz="1"/>
                    <w:right w:val="single" w:color="d8d2c8" w:sz="1"/>
                  </w:tcBorders>
                  <w:shd w:fill="2c4a6e"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5"/>
                      <w:szCs w:val="15"/>
                    </w:rPr>
                    <w:t xml:space="preserve">What it requires</w:t>
                  </w:r>
                </w:p>
              </w:tc>
            </w:tr>
            <w:tr>
              <w:tc>
                <w:tcPr>
                  <w:tcW w:type="dxa" w:w="1440"/>
                  <w:tcBorders>
                    <w:top w:val="single" w:color="d8d2c8" w:sz="1"/>
                    <w:left w:val="single" w:color="d8d2c8" w:sz="1"/>
                    <w:bottom w:val="single" w:color="d8d2c8" w:sz="1"/>
                    <w:right w:val="single" w:color="d8d2c8" w:sz="1"/>
                  </w:tcBorders>
                  <w:shd w:fill="f5f2ed" w:val="clear"/>
                  <w:tcMar>
                    <w:top w:type="dxa" w:w="55"/>
                    <w:left w:type="dxa" w:w="100"/>
                    <w:bottom w:type="dxa" w:w="55"/>
                    <w:right w:type="dxa" w:w="100"/>
                  </w:tcMar>
                </w:tcPr>
                <w:p>
                  <w:pPr>
                    <w:spacing w:after="0" w:before="0"/>
                    <w:jc w:val="left"/>
                  </w:pPr>
                  <w:r>
                    <w:rPr>
                      <w:rFonts w:ascii="Arial" w:cs="Arial" w:eastAsia="Arial" w:hAnsi="Arial"/>
                      <w:b/>
                      <w:bCs/>
                      <w:i w:val="false"/>
                      <w:iCs w:val="false"/>
                      <w:color w:val="2c4a6e"/>
                      <w:sz w:val="15"/>
                      <w:szCs w:val="15"/>
                    </w:rPr>
                    <w:t xml:space="preserve">Safety Framework</w:t>
                  </w:r>
                </w:p>
              </w:tc>
              <w:tc>
                <w:tcPr>
                  <w:tcW w:type="dxa" w:w="3080"/>
                  <w:tcBorders>
                    <w:top w:val="single" w:color="d8d2c8" w:sz="1"/>
                    <w:left w:val="single" w:color="d8d2c8" w:sz="1"/>
                    <w:bottom w:val="single" w:color="d8d2c8" w:sz="1"/>
                    <w:right w:val="single" w:color="d8d2c8" w:sz="1"/>
                  </w:tcBorders>
                  <w:shd w:fill="f5f2ed" w:val="clear"/>
                  <w:tcMar>
                    <w:top w:type="dxa" w:w="55"/>
                    <w:left w:type="dxa" w:w="100"/>
                    <w:bottom w:type="dxa" w:w="55"/>
                    <w:right w:type="dxa" w:w="100"/>
                  </w:tcMar>
                </w:tcPr>
                <w:p>
                  <w:pPr>
                    <w:spacing w:after="0" w:before="0"/>
                    <w:jc w:val="left"/>
                  </w:pPr>
                  <w:r>
                    <w:rPr>
                      <w:rFonts w:ascii="Arial" w:cs="Arial" w:eastAsia="Arial" w:hAnsi="Arial"/>
                      <w:b w:val="false"/>
                      <w:bCs w:val="false"/>
                      <w:i w:val="false"/>
                      <w:iCs w:val="false"/>
                      <w:color w:val="6b6358"/>
                      <w:sz w:val="15"/>
                      <w:szCs w:val="15"/>
                    </w:rPr>
                    <w:t xml:space="preserve">Annual public framework on catastrophic risk, aligned to NIST or ISO 42001.</w:t>
                  </w:r>
                </w:p>
              </w:tc>
            </w:tr>
            <w:tr>
              <w:tc>
                <w:tcPr>
                  <w:tcW w:type="dxa" w:w="1440"/>
                  <w:tcBorders>
                    <w:top w:val="single" w:color="d8d2c8" w:sz="1"/>
                    <w:left w:val="single" w:color="d8d2c8" w:sz="1"/>
                    <w:bottom w:val="single" w:color="d8d2c8" w:sz="1"/>
                    <w:right w:val="single" w:color="d8d2c8" w:sz="1"/>
                  </w:tcBorders>
                  <w:shd w:fill="ffffff" w:val="clear"/>
                  <w:tcMar>
                    <w:top w:type="dxa" w:w="55"/>
                    <w:left w:type="dxa" w:w="100"/>
                    <w:bottom w:type="dxa" w:w="55"/>
                    <w:right w:type="dxa" w:w="100"/>
                  </w:tcMar>
                </w:tcPr>
                <w:p>
                  <w:pPr>
                    <w:spacing w:after="0" w:before="0"/>
                    <w:jc w:val="left"/>
                  </w:pPr>
                  <w:r>
                    <w:rPr>
                      <w:rFonts w:ascii="Arial" w:cs="Arial" w:eastAsia="Arial" w:hAnsi="Arial"/>
                      <w:b/>
                      <w:bCs/>
                      <w:i w:val="false"/>
                      <w:iCs w:val="false"/>
                      <w:color w:val="2c4a6e"/>
                      <w:sz w:val="15"/>
                      <w:szCs w:val="15"/>
                    </w:rPr>
                    <w:t xml:space="preserve">Transparency Report</w:t>
                  </w:r>
                </w:p>
              </w:tc>
              <w:tc>
                <w:tcPr>
                  <w:tcW w:type="dxa" w:w="3080"/>
                  <w:tcBorders>
                    <w:top w:val="single" w:color="d8d2c8" w:sz="1"/>
                    <w:left w:val="single" w:color="d8d2c8" w:sz="1"/>
                    <w:bottom w:val="single" w:color="d8d2c8" w:sz="1"/>
                    <w:right w:val="single" w:color="d8d2c8" w:sz="1"/>
                  </w:tcBorders>
                  <w:shd w:fill="ffffff" w:val="clear"/>
                  <w:tcMar>
                    <w:top w:type="dxa" w:w="55"/>
                    <w:left w:type="dxa" w:w="100"/>
                    <w:bottom w:type="dxa" w:w="55"/>
                    <w:right w:type="dxa" w:w="100"/>
                  </w:tcMar>
                </w:tcPr>
                <w:p>
                  <w:pPr>
                    <w:spacing w:after="0" w:before="0"/>
                    <w:jc w:val="left"/>
                  </w:pPr>
                  <w:r>
                    <w:rPr>
                      <w:rFonts w:ascii="Arial" w:cs="Arial" w:eastAsia="Arial" w:hAnsi="Arial"/>
                      <w:b w:val="false"/>
                      <w:bCs w:val="false"/>
                      <w:i w:val="false"/>
                      <w:iCs w:val="false"/>
                      <w:color w:val="6b6358"/>
                      <w:sz w:val="15"/>
                      <w:szCs w:val="15"/>
                    </w:rPr>
                    <w:t xml:space="preserve">Published before each new or updated frontier model release.</w:t>
                  </w:r>
                </w:p>
              </w:tc>
            </w:tr>
            <w:tr>
              <w:tc>
                <w:tcPr>
                  <w:tcW w:type="dxa" w:w="1440"/>
                  <w:tcBorders>
                    <w:top w:val="single" w:color="d8d2c8" w:sz="1"/>
                    <w:left w:val="single" w:color="d8d2c8" w:sz="1"/>
                    <w:bottom w:val="single" w:color="d8d2c8" w:sz="1"/>
                    <w:right w:val="single" w:color="d8d2c8" w:sz="1"/>
                  </w:tcBorders>
                  <w:shd w:fill="f5f2ed" w:val="clear"/>
                  <w:tcMar>
                    <w:top w:type="dxa" w:w="55"/>
                    <w:left w:type="dxa" w:w="100"/>
                    <w:bottom w:type="dxa" w:w="55"/>
                    <w:right w:type="dxa" w:w="100"/>
                  </w:tcMar>
                </w:tcPr>
                <w:p>
                  <w:pPr>
                    <w:spacing w:after="0" w:before="0"/>
                    <w:jc w:val="left"/>
                  </w:pPr>
                  <w:r>
                    <w:rPr>
                      <w:rFonts w:ascii="Arial" w:cs="Arial" w:eastAsia="Arial" w:hAnsi="Arial"/>
                      <w:b/>
                      <w:bCs/>
                      <w:i w:val="false"/>
                      <w:iCs w:val="false"/>
                      <w:color w:val="2c4a6e"/>
                      <w:sz w:val="15"/>
                      <w:szCs w:val="15"/>
                    </w:rPr>
                    <w:t xml:space="preserve">Incident Reporting</w:t>
                  </w:r>
                </w:p>
              </w:tc>
              <w:tc>
                <w:tcPr>
                  <w:tcW w:type="dxa" w:w="3080"/>
                  <w:tcBorders>
                    <w:top w:val="single" w:color="d8d2c8" w:sz="1"/>
                    <w:left w:val="single" w:color="d8d2c8" w:sz="1"/>
                    <w:bottom w:val="single" w:color="d8d2c8" w:sz="1"/>
                    <w:right w:val="single" w:color="d8d2c8" w:sz="1"/>
                  </w:tcBorders>
                  <w:shd w:fill="f5f2ed" w:val="clear"/>
                  <w:tcMar>
                    <w:top w:type="dxa" w:w="55"/>
                    <w:left w:type="dxa" w:w="100"/>
                    <w:bottom w:type="dxa" w:w="55"/>
                    <w:right w:type="dxa" w:w="100"/>
                  </w:tcMar>
                </w:tcPr>
                <w:p>
                  <w:pPr>
                    <w:spacing w:after="0" w:before="0"/>
                    <w:jc w:val="left"/>
                  </w:pPr>
                  <w:r>
                    <w:rPr>
                      <w:rFonts w:ascii="Arial" w:cs="Arial" w:eastAsia="Arial" w:hAnsi="Arial"/>
                      <w:b w:val="false"/>
                      <w:bCs w:val="false"/>
                      <w:i w:val="false"/>
                      <w:iCs w:val="false"/>
                      <w:color w:val="6b6358"/>
                      <w:sz w:val="15"/>
                      <w:szCs w:val="15"/>
                    </w:rPr>
                    <w:t xml:space="preserve">Critical safety incidents reported to California within 15 days.</w:t>
                  </w:r>
                </w:p>
              </w:tc>
            </w:tr>
            <w:tr>
              <w:tc>
                <w:tcPr>
                  <w:tcW w:type="dxa" w:w="1440"/>
                  <w:tcBorders>
                    <w:top w:val="single" w:color="d8d2c8" w:sz="1"/>
                    <w:left w:val="single" w:color="d8d2c8" w:sz="1"/>
                    <w:bottom w:val="single" w:color="d8d2c8" w:sz="1"/>
                    <w:right w:val="single" w:color="d8d2c8" w:sz="1"/>
                  </w:tcBorders>
                  <w:shd w:fill="ffffff" w:val="clear"/>
                  <w:tcMar>
                    <w:top w:type="dxa" w:w="55"/>
                    <w:left w:type="dxa" w:w="100"/>
                    <w:bottom w:type="dxa" w:w="55"/>
                    <w:right w:type="dxa" w:w="100"/>
                  </w:tcMar>
                </w:tcPr>
                <w:p>
                  <w:pPr>
                    <w:spacing w:after="0" w:before="0"/>
                    <w:jc w:val="left"/>
                  </w:pPr>
                  <w:r>
                    <w:rPr>
                      <w:rFonts w:ascii="Arial" w:cs="Arial" w:eastAsia="Arial" w:hAnsi="Arial"/>
                      <w:b/>
                      <w:bCs/>
                      <w:i w:val="false"/>
                      <w:iCs w:val="false"/>
                      <w:color w:val="2c4a6e"/>
                      <w:sz w:val="15"/>
                      <w:szCs w:val="15"/>
                    </w:rPr>
                    <w:t xml:space="preserve">Whistleblower</w:t>
                  </w:r>
                </w:p>
              </w:tc>
              <w:tc>
                <w:tcPr>
                  <w:tcW w:type="dxa" w:w="3080"/>
                  <w:tcBorders>
                    <w:top w:val="single" w:color="d8d2c8" w:sz="1"/>
                    <w:left w:val="single" w:color="d8d2c8" w:sz="1"/>
                    <w:bottom w:val="single" w:color="d8d2c8" w:sz="1"/>
                    <w:right w:val="single" w:color="d8d2c8" w:sz="1"/>
                  </w:tcBorders>
                  <w:shd w:fill="ffffff" w:val="clear"/>
                  <w:tcMar>
                    <w:top w:type="dxa" w:w="55"/>
                    <w:left w:type="dxa" w:w="100"/>
                    <w:bottom w:type="dxa" w:w="55"/>
                    <w:right w:type="dxa" w:w="100"/>
                  </w:tcMar>
                </w:tcPr>
                <w:p>
                  <w:pPr>
                    <w:spacing w:after="0" w:before="0"/>
                    <w:jc w:val="left"/>
                  </w:pPr>
                  <w:r>
                    <w:rPr>
                      <w:rFonts w:ascii="Arial" w:cs="Arial" w:eastAsia="Arial" w:hAnsi="Arial"/>
                      <w:b w:val="false"/>
                      <w:bCs w:val="false"/>
                      <w:i w:val="false"/>
                      <w:iCs w:val="false"/>
                      <w:color w:val="6b6358"/>
                      <w:sz w:val="15"/>
                      <w:szCs w:val="15"/>
                    </w:rPr>
                    <w:t xml:space="preserve">Anti-retaliation protections and anonymous reporting options.</w:t>
                  </w:r>
                </w:p>
              </w:tc>
            </w:tr>
          </w:tbl>
          <w:p>
            <w:pPr>
              <w:spacing w:after="0" w:before="90"/>
              <w:jc w:val="left"/>
            </w:pPr>
            <w:r>
              <w:rPr>
                <w:rFonts w:ascii="Arial" w:cs="Arial" w:eastAsia="Arial" w:hAnsi="Arial"/>
                <w:b w:val="false"/>
                <w:bCs w:val="false"/>
                <w:i w:val="false"/>
                <w:iCs w:val="false"/>
                <w:color w:val="3d3830"/>
                <w:sz w:val="18"/>
                <w:szCs w:val="18"/>
              </w:rPr>
              <w:t xml:space="preserve"/>
            </w:r>
          </w:p>
          <w:p>
            <w:pPr>
              <w:spacing w:after="60" w:before="0"/>
              <w:jc w:val="left"/>
            </w:pPr>
            <w:r>
              <w:rPr>
                <w:rFonts w:ascii="Arial" w:cs="Arial" w:eastAsia="Arial" w:hAnsi="Arial"/>
                <w:b/>
                <w:bCs/>
                <w:i w:val="false"/>
                <w:iCs w:val="false"/>
                <w:color w:val="2c4a6e"/>
                <w:sz w:val="19"/>
                <w:szCs w:val="19"/>
              </w:rPr>
              <w:t xml:space="preserve">Your role and your red line</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540"/>
              <w:gridCol w:w="2980"/>
            </w:tblGrid>
            <w:tr>
              <w:tc>
                <w:tcPr>
                  <w:tcW w:type="dxa" w:w="1540"/>
                  <w:tcBorders>
                    <w:top w:val="single" w:color="d8d2c8" w:sz="1"/>
                    <w:left w:val="single" w:color="d8d2c8" w:sz="1"/>
                    <w:bottom w:val="single" w:color="d8d2c8" w:sz="1"/>
                    <w:right w:val="single" w:color="d8d2c8" w:sz="1"/>
                  </w:tcBorders>
                  <w:shd w:fill="2c4a6e"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5"/>
                      <w:szCs w:val="15"/>
                    </w:rPr>
                    <w:t xml:space="preserve">Role</w:t>
                  </w:r>
                </w:p>
              </w:tc>
              <w:tc>
                <w:tcPr>
                  <w:tcW w:type="dxa" w:w="2980"/>
                  <w:tcBorders>
                    <w:top w:val="single" w:color="d8d2c8" w:sz="1"/>
                    <w:left w:val="single" w:color="d8d2c8" w:sz="1"/>
                    <w:bottom w:val="single" w:color="d8d2c8" w:sz="1"/>
                    <w:right w:val="single" w:color="d8d2c8" w:sz="1"/>
                  </w:tcBorders>
                  <w:shd w:fill="2c4a6e"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5"/>
                      <w:szCs w:val="15"/>
                    </w:rPr>
                    <w:t xml:space="preserve">The one thing you will not concede</w:t>
                  </w:r>
                </w:p>
              </w:tc>
            </w:tr>
            <w:tr>
              <w:tc>
                <w:tcPr>
                  <w:tcW w:type="dxa" w:w="1540"/>
                  <w:tcBorders>
                    <w:top w:val="single" w:color="d8d2c8" w:sz="1"/>
                    <w:left w:val="single" w:color="d8d2c8" w:sz="1"/>
                    <w:bottom w:val="single" w:color="d8d2c8" w:sz="1"/>
                    <w:right w:val="single" w:color="d8d2c8" w:sz="1"/>
                  </w:tcBorders>
                  <w:shd w:fill="f5f2ed" w:val="clear"/>
                  <w:tcMar>
                    <w:top w:type="dxa" w:w="60"/>
                    <w:left w:type="dxa" w:w="100"/>
                    <w:bottom w:type="dxa" w:w="60"/>
                    <w:right w:type="dxa" w:w="100"/>
                  </w:tcMar>
                </w:tcPr>
                <w:p>
                  <w:pPr>
                    <w:spacing w:after="0" w:before="0"/>
                    <w:jc w:val="left"/>
                  </w:pPr>
                  <w:r>
                    <w:rPr>
                      <w:rFonts w:ascii="Arial" w:cs="Arial" w:eastAsia="Arial" w:hAnsi="Arial"/>
                      <w:b/>
                      <w:bCs/>
                      <w:i w:val="false"/>
                      <w:iCs w:val="false"/>
                      <w:color w:val="2c4a6e"/>
                      <w:sz w:val="15"/>
                      <w:szCs w:val="15"/>
                    </w:rPr>
                    <w:t xml:space="preserve">Frontier Developer</w:t>
                  </w:r>
                </w:p>
              </w:tc>
              <w:tc>
                <w:tcPr>
                  <w:tcW w:type="dxa" w:w="2980"/>
                  <w:tcBorders>
                    <w:top w:val="single" w:color="d8d2c8" w:sz="1"/>
                    <w:left w:val="single" w:color="d8d2c8" w:sz="1"/>
                    <w:bottom w:val="single" w:color="d8d2c8" w:sz="1"/>
                    <w:right w:val="single" w:color="d8d2c8" w:sz="1"/>
                  </w:tcBorders>
                  <w:shd w:fill="f5f2ed"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6b6358"/>
                      <w:sz w:val="15"/>
                      <w:szCs w:val="15"/>
                    </w:rPr>
                    <w:t xml:space="preserve">The 15-day incident reporting window. Argue for 90 days minimum.</w:t>
                  </w:r>
                </w:p>
              </w:tc>
            </w:tr>
            <w:tr>
              <w:tc>
                <w:tcPr>
                  <w:tcW w:type="dxa" w:w="1540"/>
                  <w:tcBorders>
                    <w:top w:val="single" w:color="d8d2c8" w:sz="1"/>
                    <w:left w:val="single" w:color="d8d2c8" w:sz="1"/>
                    <w:bottom w:val="single" w:color="d8d2c8" w:sz="1"/>
                    <w:right w:val="single" w:color="d8d2c8" w:sz="1"/>
                  </w:tcBorders>
                  <w:shd w:fill="ffffff" w:val="clear"/>
                  <w:tcMar>
                    <w:top w:type="dxa" w:w="60"/>
                    <w:left w:type="dxa" w:w="100"/>
                    <w:bottom w:type="dxa" w:w="60"/>
                    <w:right w:type="dxa" w:w="100"/>
                  </w:tcMar>
                </w:tcPr>
                <w:p>
                  <w:pPr>
                    <w:spacing w:after="0" w:before="0"/>
                    <w:jc w:val="left"/>
                  </w:pPr>
                  <w:r>
                    <w:rPr>
                      <w:rFonts w:ascii="Arial" w:cs="Arial" w:eastAsia="Arial" w:hAnsi="Arial"/>
                      <w:b/>
                      <w:bCs/>
                      <w:i w:val="false"/>
                      <w:iCs w:val="false"/>
                      <w:color w:val="2c4a6e"/>
                      <w:sz w:val="15"/>
                      <w:szCs w:val="15"/>
                    </w:rPr>
                    <w:t xml:space="preserve">California AG</w:t>
                  </w:r>
                </w:p>
              </w:tc>
              <w:tc>
                <w:tcPr>
                  <w:tcW w:type="dxa" w:w="2980"/>
                  <w:tcBorders>
                    <w:top w:val="single" w:color="d8d2c8" w:sz="1"/>
                    <w:left w:val="single" w:color="d8d2c8" w:sz="1"/>
                    <w:bottom w:val="single" w:color="d8d2c8" w:sz="1"/>
                    <w:right w:val="single" w:color="d8d2c8"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6b6358"/>
                      <w:sz w:val="15"/>
                      <w:szCs w:val="15"/>
                    </w:rPr>
                    <w:t xml:space="preserve">Whistleblower protections. These are non-negotiable.</w:t>
                  </w:r>
                </w:p>
              </w:tc>
            </w:tr>
            <w:tr>
              <w:tc>
                <w:tcPr>
                  <w:tcW w:type="dxa" w:w="1540"/>
                  <w:tcBorders>
                    <w:top w:val="single" w:color="d8d2c8" w:sz="1"/>
                    <w:left w:val="single" w:color="d8d2c8" w:sz="1"/>
                    <w:bottom w:val="single" w:color="d8d2c8" w:sz="1"/>
                    <w:right w:val="single" w:color="d8d2c8" w:sz="1"/>
                  </w:tcBorders>
                  <w:shd w:fill="f5f2ed" w:val="clear"/>
                  <w:tcMar>
                    <w:top w:type="dxa" w:w="60"/>
                    <w:left w:type="dxa" w:w="100"/>
                    <w:bottom w:type="dxa" w:w="60"/>
                    <w:right w:type="dxa" w:w="100"/>
                  </w:tcMar>
                </w:tcPr>
                <w:p>
                  <w:pPr>
                    <w:spacing w:after="0" w:before="0"/>
                    <w:jc w:val="left"/>
                  </w:pPr>
                  <w:r>
                    <w:rPr>
                      <w:rFonts w:ascii="Arial" w:cs="Arial" w:eastAsia="Arial" w:hAnsi="Arial"/>
                      <w:b/>
                      <w:bCs/>
                      <w:i w:val="false"/>
                      <w:iCs w:val="false"/>
                      <w:color w:val="2c4a6e"/>
                      <w:sz w:val="15"/>
                      <w:szCs w:val="15"/>
                    </w:rPr>
                    <w:t xml:space="preserve">Civil Society</w:t>
                  </w:r>
                </w:p>
              </w:tc>
              <w:tc>
                <w:tcPr>
                  <w:tcW w:type="dxa" w:w="2980"/>
                  <w:tcBorders>
                    <w:top w:val="single" w:color="d8d2c8" w:sz="1"/>
                    <w:left w:val="single" w:color="d8d2c8" w:sz="1"/>
                    <w:bottom w:val="single" w:color="d8d2c8" w:sz="1"/>
                    <w:right w:val="single" w:color="d8d2c8" w:sz="1"/>
                  </w:tcBorders>
                  <w:shd w:fill="f5f2ed"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6b6358"/>
                      <w:sz w:val="15"/>
                      <w:szCs w:val="15"/>
                    </w:rPr>
                    <w:t xml:space="preserve">The right to third-party audits. Push for it every round.</w:t>
                  </w:r>
                </w:p>
              </w:tc>
            </w:tr>
            <w:tr>
              <w:tc>
                <w:tcPr>
                  <w:tcW w:type="dxa" w:w="1540"/>
                  <w:tcBorders>
                    <w:top w:val="single" w:color="d8d2c8" w:sz="1"/>
                    <w:left w:val="single" w:color="d8d2c8" w:sz="1"/>
                    <w:bottom w:val="single" w:color="d8d2c8" w:sz="1"/>
                    <w:right w:val="single" w:color="d8d2c8" w:sz="1"/>
                  </w:tcBorders>
                  <w:shd w:fill="ffffff" w:val="clear"/>
                  <w:tcMar>
                    <w:top w:type="dxa" w:w="60"/>
                    <w:left w:type="dxa" w:w="100"/>
                    <w:bottom w:type="dxa" w:w="60"/>
                    <w:right w:type="dxa" w:w="100"/>
                  </w:tcMar>
                </w:tcPr>
                <w:p>
                  <w:pPr>
                    <w:spacing w:after="0" w:before="0"/>
                    <w:jc w:val="left"/>
                  </w:pPr>
                  <w:r>
                    <w:rPr>
                      <w:rFonts w:ascii="Arial" w:cs="Arial" w:eastAsia="Arial" w:hAnsi="Arial"/>
                      <w:b/>
                      <w:bCs/>
                      <w:i w:val="false"/>
                      <w:iCs w:val="false"/>
                      <w:color w:val="2c4a6e"/>
                      <w:sz w:val="15"/>
                      <w:szCs w:val="15"/>
                    </w:rPr>
                    <w:t xml:space="preserve">Federal Regulator</w:t>
                  </w:r>
                </w:p>
              </w:tc>
              <w:tc>
                <w:tcPr>
                  <w:tcW w:type="dxa" w:w="2980"/>
                  <w:tcBorders>
                    <w:top w:val="single" w:color="d8d2c8" w:sz="1"/>
                    <w:left w:val="single" w:color="d8d2c8" w:sz="1"/>
                    <w:bottom w:val="single" w:color="d8d2c8" w:sz="1"/>
                    <w:right w:val="single" w:color="d8d2c8"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6b6358"/>
                      <w:sz w:val="15"/>
                      <w:szCs w:val="15"/>
                    </w:rPr>
                    <w:t xml:space="preserve">State-level enforcement. Assert NIST compliance supersedes California.</w:t>
                  </w:r>
                </w:p>
              </w:tc>
            </w:tr>
          </w:tbl>
          <w:p/>
        </w:tc>
      </w:tr>
    </w:tbl>
    <w:p>
      <w:pPr>
        <w:spacing w:after="0" w:before="100"/>
        <w:jc w:val="left"/>
      </w:pPr>
      <w:r>
        <w:rPr>
          <w:rFonts w:ascii="Arial" w:cs="Arial" w:eastAsia="Arial" w:hAnsi="Arial"/>
          <w:b w:val="false"/>
          <w:bCs w:val="false"/>
          <w:i w:val="false"/>
          <w:iCs w:val="false"/>
          <w:color w:val="3d383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2c8" w:sz="1"/>
              <w:left w:val="single" w:color="2c4a6e" w:sz="4"/>
              <w:bottom w:val="single" w:color="d8d2c8" w:sz="1"/>
              <w:right w:val="single" w:color="d8d2c8" w:sz="1"/>
            </w:tcBorders>
            <w:shd w:fill="edf2f8"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2c4a6e"/>
                <w:sz w:val="19"/>
                <w:szCs w:val="19"/>
              </w:rPr>
              <w:t xml:space="preserve">How the 90 minutes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7300"/>
            </w:tblGrid>
            <w:tr>
              <w:tc>
                <w:tcPr>
                  <w:tcW w:type="dxa" w:w="700"/>
                  <w:tcBorders>
                    <w:top w:val="none" w:color="ffffff" w:sz="0"/>
                    <w:left w:val="none" w:color="ffffff" w:sz="0"/>
                    <w:bottom w:val="none" w:color="ffffff" w:sz="0"/>
                    <w:right w:val="none" w:color="ffffff" w:sz="0"/>
                  </w:tcBorders>
                  <w:shd w:fill="dce8f4" w:val="clear"/>
                  <w:tcMar>
                    <w:top w:type="dxa" w:w="70"/>
                    <w:left w:type="dxa" w:w="80"/>
                    <w:bottom w:type="dxa" w:w="70"/>
                    <w:right w:type="dxa" w:w="80"/>
                  </w:tcMar>
                </w:tcPr>
                <w:p>
                  <w:pPr>
                    <w:spacing w:after="0" w:before="0"/>
                    <w:jc w:val="center"/>
                  </w:pPr>
                  <w:r>
                    <w:rPr>
                      <w:rFonts w:ascii="Arial" w:cs="Arial" w:eastAsia="Arial" w:hAnsi="Arial"/>
                      <w:b/>
                      <w:bCs/>
                      <w:i w:val="false"/>
                      <w:iCs w:val="false"/>
                      <w:color w:val="2c4a6e"/>
                      <w:sz w:val="18"/>
                      <w:szCs w:val="18"/>
                    </w:rPr>
                    <w:t xml:space="preserve">1</w:t>
                  </w:r>
                </w:p>
              </w:tc>
              <w:tc>
                <w:tcPr>
                  <w:tcW w:type="dxa" w:w="1000"/>
                  <w:tcBorders>
                    <w:top w:val="none" w:color="ffffff" w:sz="0"/>
                    <w:left w:val="none" w:color="ffffff" w:sz="0"/>
                    <w:bottom w:val="none" w:color="ffffff" w:sz="0"/>
                    <w:right w:val="none" w:color="ffffff" w:sz="0"/>
                  </w:tcBorders>
                  <w:shd w:fill="dce8f4" w:val="clear"/>
                  <w:tcMar>
                    <w:top w:type="dxa" w:w="70"/>
                    <w:left w:type="dxa" w:w="80"/>
                    <w:bottom w:type="dxa" w:w="70"/>
                    <w:right w:type="dxa" w:w="80"/>
                  </w:tcMar>
                </w:tcPr>
                <w:p>
                  <w:pPr>
                    <w:spacing w:after="0" w:before="0"/>
                    <w:jc w:val="center"/>
                  </w:pPr>
                  <w:r>
                    <w:rPr>
                      <w:rFonts w:ascii="Arial" w:cs="Arial" w:eastAsia="Arial" w:hAnsi="Arial"/>
                      <w:b w:val="false"/>
                      <w:bCs w:val="false"/>
                      <w:i w:val="false"/>
                      <w:iCs w:val="false"/>
                      <w:color w:val="9c948a"/>
                      <w:sz w:val="16"/>
                      <w:szCs w:val="16"/>
                    </w:rPr>
                    <w:t xml:space="preserve">10 min</w:t>
                  </w:r>
                </w:p>
              </w:tc>
              <w:tc>
                <w:tcPr>
                  <w:tcW w:type="dxa" w:w="7300"/>
                  <w:tcBorders>
                    <w:top w:val="none" w:color="ffffff" w:sz="0"/>
                    <w:left w:val="none" w:color="ffffff" w:sz="0"/>
                    <w:bottom w:val="none" w:color="ffffff" w:sz="0"/>
                    <w:right w:val="none" w:color="ffffff" w:sz="0"/>
                  </w:tcBorders>
                  <w:shd w:fill="dce8f4" w:val="clear"/>
                  <w:tcMar>
                    <w:top w:type="dxa" w:w="70"/>
                    <w:left w:type="dxa" w:w="100"/>
                    <w:bottom w:type="dxa" w:w="70"/>
                    <w:right w:type="dxa" w:w="80"/>
                  </w:tcMar>
                </w:tcPr>
                <w:p>
                  <w:pPr>
                    <w:spacing w:after="0" w:before="0"/>
                    <w:jc w:val="left"/>
                  </w:pPr>
                  <w:r>
                    <w:rPr>
                      <w:rFonts w:ascii="Arial" w:cs="Arial" w:eastAsia="Arial" w:hAnsi="Arial"/>
                      <w:b w:val="false"/>
                      <w:bCs w:val="false"/>
                      <w:i w:val="false"/>
                      <w:iCs w:val="false"/>
                      <w:color w:val="3d3830"/>
                      <w:sz w:val="16"/>
                      <w:szCs w:val="16"/>
                    </w:rPr>
                    <w:t xml:space="preserve">Open Charlie v0.5.1. Tab ①: set Scenario = Frontier AI, Validation Case = TFAIA · SB-53 (2025), select your Participant Group. The group you select is your demographic data contribution to the research.</w:t>
                  </w:r>
                </w:p>
              </w:tc>
            </w:tr>
            <w:tr>
              <w:tc>
                <w:tcPr>
                  <w:tcW w:type="dxa" w:w="700"/>
                  <w:tcBorders>
                    <w:top w:val="none" w:color="ffffff" w:sz="0"/>
                    <w:left w:val="none" w:color="ffffff" w:sz="0"/>
                    <w:bottom w:val="none" w:color="ffffff" w:sz="0"/>
                    <w:right w:val="none" w:color="ffffff" w:sz="0"/>
                  </w:tcBorders>
                  <w:shd w:fill="edf2f8" w:val="clear"/>
                  <w:tcMar>
                    <w:top w:type="dxa" w:w="70"/>
                    <w:left w:type="dxa" w:w="80"/>
                    <w:bottom w:type="dxa" w:w="70"/>
                    <w:right w:type="dxa" w:w="80"/>
                  </w:tcMar>
                </w:tcPr>
                <w:p>
                  <w:pPr>
                    <w:spacing w:after="0" w:before="0"/>
                    <w:jc w:val="center"/>
                  </w:pPr>
                  <w:r>
                    <w:rPr>
                      <w:rFonts w:ascii="Arial" w:cs="Arial" w:eastAsia="Arial" w:hAnsi="Arial"/>
                      <w:b/>
                      <w:bCs/>
                      <w:i w:val="false"/>
                      <w:iCs w:val="false"/>
                      <w:color w:val="2c4a6e"/>
                      <w:sz w:val="18"/>
                      <w:szCs w:val="18"/>
                    </w:rPr>
                    <w:t xml:space="preserve">2</w:t>
                  </w:r>
                </w:p>
              </w:tc>
              <w:tc>
                <w:tcPr>
                  <w:tcW w:type="dxa" w:w="1000"/>
                  <w:tcBorders>
                    <w:top w:val="none" w:color="ffffff" w:sz="0"/>
                    <w:left w:val="none" w:color="ffffff" w:sz="0"/>
                    <w:bottom w:val="none" w:color="ffffff" w:sz="0"/>
                    <w:right w:val="none" w:color="ffffff" w:sz="0"/>
                  </w:tcBorders>
                  <w:shd w:fill="edf2f8" w:val="clear"/>
                  <w:tcMar>
                    <w:top w:type="dxa" w:w="70"/>
                    <w:left w:type="dxa" w:w="80"/>
                    <w:bottom w:type="dxa" w:w="70"/>
                    <w:right w:type="dxa" w:w="80"/>
                  </w:tcMar>
                </w:tcPr>
                <w:p>
                  <w:pPr>
                    <w:spacing w:after="0" w:before="0"/>
                    <w:jc w:val="center"/>
                  </w:pPr>
                  <w:r>
                    <w:rPr>
                      <w:rFonts w:ascii="Arial" w:cs="Arial" w:eastAsia="Arial" w:hAnsi="Arial"/>
                      <w:b w:val="false"/>
                      <w:bCs w:val="false"/>
                      <w:i w:val="false"/>
                      <w:iCs w:val="false"/>
                      <w:color w:val="9c948a"/>
                      <w:sz w:val="16"/>
                      <w:szCs w:val="16"/>
                    </w:rPr>
                    <w:t xml:space="preserve">20 min</w:t>
                  </w:r>
                </w:p>
              </w:tc>
              <w:tc>
                <w:tcPr>
                  <w:tcW w:type="dxa" w:w="7300"/>
                  <w:tcBorders>
                    <w:top w:val="none" w:color="ffffff" w:sz="0"/>
                    <w:left w:val="none" w:color="ffffff" w:sz="0"/>
                    <w:bottom w:val="none" w:color="ffffff" w:sz="0"/>
                    <w:right w:val="none" w:color="ffffff" w:sz="0"/>
                  </w:tcBorders>
                  <w:shd w:fill="edf2f8" w:val="clear"/>
                  <w:tcMar>
                    <w:top w:type="dxa" w:w="70"/>
                    <w:left w:type="dxa" w:w="100"/>
                    <w:bottom w:type="dxa" w:w="70"/>
                    <w:right w:type="dxa" w:w="80"/>
                  </w:tcMar>
                </w:tcPr>
                <w:p>
                  <w:pPr>
                    <w:spacing w:after="0" w:before="0"/>
                    <w:jc w:val="left"/>
                  </w:pPr>
                  <w:r>
                    <w:rPr>
                      <w:rFonts w:ascii="Arial" w:cs="Arial" w:eastAsia="Arial" w:hAnsi="Arial"/>
                      <w:b w:val="false"/>
                      <w:bCs w:val="false"/>
                      <w:i w:val="false"/>
                      <w:iCs w:val="false"/>
                      <w:color w:val="3d3830"/>
                      <w:sz w:val="16"/>
                      <w:szCs w:val="16"/>
                    </w:rPr>
                    <w:t xml:space="preserve">Rounds 1–3: Coalition formation. State your position on each of the four SB-53 obligations. Negotiate. Form alliances. The Policy Owner AI agent fires automatically each round — it will challenge your moves and you must respond.</w:t>
                  </w:r>
                </w:p>
              </w:tc>
            </w:tr>
            <w:tr>
              <w:tc>
                <w:tcPr>
                  <w:tcW w:type="dxa" w:w="700"/>
                  <w:tcBorders>
                    <w:top w:val="none" w:color="ffffff" w:sz="0"/>
                    <w:left w:val="none" w:color="ffffff" w:sz="0"/>
                    <w:bottom w:val="none" w:color="ffffff" w:sz="0"/>
                    <w:right w:val="none" w:color="ffffff" w:sz="0"/>
                  </w:tcBorders>
                  <w:shd w:fill="dce8f4" w:val="clear"/>
                  <w:tcMar>
                    <w:top w:type="dxa" w:w="70"/>
                    <w:left w:type="dxa" w:w="80"/>
                    <w:bottom w:type="dxa" w:w="70"/>
                    <w:right w:type="dxa" w:w="80"/>
                  </w:tcMar>
                </w:tcPr>
                <w:p>
                  <w:pPr>
                    <w:spacing w:after="0" w:before="0"/>
                    <w:jc w:val="center"/>
                  </w:pPr>
                  <w:r>
                    <w:rPr>
                      <w:rFonts w:ascii="Arial" w:cs="Arial" w:eastAsia="Arial" w:hAnsi="Arial"/>
                      <w:b/>
                      <w:bCs/>
                      <w:i w:val="false"/>
                      <w:iCs w:val="false"/>
                      <w:color w:val="2c4a6e"/>
                      <w:sz w:val="18"/>
                      <w:szCs w:val="18"/>
                    </w:rPr>
                    <w:t xml:space="preserve">3</w:t>
                  </w:r>
                </w:p>
              </w:tc>
              <w:tc>
                <w:tcPr>
                  <w:tcW w:type="dxa" w:w="1000"/>
                  <w:tcBorders>
                    <w:top w:val="none" w:color="ffffff" w:sz="0"/>
                    <w:left w:val="none" w:color="ffffff" w:sz="0"/>
                    <w:bottom w:val="none" w:color="ffffff" w:sz="0"/>
                    <w:right w:val="none" w:color="ffffff" w:sz="0"/>
                  </w:tcBorders>
                  <w:shd w:fill="dce8f4" w:val="clear"/>
                  <w:tcMar>
                    <w:top w:type="dxa" w:w="70"/>
                    <w:left w:type="dxa" w:w="80"/>
                    <w:bottom w:type="dxa" w:w="70"/>
                    <w:right w:type="dxa" w:w="80"/>
                  </w:tcMar>
                </w:tcPr>
                <w:p>
                  <w:pPr>
                    <w:spacing w:after="0" w:before="0"/>
                    <w:jc w:val="center"/>
                  </w:pPr>
                  <w:r>
                    <w:rPr>
                      <w:rFonts w:ascii="Arial" w:cs="Arial" w:eastAsia="Arial" w:hAnsi="Arial"/>
                      <w:b w:val="false"/>
                      <w:bCs w:val="false"/>
                      <w:i w:val="false"/>
                      <w:iCs w:val="false"/>
                      <w:color w:val="9c948a"/>
                      <w:sz w:val="16"/>
                      <w:szCs w:val="16"/>
                    </w:rPr>
                    <w:t xml:space="preserve">25 min</w:t>
                  </w:r>
                </w:p>
              </w:tc>
              <w:tc>
                <w:tcPr>
                  <w:tcW w:type="dxa" w:w="7300"/>
                  <w:tcBorders>
                    <w:top w:val="none" w:color="ffffff" w:sz="0"/>
                    <w:left w:val="none" w:color="ffffff" w:sz="0"/>
                    <w:bottom w:val="none" w:color="ffffff" w:sz="0"/>
                    <w:right w:val="none" w:color="ffffff" w:sz="0"/>
                  </w:tcBorders>
                  <w:shd w:fill="dce8f4" w:val="clear"/>
                  <w:tcMar>
                    <w:top w:type="dxa" w:w="70"/>
                    <w:left w:type="dxa" w:w="100"/>
                    <w:bottom w:type="dxa" w:w="70"/>
                    <w:right w:type="dxa" w:w="80"/>
                  </w:tcMar>
                </w:tcPr>
                <w:p>
                  <w:pPr>
                    <w:spacing w:after="0" w:before="0"/>
                    <w:jc w:val="left"/>
                  </w:pPr>
                  <w:r>
                    <w:rPr>
                      <w:rFonts w:ascii="Arial" w:cs="Arial" w:eastAsia="Arial" w:hAnsi="Arial"/>
                      <w:b w:val="false"/>
                      <w:bCs w:val="false"/>
                      <w:i w:val="false"/>
                      <w:iCs w:val="false"/>
                      <w:color w:val="3d3830"/>
                      <w:sz w:val="16"/>
                      <w:szCs w:val="16"/>
                    </w:rPr>
                    <w:t xml:space="preserve">Rounds 4–6: Shock injection via Tab ⑩. Three crises arrive one per round: an AI incident (the 15-day clock starts), a federal preemption move (does California law hold?), and a supply chain disruption (compliance timelines become impossible). Respond as your actor would, not as you would.</w:t>
                  </w:r>
                </w:p>
              </w:tc>
            </w:tr>
            <w:tr>
              <w:tc>
                <w:tcPr>
                  <w:tcW w:type="dxa" w:w="700"/>
                  <w:tcBorders>
                    <w:top w:val="none" w:color="ffffff" w:sz="0"/>
                    <w:left w:val="none" w:color="ffffff" w:sz="0"/>
                    <w:bottom w:val="none" w:color="ffffff" w:sz="0"/>
                    <w:right w:val="none" w:color="ffffff" w:sz="0"/>
                  </w:tcBorders>
                  <w:shd w:fill="edf2f8" w:val="clear"/>
                  <w:tcMar>
                    <w:top w:type="dxa" w:w="70"/>
                    <w:left w:type="dxa" w:w="80"/>
                    <w:bottom w:type="dxa" w:w="70"/>
                    <w:right w:type="dxa" w:w="80"/>
                  </w:tcMar>
                </w:tcPr>
                <w:p>
                  <w:pPr>
                    <w:spacing w:after="0" w:before="0"/>
                    <w:jc w:val="center"/>
                  </w:pPr>
                  <w:r>
                    <w:rPr>
                      <w:rFonts w:ascii="Arial" w:cs="Arial" w:eastAsia="Arial" w:hAnsi="Arial"/>
                      <w:b/>
                      <w:bCs/>
                      <w:i w:val="false"/>
                      <w:iCs w:val="false"/>
                      <w:color w:val="2c4a6e"/>
                      <w:sz w:val="18"/>
                      <w:szCs w:val="18"/>
                    </w:rPr>
                    <w:t xml:space="preserve">4</w:t>
                  </w:r>
                </w:p>
              </w:tc>
              <w:tc>
                <w:tcPr>
                  <w:tcW w:type="dxa" w:w="1000"/>
                  <w:tcBorders>
                    <w:top w:val="none" w:color="ffffff" w:sz="0"/>
                    <w:left w:val="none" w:color="ffffff" w:sz="0"/>
                    <w:bottom w:val="none" w:color="ffffff" w:sz="0"/>
                    <w:right w:val="none" w:color="ffffff" w:sz="0"/>
                  </w:tcBorders>
                  <w:shd w:fill="edf2f8" w:val="clear"/>
                  <w:tcMar>
                    <w:top w:type="dxa" w:w="70"/>
                    <w:left w:type="dxa" w:w="80"/>
                    <w:bottom w:type="dxa" w:w="70"/>
                    <w:right w:type="dxa" w:w="80"/>
                  </w:tcMar>
                </w:tcPr>
                <w:p>
                  <w:pPr>
                    <w:spacing w:after="0" w:before="0"/>
                    <w:jc w:val="center"/>
                  </w:pPr>
                  <w:r>
                    <w:rPr>
                      <w:rFonts w:ascii="Arial" w:cs="Arial" w:eastAsia="Arial" w:hAnsi="Arial"/>
                      <w:b w:val="false"/>
                      <w:bCs w:val="false"/>
                      <w:i w:val="false"/>
                      <w:iCs w:val="false"/>
                      <w:color w:val="9c948a"/>
                      <w:sz w:val="16"/>
                      <w:szCs w:val="16"/>
                    </w:rPr>
                    <w:t xml:space="preserve">15 min</w:t>
                  </w:r>
                </w:p>
              </w:tc>
              <w:tc>
                <w:tcPr>
                  <w:tcW w:type="dxa" w:w="7300"/>
                  <w:tcBorders>
                    <w:top w:val="none" w:color="ffffff" w:sz="0"/>
                    <w:left w:val="none" w:color="ffffff" w:sz="0"/>
                    <w:bottom w:val="none" w:color="ffffff" w:sz="0"/>
                    <w:right w:val="none" w:color="ffffff" w:sz="0"/>
                  </w:tcBorders>
                  <w:shd w:fill="edf2f8" w:val="clear"/>
                  <w:tcMar>
                    <w:top w:type="dxa" w:w="70"/>
                    <w:left w:type="dxa" w:w="100"/>
                    <w:bottom w:type="dxa" w:w="70"/>
                    <w:right w:type="dxa" w:w="80"/>
                  </w:tcMar>
                </w:tcPr>
                <w:p>
                  <w:pPr>
                    <w:spacing w:after="0" w:before="0"/>
                    <w:jc w:val="left"/>
                  </w:pPr>
                  <w:r>
                    <w:rPr>
                      <w:rFonts w:ascii="Arial" w:cs="Arial" w:eastAsia="Arial" w:hAnsi="Arial"/>
                      <w:b w:val="false"/>
                      <w:bCs w:val="false"/>
                      <w:i w:val="false"/>
                      <w:iCs w:val="false"/>
                      <w:color w:val="3d3830"/>
                      <w:sz w:val="16"/>
                      <w:szCs w:val="16"/>
                    </w:rPr>
                    <w:t xml:space="preserve">Final positions. Charlie runs Nash equilibrium detection — did any actor reach a point where changing position makes things worse for them? Generate PSTOA score in Tab ⑥.</w:t>
                  </w:r>
                </w:p>
              </w:tc>
            </w:tr>
            <w:tr>
              <w:tc>
                <w:tcPr>
                  <w:tcW w:type="dxa" w:w="700"/>
                  <w:tcBorders>
                    <w:top w:val="none" w:color="ffffff" w:sz="0"/>
                    <w:left w:val="none" w:color="ffffff" w:sz="0"/>
                    <w:bottom w:val="none" w:color="ffffff" w:sz="0"/>
                    <w:right w:val="none" w:color="ffffff" w:sz="0"/>
                  </w:tcBorders>
                  <w:shd w:fill="dce8f4" w:val="clear"/>
                  <w:tcMar>
                    <w:top w:type="dxa" w:w="70"/>
                    <w:left w:type="dxa" w:w="80"/>
                    <w:bottom w:type="dxa" w:w="70"/>
                    <w:right w:type="dxa" w:w="80"/>
                  </w:tcMar>
                </w:tcPr>
                <w:p>
                  <w:pPr>
                    <w:spacing w:after="0" w:before="0"/>
                    <w:jc w:val="center"/>
                  </w:pPr>
                  <w:r>
                    <w:rPr>
                      <w:rFonts w:ascii="Arial" w:cs="Arial" w:eastAsia="Arial" w:hAnsi="Arial"/>
                      <w:b/>
                      <w:bCs/>
                      <w:i w:val="false"/>
                      <w:iCs w:val="false"/>
                      <w:color w:val="2c4a6e"/>
                      <w:sz w:val="18"/>
                      <w:szCs w:val="18"/>
                    </w:rPr>
                    <w:t xml:space="preserve">5</w:t>
                  </w:r>
                </w:p>
              </w:tc>
              <w:tc>
                <w:tcPr>
                  <w:tcW w:type="dxa" w:w="1000"/>
                  <w:tcBorders>
                    <w:top w:val="none" w:color="ffffff" w:sz="0"/>
                    <w:left w:val="none" w:color="ffffff" w:sz="0"/>
                    <w:bottom w:val="none" w:color="ffffff" w:sz="0"/>
                    <w:right w:val="none" w:color="ffffff" w:sz="0"/>
                  </w:tcBorders>
                  <w:shd w:fill="dce8f4" w:val="clear"/>
                  <w:tcMar>
                    <w:top w:type="dxa" w:w="70"/>
                    <w:left w:type="dxa" w:w="80"/>
                    <w:bottom w:type="dxa" w:w="70"/>
                    <w:right w:type="dxa" w:w="80"/>
                  </w:tcMar>
                </w:tcPr>
                <w:p>
                  <w:pPr>
                    <w:spacing w:after="0" w:before="0"/>
                    <w:jc w:val="center"/>
                  </w:pPr>
                  <w:r>
                    <w:rPr>
                      <w:rFonts w:ascii="Arial" w:cs="Arial" w:eastAsia="Arial" w:hAnsi="Arial"/>
                      <w:b w:val="false"/>
                      <w:bCs w:val="false"/>
                      <w:i w:val="false"/>
                      <w:iCs w:val="false"/>
                      <w:color w:val="9c948a"/>
                      <w:sz w:val="16"/>
                      <w:szCs w:val="16"/>
                    </w:rPr>
                    <w:t xml:space="preserve">20 min</w:t>
                  </w:r>
                </w:p>
              </w:tc>
              <w:tc>
                <w:tcPr>
                  <w:tcW w:type="dxa" w:w="7300"/>
                  <w:tcBorders>
                    <w:top w:val="none" w:color="ffffff" w:sz="0"/>
                    <w:left w:val="none" w:color="ffffff" w:sz="0"/>
                    <w:bottom w:val="none" w:color="ffffff" w:sz="0"/>
                    <w:right w:val="none" w:color="ffffff" w:sz="0"/>
                  </w:tcBorders>
                  <w:shd w:fill="dce8f4" w:val="clear"/>
                  <w:tcMar>
                    <w:top w:type="dxa" w:w="70"/>
                    <w:left w:type="dxa" w:w="100"/>
                    <w:bottom w:type="dxa" w:w="70"/>
                    <w:right w:type="dxa" w:w="80"/>
                  </w:tcMar>
                </w:tcPr>
                <w:p>
                  <w:pPr>
                    <w:spacing w:after="0" w:before="0"/>
                    <w:jc w:val="left"/>
                  </w:pPr>
                  <w:r>
                    <w:rPr>
                      <w:rFonts w:ascii="Arial" w:cs="Arial" w:eastAsia="Arial" w:hAnsi="Arial"/>
                      <w:b w:val="false"/>
                      <w:bCs w:val="false"/>
                      <w:i w:val="false"/>
                      <w:iCs w:val="false"/>
                      <w:color w:val="3d3830"/>
                      <w:sz w:val="16"/>
                      <w:szCs w:val="16"/>
                    </w:rPr>
                    <w:t xml:space="preserve">After-Action Review. Export the Tab ⑥ JSON. The score tells you: did multilateralism hold, did the policy survive stress, and did the simulation accelerate governance insights faster than a traditional 18-month policy review would have.</w:t>
                  </w:r>
                </w:p>
              </w:tc>
            </w:tr>
          </w:tbl>
          <w:p/>
        </w:tc>
      </w:tr>
    </w:tbl>
    <w:p>
      <w:pPr>
        <w:spacing w:after="0" w:before="100"/>
        <w:jc w:val="left"/>
      </w:pPr>
      <w:r>
        <w:rPr>
          <w:rFonts w:ascii="Arial" w:cs="Arial" w:eastAsia="Arial" w:hAnsi="Arial"/>
          <w:b w:val="false"/>
          <w:bCs w:val="false"/>
          <w:i w:val="false"/>
          <w:iCs w:val="false"/>
          <w:color w:val="3d383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120"/>
        <w:gridCol w:w="4720"/>
      </w:tblGrid>
      <w:tr>
        <w:tc>
          <w:tcPr>
            <w:tcW w:type="dxa" w:w="452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spacing w:after="60" w:before="0"/>
              <w:jc w:val="left"/>
            </w:pPr>
            <w:r>
              <w:rPr>
                <w:rFonts w:ascii="Arial" w:cs="Arial" w:eastAsia="Arial" w:hAnsi="Arial"/>
                <w:b/>
                <w:bCs/>
                <w:i w:val="false"/>
                <w:iCs w:val="false"/>
                <w:color w:val="b5620a"/>
                <w:sz w:val="17"/>
                <w:szCs w:val="17"/>
              </w:rPr>
              <w:t xml:space="preserve">What your participant group selection means</w:t>
            </w:r>
          </w:p>
          <w:p>
            <w:pPr>
              <w:spacing w:after="0" w:before="0"/>
              <w:jc w:val="left"/>
            </w:pPr>
            <w:r>
              <w:rPr>
                <w:rFonts w:ascii="Arial" w:cs="Arial" w:eastAsia="Arial" w:hAnsi="Arial"/>
                <w:b w:val="false"/>
                <w:bCs w:val="false"/>
                <w:i w:val="false"/>
                <w:iCs w:val="false"/>
                <w:color w:val="3d3830"/>
                <w:sz w:val="16"/>
                <w:szCs w:val="16"/>
              </w:rPr>
              <w:t xml:space="preserve">When you select your group in Tab ① — Cross-Sector, Military, Civil Society, Technical, or other — </w:t>
            </w:r>
            <w:r>
              <w:rPr>
                <w:rFonts w:ascii="Arial" w:cs="Arial" w:eastAsia="Arial" w:hAnsi="Arial"/>
                <w:b/>
                <w:bCs/>
                <w:i w:val="false"/>
                <w:iCs w:val="false"/>
                <w:color w:val="1a1612"/>
                <w:sz w:val="16"/>
                <w:szCs w:val="16"/>
              </w:rPr>
              <w:t xml:space="preserve">you are providing demographic data for doctoral research.</w:t>
            </w:r>
            <w:r>
              <w:rPr>
                <w:rFonts w:ascii="Arial" w:cs="Arial" w:eastAsia="Arial" w:hAnsi="Arial"/>
                <w:b w:val="false"/>
                <w:bCs w:val="false"/>
                <w:i w:val="false"/>
                <w:iCs w:val="false"/>
                <w:color w:val="3d3830"/>
                <w:sz w:val="16"/>
                <w:szCs w:val="16"/>
              </w:rPr>
              <w:t xml:space="preserve"> The study is comparing how different professional backgrounds approach identical governance challenges. Your session record (moves, outcomes, scores) is stored anonymously. No names or contact details are attached. You may withdraw at any time.</w:t>
            </w:r>
          </w:p>
        </w:tc>
        <w:tc>
          <w:tcPr>
            <w:tcW w:type="dxa" w:w="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d3830"/>
                <w:sz w:val="18"/>
                <w:szCs w:val="18"/>
              </w:rPr>
              <w:t xml:space="preserve"/>
            </w:r>
          </w:p>
        </w:tc>
        <w:tc>
          <w:tcPr>
            <w:tcW w:type="dxa" w:w="472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pPr>
              <w:spacing w:after="60" w:before="0"/>
              <w:jc w:val="left"/>
            </w:pPr>
            <w:r>
              <w:rPr>
                <w:rFonts w:ascii="Arial" w:cs="Arial" w:eastAsia="Arial" w:hAnsi="Arial"/>
                <w:b/>
                <w:bCs/>
                <w:i w:val="false"/>
                <w:iCs w:val="false"/>
                <w:color w:val="1a7a6e"/>
                <w:sz w:val="17"/>
                <w:szCs w:val="17"/>
              </w:rPr>
              <w:t xml:space="preserve">What your score means</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540"/>
              <w:gridCol w:w="2980"/>
            </w:tblGrid>
            <w:tr>
              <w:tc>
                <w:tcPr>
                  <w:tcW w:type="dxa" w:w="1540"/>
                  <w:tcBorders>
                    <w:top w:val="single" w:color="d8d2c8" w:sz="1"/>
                    <w:left w:val="single" w:color="d8d2c8" w:sz="1"/>
                    <w:bottom w:val="single" w:color="d8d2c8" w:sz="1"/>
                    <w:right w:val="single" w:color="d8d2c8" w:sz="1"/>
                  </w:tcBorders>
                  <w:shd w:fill="e8f4f2" w:val="clear"/>
                  <w:tcMar>
                    <w:top w:type="dxa" w:w="55"/>
                    <w:left w:type="dxa" w:w="90"/>
                    <w:bottom w:type="dxa" w:w="55"/>
                    <w:right w:type="dxa" w:w="90"/>
                  </w:tcMar>
                </w:tcPr>
                <w:p>
                  <w:pPr>
                    <w:spacing w:after="0" w:before="0"/>
                    <w:jc w:val="left"/>
                  </w:pPr>
                  <w:r>
                    <w:rPr>
                      <w:rFonts w:ascii="Arial" w:cs="Arial" w:eastAsia="Arial" w:hAnsi="Arial"/>
                      <w:b/>
                      <w:bCs/>
                      <w:i w:val="false"/>
                      <w:iCs w:val="false"/>
                      <w:color w:val="1a7a6e"/>
                      <w:sz w:val="15"/>
                      <w:szCs w:val="15"/>
                    </w:rPr>
                    <w:t xml:space="preserve">PSTOA</w:t>
                  </w:r>
                </w:p>
              </w:tc>
              <w:tc>
                <w:tcPr>
                  <w:tcW w:type="dxa" w:w="2980"/>
                  <w:tcBorders>
                    <w:top w:val="single" w:color="d8d2c8" w:sz="1"/>
                    <w:left w:val="single" w:color="d8d2c8" w:sz="1"/>
                    <w:bottom w:val="single" w:color="d8d2c8" w:sz="1"/>
                    <w:right w:val="single" w:color="d8d2c8" w:sz="1"/>
                  </w:tcBorders>
                  <w:shd w:fill="e8f4f2" w:val="clear"/>
                  <w:tcMar>
                    <w:top w:type="dxa" w:w="55"/>
                    <w:left w:type="dxa" w:w="90"/>
                    <w:bottom w:type="dxa" w:w="55"/>
                    <w:right w:type="dxa" w:w="90"/>
                  </w:tcMar>
                </w:tcPr>
                <w:p>
                  <w:pPr>
                    <w:spacing w:after="0" w:before="0"/>
                    <w:jc w:val="left"/>
                  </w:pPr>
                  <w:r>
                    <w:rPr>
                      <w:rFonts w:ascii="Arial" w:cs="Arial" w:eastAsia="Arial" w:hAnsi="Arial"/>
                      <w:b w:val="false"/>
                      <w:bCs w:val="false"/>
                      <w:i w:val="false"/>
                      <w:iCs w:val="false"/>
                      <w:color w:val="6b6358"/>
                      <w:sz w:val="15"/>
                      <w:szCs w:val="15"/>
                    </w:rPr>
                    <w:t xml:space="preserve">Overall policy stress-test score, 0–100. Above 60 = policy held.</w:t>
                  </w:r>
                </w:p>
              </w:tc>
            </w:tr>
            <w:tr>
              <w:tc>
                <w:tcPr>
                  <w:tcW w:type="dxa" w:w="1540"/>
                  <w:tcBorders>
                    <w:top w:val="single" w:color="d8d2c8" w:sz="1"/>
                    <w:left w:val="single" w:color="d8d2c8" w:sz="1"/>
                    <w:bottom w:val="single" w:color="d8d2c8" w:sz="1"/>
                    <w:right w:val="single" w:color="d8d2c8" w:sz="1"/>
                  </w:tcBorders>
                  <w:shd w:fill="ffffff" w:val="clear"/>
                  <w:tcMar>
                    <w:top w:type="dxa" w:w="55"/>
                    <w:left w:type="dxa" w:w="90"/>
                    <w:bottom w:type="dxa" w:w="55"/>
                    <w:right w:type="dxa" w:w="90"/>
                  </w:tcMar>
                </w:tcPr>
                <w:p>
                  <w:pPr>
                    <w:spacing w:after="0" w:before="0"/>
                    <w:jc w:val="left"/>
                  </w:pPr>
                  <w:r>
                    <w:rPr>
                      <w:rFonts w:ascii="Arial" w:cs="Arial" w:eastAsia="Arial" w:hAnsi="Arial"/>
                      <w:b/>
                      <w:bCs/>
                      <w:i w:val="false"/>
                      <w:iCs w:val="false"/>
                      <w:color w:val="1a7a6e"/>
                      <w:sz w:val="15"/>
                      <w:szCs w:val="15"/>
                    </w:rPr>
                    <w:t xml:space="preserve">Coalition Rate</w:t>
                  </w:r>
                </w:p>
              </w:tc>
              <w:tc>
                <w:tcPr>
                  <w:tcW w:type="dxa" w:w="2980"/>
                  <w:tcBorders>
                    <w:top w:val="single" w:color="d8d2c8" w:sz="1"/>
                    <w:left w:val="single" w:color="d8d2c8" w:sz="1"/>
                    <w:bottom w:val="single" w:color="d8d2c8" w:sz="1"/>
                    <w:right w:val="single" w:color="d8d2c8" w:sz="1"/>
                  </w:tcBorders>
                  <w:shd w:fill="ffffff" w:val="clear"/>
                  <w:tcMar>
                    <w:top w:type="dxa" w:w="55"/>
                    <w:left w:type="dxa" w:w="90"/>
                    <w:bottom w:type="dxa" w:w="55"/>
                    <w:right w:type="dxa" w:w="90"/>
                  </w:tcMar>
                </w:tcPr>
                <w:p>
                  <w:pPr>
                    <w:spacing w:after="0" w:before="0"/>
                    <w:jc w:val="left"/>
                  </w:pPr>
                  <w:r>
                    <w:rPr>
                      <w:rFonts w:ascii="Arial" w:cs="Arial" w:eastAsia="Arial" w:hAnsi="Arial"/>
                      <w:b w:val="false"/>
                      <w:bCs w:val="false"/>
                      <w:i w:val="false"/>
                      <w:iCs w:val="false"/>
                      <w:color w:val="6b6358"/>
                      <w:sz w:val="15"/>
                      <w:szCs w:val="15"/>
                    </w:rPr>
                    <w:t xml:space="preserve">% of actors who maintained support through the shocks.</w:t>
                  </w:r>
                </w:p>
              </w:tc>
            </w:tr>
            <w:tr>
              <w:tc>
                <w:tcPr>
                  <w:tcW w:type="dxa" w:w="1540"/>
                  <w:tcBorders>
                    <w:top w:val="single" w:color="d8d2c8" w:sz="1"/>
                    <w:left w:val="single" w:color="d8d2c8" w:sz="1"/>
                    <w:bottom w:val="single" w:color="d8d2c8" w:sz="1"/>
                    <w:right w:val="single" w:color="d8d2c8" w:sz="1"/>
                  </w:tcBorders>
                  <w:shd w:fill="e8f4f2" w:val="clear"/>
                  <w:tcMar>
                    <w:top w:type="dxa" w:w="55"/>
                    <w:left w:type="dxa" w:w="90"/>
                    <w:bottom w:type="dxa" w:w="55"/>
                    <w:right w:type="dxa" w:w="90"/>
                  </w:tcMar>
                </w:tcPr>
                <w:p>
                  <w:pPr>
                    <w:spacing w:after="0" w:before="0"/>
                    <w:jc w:val="left"/>
                  </w:pPr>
                  <w:r>
                    <w:rPr>
                      <w:rFonts w:ascii="Arial" w:cs="Arial" w:eastAsia="Arial" w:hAnsi="Arial"/>
                      <w:b/>
                      <w:bCs/>
                      <w:i w:val="false"/>
                      <w:iCs w:val="false"/>
                      <w:color w:val="1a7a6e"/>
                      <w:sz w:val="15"/>
                      <w:szCs w:val="15"/>
                    </w:rPr>
                    <w:t xml:space="preserve">Nash Check</w:t>
                  </w:r>
                </w:p>
              </w:tc>
              <w:tc>
                <w:tcPr>
                  <w:tcW w:type="dxa" w:w="2980"/>
                  <w:tcBorders>
                    <w:top w:val="single" w:color="d8d2c8" w:sz="1"/>
                    <w:left w:val="single" w:color="d8d2c8" w:sz="1"/>
                    <w:bottom w:val="single" w:color="d8d2c8" w:sz="1"/>
                    <w:right w:val="single" w:color="d8d2c8" w:sz="1"/>
                  </w:tcBorders>
                  <w:shd w:fill="e8f4f2" w:val="clear"/>
                  <w:tcMar>
                    <w:top w:type="dxa" w:w="55"/>
                    <w:left w:type="dxa" w:w="90"/>
                    <w:bottom w:type="dxa" w:w="55"/>
                    <w:right w:type="dxa" w:w="90"/>
                  </w:tcMar>
                </w:tcPr>
                <w:p>
                  <w:pPr>
                    <w:spacing w:after="0" w:before="0"/>
                    <w:jc w:val="left"/>
                  </w:pPr>
                  <w:r>
                    <w:rPr>
                      <w:rFonts w:ascii="Arial" w:cs="Arial" w:eastAsia="Arial" w:hAnsi="Arial"/>
                      <w:b w:val="false"/>
                      <w:bCs w:val="false"/>
                      <w:i w:val="false"/>
                      <w:iCs w:val="false"/>
                      <w:color w:val="6b6358"/>
                      <w:sz w:val="15"/>
                      <w:szCs w:val="15"/>
                    </w:rPr>
                    <w:t xml:space="preserve">Did the group reach a stable agreement no one wants to leave?</w:t>
                  </w:r>
                </w:p>
              </w:tc>
            </w:tr>
            <w:tr>
              <w:tc>
                <w:tcPr>
                  <w:tcW w:type="dxa" w:w="1540"/>
                  <w:tcBorders>
                    <w:top w:val="single" w:color="d8d2c8" w:sz="1"/>
                    <w:left w:val="single" w:color="d8d2c8" w:sz="1"/>
                    <w:bottom w:val="single" w:color="d8d2c8" w:sz="1"/>
                    <w:right w:val="single" w:color="d8d2c8" w:sz="1"/>
                  </w:tcBorders>
                  <w:shd w:fill="ffffff" w:val="clear"/>
                  <w:tcMar>
                    <w:top w:type="dxa" w:w="55"/>
                    <w:left w:type="dxa" w:w="90"/>
                    <w:bottom w:type="dxa" w:w="55"/>
                    <w:right w:type="dxa" w:w="90"/>
                  </w:tcMar>
                </w:tcPr>
                <w:p>
                  <w:pPr>
                    <w:spacing w:after="0" w:before="0"/>
                    <w:jc w:val="left"/>
                  </w:pPr>
                  <w:r>
                    <w:rPr>
                      <w:rFonts w:ascii="Arial" w:cs="Arial" w:eastAsia="Arial" w:hAnsi="Arial"/>
                      <w:b/>
                      <w:bCs/>
                      <w:i w:val="false"/>
                      <w:iCs w:val="false"/>
                      <w:color w:val="1a7a6e"/>
                      <w:sz w:val="15"/>
                      <w:szCs w:val="15"/>
                    </w:rPr>
                    <w:t xml:space="preserve">Acceleration</w:t>
                  </w:r>
                </w:p>
              </w:tc>
              <w:tc>
                <w:tcPr>
                  <w:tcW w:type="dxa" w:w="2980"/>
                  <w:tcBorders>
                    <w:top w:val="single" w:color="d8d2c8" w:sz="1"/>
                    <w:left w:val="single" w:color="d8d2c8" w:sz="1"/>
                    <w:bottom w:val="single" w:color="d8d2c8" w:sz="1"/>
                    <w:right w:val="single" w:color="d8d2c8" w:sz="1"/>
                  </w:tcBorders>
                  <w:shd w:fill="ffffff" w:val="clear"/>
                  <w:tcMar>
                    <w:top w:type="dxa" w:w="55"/>
                    <w:left w:type="dxa" w:w="90"/>
                    <w:bottom w:type="dxa" w:w="55"/>
                    <w:right w:type="dxa" w:w="90"/>
                  </w:tcMar>
                </w:tcPr>
                <w:p>
                  <w:pPr>
                    <w:spacing w:after="0" w:before="0"/>
                    <w:jc w:val="left"/>
                  </w:pPr>
                  <w:r>
                    <w:rPr>
                      <w:rFonts w:ascii="Arial" w:cs="Arial" w:eastAsia="Arial" w:hAnsi="Arial"/>
                      <w:b w:val="false"/>
                      <w:bCs w:val="false"/>
                      <w:i w:val="false"/>
                      <w:iCs w:val="false"/>
                      <w:color w:val="6b6358"/>
                      <w:sz w:val="15"/>
                      <w:szCs w:val="15"/>
                    </w:rPr>
                    <w:t xml:space="preserve">How much faster than an 18-month policy review did insights emerge?</w:t>
                  </w:r>
                </w:p>
              </w:tc>
            </w:tr>
          </w:tbl>
          <w:p/>
        </w:tc>
      </w:tr>
    </w:tbl>
    <w:sectPr>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b w:val="false"/>
        <w:bCs w:val="false"/>
        <w:i w:val="false"/>
        <w:iCs w:val="false"/>
        <w:color w:val="9c948a"/>
        <w:sz w:val="15"/>
        <w:szCs w:val="15"/>
      </w:rPr>
      <w:t xml:space="preserve">Auracelle Charlie v0.5.1  ·  E-AGPO-HT Framework  ·  PI: Grace-Alice Evans  ·  Bath Spa University  ·  UC Berkeley CLTC  ·  NATO STO SAS-219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83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2026-05-18T14:13:39.745Z</dcterms:created>
  <dcterms:modified xsi:type="dcterms:W3CDTF">2026-05-18T14:13:39.771Z</dcterms:modified>
</cp:coreProperties>
</file>

<file path=docProps/custom.xml><?xml version="1.0" encoding="utf-8"?>
<Properties xmlns="http://schemas.openxmlformats.org/officeDocument/2006/custom-properties" xmlns:vt="http://schemas.openxmlformats.org/officeDocument/2006/docPropsVTypes"/>
</file>