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00"/>
              <w:left w:type="dxa" w:w="250"/>
              <w:bottom w:type="dxa" w:w="180"/>
              <w:right w:type="dxa" w:w="2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8A8A"/>
                <w:sz w:val="13"/>
                <w:szCs w:val="13"/>
              </w:rPr>
              <w:t xml:space="preserve">BATH SPA UNIVERSITY  ·  DOCTORAL RESEARCH  ·  E-AGPO-HT v3.1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CE4"/>
                <w:sz w:val="34"/>
                <w:szCs w:val="34"/>
              </w:rPr>
              <w:t xml:space="preserve">Auracelle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D4C4"/>
                <w:sz w:val="34"/>
                <w:szCs w:val="34"/>
              </w:rPr>
              <w:t xml:space="preserve">Charlie v6.0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BFBA"/>
                <w:sz w:val="16"/>
                <w:szCs w:val="16"/>
              </w:rPr>
              <w:t xml:space="preserve">AI Governance Wargame Simulation  ·  SB-53 Stress-Test  ·  Whistleblower Protections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8A8A"/>
                <w:sz w:val="14"/>
                <w:szCs w:val="14"/>
              </w:rPr>
              <w:t xml:space="preserve">Scenario: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D4C4"/>
                <w:sz w:val="14"/>
                <w:szCs w:val="14"/>
              </w:rPr>
              <w:t xml:space="preserve">Frontier AI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8A8A"/>
                <w:sz w:val="14"/>
                <w:szCs w:val="14"/>
              </w:rPr>
              <w:t xml:space="preserve">  Use-Case: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B830"/>
                <w:sz w:val="14"/>
                <w:szCs w:val="14"/>
              </w:rPr>
              <w:t xml:space="preserve">Whistleblower Protections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8A8A"/>
                <w:sz w:val="14"/>
                <w:szCs w:val="14"/>
              </w:rPr>
              <w:t xml:space="preserve">  Regime: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060"/>
                <w:sz w:val="14"/>
                <w:szCs w:val="14"/>
              </w:rPr>
              <w:t xml:space="preserve">Adversarial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8A8A"/>
                <w:sz w:val="14"/>
                <w:szCs w:val="14"/>
              </w:rPr>
              <w:t xml:space="preserve">  Rounds: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D4C4"/>
                <w:sz w:val="14"/>
                <w:szCs w:val="14"/>
              </w:rPr>
              <w:t xml:space="preserve">6 (Governance Arc)</w:t>
            </w:r>
          </w:p>
        </w:tc>
      </w:tr>
    </w:tbl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p>
      <w:pPr>
        <w:pBdr>
          <w:bottom w:val="single" w:color="1E4D8C" w:sz="6" w:space="3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E4D8C"/>
          <w:sz w:val="24"/>
          <w:szCs w:val="24"/>
        </w:rPr>
        <w:t xml:space="preserve">What you are doing — in plain language</w:t>
      </w:r>
    </w:p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9B8E" w:sz="2"/>
              <w:left w:val="single" w:color="0F9B8E" w:sz="6"/>
              <w:bottom w:val="single" w:color="0F9B8E" w:sz="2"/>
              <w:right w:val="single" w:color="0F9B8E" w:sz="2"/>
            </w:tcBorders>
            <w:shd w:fill="D8F0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9"/>
                <w:szCs w:val="19"/>
              </w:rPr>
              <w:t xml:space="preserve">You are going to stress-test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9"/>
                <w:szCs w:val="19"/>
              </w:rPr>
              <w:t xml:space="preserve">California Senate Bill 53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9"/>
                <w:szCs w:val="19"/>
              </w:rPr>
              <w:t xml:space="preserve"> — the first enforceable AI safety law in the United States.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9"/>
                <w:szCs w:val="19"/>
              </w:rPr>
              <w:t xml:space="preserve">This session focuses on one specific provision: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9"/>
                <w:szCs w:val="19"/>
              </w:rPr>
              <w:t xml:space="preserve">the whistleblower protection clause.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9"/>
                <w:szCs w:val="19"/>
              </w:rPr>
              <w:t xml:space="preserve"> SB-53 requires covered AI developers to establish anti-retaliation protections and anonymous reporting channels for employees who identify safety concerns.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9"/>
                <w:szCs w:val="19"/>
              </w:rPr>
              <w:t xml:space="preserve">Five AI agents negotiate this provision under adversarial conditions. Your job is to guide and record their moves.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9"/>
                <w:szCs w:val="19"/>
              </w:rPr>
              <w:t xml:space="preserve">No prior knowledge of AI law is required.</w:t>
            </w:r>
          </w:p>
        </w:tc>
      </w:tr>
    </w:tbl>
    <w:p>
      <w:pPr>
        <w:spacing w:after="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p>
      <w:pPr>
        <w:pBdr>
          <w:bottom w:val="single" w:color="1E4D8C" w:sz="6" w:space="3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E4D8C"/>
          <w:sz w:val="24"/>
          <w:szCs w:val="24"/>
        </w:rPr>
        <w:t xml:space="preserve">What is at stake — the whistleblower question</w:t>
      </w:r>
    </w:p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19"/>
          <w:szCs w:val="19"/>
        </w:rPr>
        <w:t xml:space="preserve">Every actor in this simulation has a different stake in whether the whistleblower provision survives: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1E4D8C" w:sz="2"/>
              <w:left w:val="single" w:color="1E4D8C" w:sz="2"/>
              <w:bottom w:val="single" w:color="1E4D8C" w:sz="2"/>
              <w:right w:val="single" w:color="1E4D8C" w:sz="2"/>
            </w:tcBorders>
            <w:shd w:fill="1E4D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7260"/>
            <w:tcBorders>
              <w:top w:val="single" w:color="1E4D8C" w:sz="2"/>
              <w:left w:val="single" w:color="1E4D8C" w:sz="2"/>
              <w:bottom w:val="single" w:color="1E4D8C" w:sz="2"/>
              <w:right w:val="single" w:color="1E4D8C" w:sz="2"/>
            </w:tcBorders>
            <w:shd w:fill="1E4D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Their stake in the whistleblower clause</w:t>
            </w:r>
          </w:p>
        </w:tc>
      </w:tr>
      <w:tr>
        <w:tc>
          <w:tcPr>
            <w:tcW w:type="dxa" w:w="21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State / Government Actors</w:t>
            </w:r>
          </w:p>
        </w:tc>
        <w:tc>
          <w:tcPr>
            <w:tcW w:type="dxa" w:w="72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Must decide whether federal preemption nullifies California whistleblower protections. A federal preemption bill creates a direct conflict.</w:t>
            </w:r>
          </w:p>
        </w:tc>
      </w:tr>
      <w:tr>
        <w:tc>
          <w:tcPr>
            <w:tcW w:type="dxa" w:w="21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Civil Society Actors</w:t>
            </w:r>
          </w:p>
        </w:tc>
        <w:tc>
          <w:tcPr>
            <w:tcW w:type="dxa" w:w="72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Treat the whistleblower clause as a non-negotiable red line. Any weakening of anonymous reporting channels will be actively opposed.</w:t>
            </w:r>
          </w:p>
        </w:tc>
      </w:tr>
      <w:tr>
        <w:tc>
          <w:tcPr>
            <w:tcW w:type="dxa" w:w="21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Industry Actors</w:t>
            </w:r>
          </w:p>
        </w:tc>
        <w:tc>
          <w:tcPr>
            <w:tcW w:type="dxa" w:w="72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Will seek to narrow "protected disclosure" to exclude competitive intelligence and commercially sensitive safety data.</w:t>
            </w:r>
          </w:p>
        </w:tc>
      </w:tr>
      <w:tr>
        <w:tc>
          <w:tcPr>
            <w:tcW w:type="dxa" w:w="21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EU / International Teams</w:t>
            </w:r>
          </w:p>
        </w:tc>
        <w:tc>
          <w:tcPr>
            <w:tcW w:type="dxa" w:w="72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Push for alignment with EU Whistleblower Directive (2019/1937). Mutual recognition only if SB-53 meets the EU baseline.</w:t>
            </w:r>
          </w:p>
        </w:tc>
      </w:tr>
      <w:tr>
        <w:tc>
          <w:tcPr>
            <w:tcW w:type="dxa" w:w="21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Academic / Technical Actors</w:t>
            </w:r>
          </w:p>
        </w:tc>
        <w:tc>
          <w:tcPr>
            <w:tcW w:type="dxa" w:w="72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Question whether the anonymous reporting channel can be technically secured. Propose independent third-party channel operators.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p>
      <w:pPr>
        <w:pBdr>
          <w:bottom w:val="single" w:color="1E4D8C" w:sz="6" w:space="3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E4D8C"/>
          <w:sz w:val="24"/>
          <w:szCs w:val="24"/>
        </w:rPr>
        <w:t xml:space="preserve">Step-by-step instructions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30"/>
              <w:left w:type="dxa" w:w="50"/>
              <w:bottom w:type="dxa" w:w="130"/>
              <w:right w:type="dxa" w:w="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8F8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2"/>
                <w:szCs w:val="22"/>
              </w:rPr>
              <w:t xml:space="preserve">Open the portal and log in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Auracelle_Charlie_Portalv5.html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 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192E"/>
                <w:sz w:val="18"/>
                <w:szCs w:val="18"/>
              </w:rPr>
              <w:t xml:space="preserve">Chrome or Firefox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Your name: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As on your registration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Organisation: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Your institution or employer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Access code: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8"/>
                <w:szCs w:val="18"/>
              </w:rPr>
              <w:t xml:space="preserve">CHARLIE2026</w:t>
            </w:r>
          </w:p>
          <w:p>
            <w:pPr>
              <w:spacing w:after="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Select your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Sector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Gender Composition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 to match your registration. These are the primary independent variables recorded with every move.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9B8E" w:val="clear"/>
            <w:tcMar>
              <w:top w:type="dxa" w:w="130"/>
              <w:left w:type="dxa" w:w="50"/>
              <w:bottom w:type="dxa" w:w="130"/>
              <w:right w:type="dxa" w:w="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E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22"/>
                <w:szCs w:val="22"/>
              </w:rPr>
              <w:t xml:space="preserve">Watch the guided demo (10–15 minutes)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8"/>
                <w:szCs w:val="18"/>
              </w:rPr>
              <w:t xml:space="preserve">Watch the Demo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 on the welcome page. The demo walks all eleven Charlie tabs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8"/>
                <w:szCs w:val="18"/>
              </w:rPr>
              <w:t xml:space="preserve">Tab ① Session Design: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Watch the session being configured. The whistleblower use-case is pre-selected.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8"/>
                <w:szCs w:val="18"/>
              </w:rPr>
              <w:t xml:space="preserve">Tab ② Facilitator Mode: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Watch all six rounds. See the Actor Guidance panel. Watch the Red Team shock fire at Round 4.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250"/>
                <w:sz w:val="17"/>
                <w:szCs w:val="17"/>
              </w:rPr>
              <w:t xml:space="preserve">No clicks required. Just watch.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30"/>
              <w:left w:type="dxa" w:w="50"/>
              <w:bottom w:type="dxa" w:w="130"/>
              <w:right w:type="dxa" w:w="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8F8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2"/>
                <w:szCs w:val="22"/>
              </w:rPr>
              <w:t xml:space="preserve">Configure your session in Tab ① (3 minutes)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When you click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Launch Auracelle Charlie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, you land on Tab ① Session Design. These fields are pre-configured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192E"/>
                <w:sz w:val="18"/>
                <w:szCs w:val="18"/>
              </w:rPr>
              <w:t xml:space="preserve">do not change them:</w:t>
            </w:r>
          </w:p>
          <w:p>
            <w:pPr>
              <w:spacing w:after="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20"/>
                <w:szCs w:val="20"/>
              </w:rP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600"/>
              <w:gridCol w:w="3400"/>
            </w:tblGrid>
            <w:tr>
              <w:tc>
                <w:tcPr>
                  <w:tcW w:type="dxa" w:w="2200"/>
                  <w:tcBorders>
                    <w:top w:val="single" w:color="1E4D8C" w:sz="2"/>
                    <w:left w:val="single" w:color="1E4D8C" w:sz="2"/>
                    <w:bottom w:val="single" w:color="1E4D8C" w:sz="2"/>
                    <w:right w:val="single" w:color="1E4D8C" w:sz="2"/>
                  </w:tcBorders>
                  <w:shd w:fill="1E4D8C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Field</w:t>
                  </w:r>
                </w:p>
              </w:tc>
              <w:tc>
                <w:tcPr>
                  <w:tcW w:type="dxa" w:w="2600"/>
                  <w:tcBorders>
                    <w:top w:val="single" w:color="1E4D8C" w:sz="2"/>
                    <w:left w:val="single" w:color="1E4D8C" w:sz="2"/>
                    <w:bottom w:val="single" w:color="1E4D8C" w:sz="2"/>
                    <w:right w:val="single" w:color="1E4D8C" w:sz="2"/>
                  </w:tcBorders>
                  <w:shd w:fill="1E4D8C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Value</w:t>
                  </w:r>
                </w:p>
              </w:tc>
              <w:tc>
                <w:tcPr>
                  <w:tcW w:type="dxa" w:w="3400"/>
                  <w:tcBorders>
                    <w:top w:val="single" w:color="1E4D8C" w:sz="2"/>
                    <w:left w:val="single" w:color="1E4D8C" w:sz="2"/>
                    <w:bottom w:val="single" w:color="1E4D8C" w:sz="2"/>
                    <w:right w:val="single" w:color="1E4D8C" w:sz="2"/>
                  </w:tcBorders>
                  <w:shd w:fill="1E4D8C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Why it is locked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0EDE8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4D8C"/>
                      <w:sz w:val="16"/>
                      <w:szCs w:val="16"/>
                    </w:rPr>
                    <w:t xml:space="preserve">Scenario Domain</w:t>
                  </w:r>
                </w:p>
              </w:tc>
              <w:tc>
                <w:tcPr>
                  <w:tcW w:type="dxa" w:w="26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0EDE8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612"/>
                      <w:sz w:val="16"/>
                      <w:szCs w:val="16"/>
                    </w:rPr>
                    <w:t xml:space="preserve">Frontier AI — Catastrophic Risk</w:t>
                  </w:r>
                </w:p>
              </w:tc>
              <w:tc>
                <w:tcPr>
                  <w:tcW w:type="dxa" w:w="34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0EDE8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A5250"/>
                      <w:sz w:val="15"/>
                      <w:szCs w:val="15"/>
                    </w:rPr>
                    <w:t xml:space="preserve">Contains the SB-53 policy domain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FFFFF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4D8C"/>
                      <w:sz w:val="16"/>
                      <w:szCs w:val="16"/>
                    </w:rPr>
                    <w:t xml:space="preserve">Validation Case</w:t>
                  </w:r>
                </w:p>
              </w:tc>
              <w:tc>
                <w:tcPr>
                  <w:tcW w:type="dxa" w:w="26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FFFFF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612"/>
                      <w:sz w:val="16"/>
                      <w:szCs w:val="16"/>
                    </w:rPr>
                    <w:t xml:space="preserve">TFAIA — California SB-53 (2025)</w:t>
                  </w:r>
                </w:p>
              </w:tc>
              <w:tc>
                <w:tcPr>
                  <w:tcW w:type="dxa" w:w="34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FFFFF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A5250"/>
                      <w:sz w:val="15"/>
                      <w:szCs w:val="15"/>
                    </w:rPr>
                    <w:t xml:space="preserve">The law being stress-tested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0EDE8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4D8C"/>
                      <w:sz w:val="16"/>
                      <w:szCs w:val="16"/>
                    </w:rPr>
                    <w:t xml:space="preserve">Use-Case Objective</w:t>
                  </w:r>
                </w:p>
              </w:tc>
              <w:tc>
                <w:tcPr>
                  <w:tcW w:type="dxa" w:w="26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0EDE8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612"/>
                      <w:sz w:val="16"/>
                      <w:szCs w:val="16"/>
                    </w:rPr>
                    <w:t xml:space="preserve">Whistleblower Protections</w:t>
                  </w:r>
                </w:p>
              </w:tc>
              <w:tc>
                <w:tcPr>
                  <w:tcW w:type="dxa" w:w="34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0EDE8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A5250"/>
                      <w:sz w:val="15"/>
                      <w:szCs w:val="15"/>
                    </w:rPr>
                    <w:t xml:space="preserve">Fixed for comparability across all participants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FFFFF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4D8C"/>
                      <w:sz w:val="16"/>
                      <w:szCs w:val="16"/>
                    </w:rPr>
                    <w:t xml:space="preserve">Information Regime</w:t>
                  </w:r>
                </w:p>
              </w:tc>
              <w:tc>
                <w:tcPr>
                  <w:tcW w:type="dxa" w:w="26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FFFFF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612"/>
                      <w:sz w:val="16"/>
                      <w:szCs w:val="16"/>
                    </w:rPr>
                    <w:t xml:space="preserve">Adversarial — Contested</w:t>
                  </w:r>
                </w:p>
              </w:tc>
              <w:tc>
                <w:tcPr>
                  <w:tcW w:type="dxa" w:w="34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FFFFF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A5250"/>
                      <w:sz w:val="15"/>
                      <w:szCs w:val="15"/>
                    </w:rPr>
                    <w:t xml:space="preserve">Maximises governance stress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0EDE8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4D8C"/>
                      <w:sz w:val="16"/>
                      <w:szCs w:val="16"/>
                    </w:rPr>
                    <w:t xml:space="preserve">Round Arc</w:t>
                  </w:r>
                </w:p>
              </w:tc>
              <w:tc>
                <w:tcPr>
                  <w:tcW w:type="dxa" w:w="26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0EDE8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612"/>
                      <w:sz w:val="16"/>
                      <w:szCs w:val="16"/>
                    </w:rPr>
                    <w:t xml:space="preserve">Governance Negotiation (6 rounds)</w:t>
                  </w:r>
                </w:p>
              </w:tc>
              <w:tc>
                <w:tcPr>
                  <w:tcW w:type="dxa" w:w="3400"/>
                  <w:tcBorders>
                    <w:top w:val="single" w:color="B8B0A8" w:sz="2"/>
                    <w:left w:val="single" w:color="B8B0A8" w:sz="2"/>
                    <w:bottom w:val="single" w:color="B8B0A8" w:sz="2"/>
                    <w:right w:val="single" w:color="B8B0A8" w:sz="2"/>
                  </w:tcBorders>
                  <w:shd w:fill="F0EDE8" w:val="clear"/>
                  <w:tcMar>
                    <w:top w:type="dxa" w:w="60"/>
                    <w:left w:type="dxa" w:w="90"/>
                    <w:bottom w:type="dxa" w:w="60"/>
                    <w:right w:type="dxa" w:w="7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A5250"/>
                      <w:sz w:val="15"/>
                      <w:szCs w:val="15"/>
                    </w:rPr>
                    <w:t xml:space="preserve">Standard diplomatic cycle</w:t>
                  </w:r>
                </w:p>
              </w:tc>
            </w:tr>
          </w:tbl>
          <w:p>
            <w:pPr>
              <w:spacing w:after="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20"/>
                <w:szCs w:val="20"/>
              </w:rP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single" w:color="D4720A" w:sz="2"/>
                    <w:left w:val="single" w:color="D4720A" w:sz="6"/>
                    <w:bottom w:val="single" w:color="D4720A" w:sz="2"/>
                    <w:right w:val="single" w:color="D4720A" w:sz="2"/>
                  </w:tcBorders>
                  <w:shd w:fill="FAE8D0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spacing w:after="36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4720A"/>
                      <w:sz w:val="17"/>
                      <w:szCs w:val="17"/>
                    </w:rPr>
                    <w:t xml:space="preserve">⚠  The one field you MUST set yourself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612"/>
                      <w:sz w:val="17"/>
                      <w:szCs w:val="17"/>
                    </w:rPr>
                    <w:t xml:space="preserve">Participant Composition Group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C2824"/>
                      <w:sz w:val="17"/>
                      <w:szCs w:val="17"/>
                    </w:rPr>
                    <w:t xml:space="preserve"> — select the group matching your professional sector. This is the independent variable that determines your five negotiating actors.</w:t>
                  </w:r>
                </w:p>
              </w:tc>
            </w:tr>
          </w:tbl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Then click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8"/>
                <w:szCs w:val="18"/>
              </w:rPr>
              <w:t xml:space="preserve">▶ Initialise Session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9B8E" w:val="clear"/>
            <w:tcMar>
              <w:top w:type="dxa" w:w="130"/>
              <w:left w:type="dxa" w:w="50"/>
              <w:bottom w:type="dxa" w:w="130"/>
              <w:right w:type="dxa" w:w="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E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22"/>
                <w:szCs w:val="22"/>
              </w:rPr>
              <w:t xml:space="preserve">Play six rounds in Tab ② (40–50 minutes)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You are now in Facilitator Mode. Each round follows this sequence: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20"/>
                <w:szCs w:val="20"/>
              </w:rP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784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8F0EE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9B8E"/>
                      <w:sz w:val="20"/>
                      <w:szCs w:val="20"/>
                    </w:rPr>
                    <w:t xml:space="preserve">①</w:t>
                  </w:r>
                </w:p>
              </w:tc>
              <w:tc>
                <w:tcPr>
                  <w:tcW w:type="dxa" w:w="7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8F0EE" w:val="clear"/>
                  <w:tcMar>
                    <w:top w:type="dxa" w:w="75"/>
                    <w:left w:type="dxa" w:w="100"/>
                    <w:bottom w:type="dxa" w:w="75"/>
                    <w:right w:type="dxa" w:w="6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C2824"/>
                      <w:sz w:val="17"/>
                      <w:szCs w:val="17"/>
                    </w:rPr>
                    <w:t xml:space="preserve">Policy Owner Agent fires. Read the challenge about the whistleblower provision.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9B8E"/>
                      <w:sz w:val="20"/>
                      <w:szCs w:val="20"/>
                    </w:rPr>
                    <w:t xml:space="preserve">②</w:t>
                  </w:r>
                </w:p>
              </w:tc>
              <w:tc>
                <w:tcPr>
                  <w:tcW w:type="dxa" w:w="7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75"/>
                    <w:left w:type="dxa" w:w="100"/>
                    <w:bottom w:type="dxa" w:w="75"/>
                    <w:right w:type="dxa" w:w="6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C2824"/>
                      <w:sz w:val="17"/>
                      <w:szCs w:val="17"/>
                    </w:rPr>
                    <w:t xml:space="preserve">Actor Guidance panel updates (🤖 above Log Move). Read the actor’s position and suggested rationale. Use it or write your own.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8F0EE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9B8E"/>
                      <w:sz w:val="20"/>
                      <w:szCs w:val="20"/>
                    </w:rPr>
                    <w:t xml:space="preserve">③</w:t>
                  </w:r>
                </w:p>
              </w:tc>
              <w:tc>
                <w:tcPr>
                  <w:tcW w:type="dxa" w:w="7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8F0EE" w:val="clear"/>
                  <w:tcMar>
                    <w:top w:type="dxa" w:w="75"/>
                    <w:left w:type="dxa" w:w="100"/>
                    <w:bottom w:type="dxa" w:w="75"/>
                    <w:right w:type="dxa" w:w="6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C2824"/>
                      <w:sz w:val="17"/>
                      <w:szCs w:val="17"/>
                    </w:rPr>
                    <w:t xml:space="preserve">Select the Move Type. The guidance panel suggests one per round — you can override it.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9B8E"/>
                      <w:sz w:val="20"/>
                      <w:szCs w:val="20"/>
                    </w:rPr>
                    <w:t xml:space="preserve">④</w:t>
                  </w:r>
                </w:p>
              </w:tc>
              <w:tc>
                <w:tcPr>
                  <w:tcW w:type="dxa" w:w="7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75"/>
                    <w:left w:type="dxa" w:w="100"/>
                    <w:bottom w:type="dxa" w:w="75"/>
                    <w:right w:type="dxa" w:w="6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C2824"/>
                      <w:sz w:val="17"/>
                      <w:szCs w:val="17"/>
                    </w:rPr>
                    <w:t xml:space="preserve">Click ▶ Log Move. The form advances automatically to the next actor.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8F0EE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9B8E"/>
                      <w:sz w:val="20"/>
                      <w:szCs w:val="20"/>
                    </w:rPr>
                    <w:t xml:space="preserve">⑤</w:t>
                  </w:r>
                </w:p>
              </w:tc>
              <w:tc>
                <w:tcPr>
                  <w:tcW w:type="dxa" w:w="7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8F0EE" w:val="clear"/>
                  <w:tcMar>
                    <w:top w:type="dxa" w:w="75"/>
                    <w:left w:type="dxa" w:w="100"/>
                    <w:bottom w:type="dxa" w:w="75"/>
                    <w:right w:type="dxa" w:w="6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C2824"/>
                      <w:sz w:val="17"/>
                      <w:szCs w:val="17"/>
                    </w:rPr>
                    <w:t xml:space="preserve">Repeat for all five actors. When all five are logged the Advance Round button pulses. Click it.</w:t>
                  </w:r>
                </w:p>
              </w:tc>
            </w:tr>
          </w:tbl>
          <w:p>
            <w:pPr>
              <w:spacing w:after="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20"/>
                <w:szCs w:val="20"/>
              </w:rP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single" w:color="C0192E" w:sz="2"/>
                    <w:left w:val="single" w:color="C0192E" w:sz="6"/>
                    <w:bottom w:val="single" w:color="C0192E" w:sz="2"/>
                    <w:right w:val="single" w:color="C0192E" w:sz="2"/>
                  </w:tcBorders>
                  <w:shd w:fill="FAD8DC" w:val="clear"/>
                  <w:tcMar>
                    <w:top w:type="dxa" w:w="85"/>
                    <w:left w:type="dxa" w:w="100"/>
                    <w:bottom w:type="dxa" w:w="85"/>
                    <w:right w:type="dxa" w:w="8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192E"/>
                      <w:sz w:val="17"/>
                      <w:szCs w:val="17"/>
                    </w:rPr>
                    <w:t xml:space="preserve">⚡  Rounds 4 and 5 — Red Team shock events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C2824"/>
                      <w:sz w:val="16"/>
                      <w:szCs w:val="16"/>
                    </w:rPr>
                    <w:t xml:space="preserve">The Red Team Agent fires at Round 4 (AI Incident) and Round 5 (Unilateral Withdrawal). A red alert banner appears. These shocks directly test the whistleblower provision under crisis conditions. Continue logging moves as normal.</w:t>
                  </w:r>
                </w:p>
              </w:tc>
            </w:tr>
          </w:tbl>
          <w:p/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720A" w:val="clear"/>
            <w:tcMar>
              <w:top w:type="dxa" w:w="130"/>
              <w:left w:type="dxa" w:w="50"/>
              <w:bottom w:type="dxa" w:w="130"/>
              <w:right w:type="dxa" w:w="5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0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720A"/>
                <w:sz w:val="22"/>
                <w:szCs w:val="22"/>
              </w:rPr>
              <w:t xml:space="preserve">Export your session data (5 minutes)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After Round 6 go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720A"/>
                <w:sz w:val="18"/>
                <w:szCs w:val="18"/>
              </w:rPr>
              <w:t xml:space="preserve">Tab ⑥ After-Action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720A"/>
                <w:sz w:val="18"/>
                <w:szCs w:val="18"/>
              </w:rPr>
              <w:t xml:space="preserve">⬇ Log JSON: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8"/>
                <w:szCs w:val="18"/>
              </w:rPr>
              <w:t xml:space="preserve">Primary research file. Contains every move, GWC trajectory, and RL reward values. Submit this.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720A"/>
                <w:sz w:val="18"/>
                <w:szCs w:val="18"/>
              </w:rPr>
              <w:t xml:space="preserve">⬇ Log CSV: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250"/>
                <w:sz w:val="18"/>
                <w:szCs w:val="18"/>
              </w:rPr>
              <w:t xml:space="preserve">Optional flat table for your own review.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20"/>
                <w:szCs w:val="20"/>
              </w:rP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single" w:color="C0192E" w:sz="2"/>
                    <w:left w:val="single" w:color="C0192E" w:sz="6"/>
                    <w:bottom w:val="single" w:color="C0192E" w:sz="2"/>
                    <w:right w:val="single" w:color="C0192E" w:sz="2"/>
                  </w:tcBorders>
                  <w:shd w:fill="FAD8DC" w:val="clear"/>
                  <w:tcMar>
                    <w:top w:type="dxa" w:w="85"/>
                    <w:left w:type="dxa" w:w="100"/>
                    <w:bottom w:type="dxa" w:w="85"/>
                    <w:right w:type="dxa" w:w="80"/>
                  </w:tcMar>
                </w:tcPr>
                <w:p>
                  <w:pPr>
                    <w:spacing w:after="36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0192E"/>
                      <w:sz w:val="17"/>
                      <w:szCs w:val="17"/>
                    </w:rPr>
                    <w:t xml:space="preserve">Submit your JSON file within 24 hours.</w:t>
                  </w:r>
                </w:p>
                <w:p>
                  <w:pPr>
                    <w:spacing w:after="3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C2824"/>
                      <w:sz w:val="17"/>
                      <w:szCs w:val="17"/>
                    </w:rPr>
                    <w:t xml:space="preserve">Email: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612"/>
                      <w:sz w:val="17"/>
                      <w:szCs w:val="17"/>
                    </w:rPr>
                    <w:t xml:space="preserve">grace-alice.evans@bathspa.ac.uk</w:t>
                  </w:r>
                </w:p>
                <w:p>
                  <w:pPr>
                    <w:spacing w:after="3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C2824"/>
                      <w:sz w:val="17"/>
                      <w:szCs w:val="17"/>
                    </w:rPr>
                    <w:t xml:space="preserve">Subject: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612"/>
                      <w:sz w:val="17"/>
                      <w:szCs w:val="17"/>
                    </w:rPr>
                    <w:t xml:space="preserve">Charlie Pilot — [Your Name] — [Your Sector]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A5250"/>
                      <w:sz w:val="16"/>
                      <w:szCs w:val="16"/>
                    </w:rPr>
                    <w:t xml:space="preserve">Without the export your session cannot contribute to the research record.</w:t>
                  </w:r>
                </w:p>
              </w:tc>
            </w:tr>
          </w:tbl>
          <w:p/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p>
      <w:pPr>
        <w:pBdr>
          <w:bottom w:val="single" w:color="1E4D8C" w:sz="6" w:space="3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E4D8C"/>
          <w:sz w:val="24"/>
          <w:szCs w:val="24"/>
        </w:rPr>
        <w:t xml:space="preserve">Quick reference — move types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560"/>
      </w:tblGrid>
      <w:tr>
        <w:tc>
          <w:tcPr>
            <w:tcW w:type="dxa" w:w="1300"/>
            <w:tcBorders>
              <w:top w:val="single" w:color="1E4D8C" w:sz="2"/>
              <w:left w:val="single" w:color="1E4D8C" w:sz="2"/>
              <w:bottom w:val="single" w:color="1E4D8C" w:sz="2"/>
              <w:right w:val="single" w:color="1E4D8C" w:sz="2"/>
            </w:tcBorders>
            <w:shd w:fill="1E4D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Move Type</w:t>
            </w:r>
          </w:p>
        </w:tc>
        <w:tc>
          <w:tcPr>
            <w:tcW w:type="dxa" w:w="2500"/>
            <w:tcBorders>
              <w:top w:val="single" w:color="1E4D8C" w:sz="2"/>
              <w:left w:val="single" w:color="1E4D8C" w:sz="2"/>
              <w:bottom w:val="single" w:color="1E4D8C" w:sz="2"/>
              <w:right w:val="single" w:color="1E4D8C" w:sz="2"/>
            </w:tcBorders>
            <w:shd w:fill="1E4D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 to use it</w:t>
            </w:r>
          </w:p>
        </w:tc>
        <w:tc>
          <w:tcPr>
            <w:tcW w:type="dxa" w:w="5560"/>
            <w:tcBorders>
              <w:top w:val="single" w:color="1E4D8C" w:sz="2"/>
              <w:left w:val="single" w:color="1E4D8C" w:sz="2"/>
              <w:bottom w:val="single" w:color="1E4D8C" w:sz="2"/>
              <w:right w:val="single" w:color="1E4D8C" w:sz="2"/>
            </w:tcBorders>
            <w:shd w:fill="1E4D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Effect on governance scores</w:t>
            </w:r>
          </w:p>
        </w:tc>
      </w:tr>
      <w:tr>
        <w:tc>
          <w:tcPr>
            <w:tcW w:type="dxa" w:w="13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7"/>
                <w:szCs w:val="17"/>
              </w:rPr>
              <w:t xml:space="preserve">PROPOSE</w:t>
            </w:r>
          </w:p>
        </w:tc>
        <w:tc>
          <w:tcPr>
            <w:tcW w:type="dxa" w:w="25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Tabling a new position or clause.</w:t>
            </w:r>
          </w:p>
        </w:tc>
        <w:tc>
          <w:tcPr>
            <w:tcW w:type="dxa" w:w="55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250"/>
                <w:sz w:val="17"/>
                <w:szCs w:val="17"/>
              </w:rPr>
              <w:t xml:space="preserve">Raises NDM and ESI. Strong opening move.</w:t>
            </w:r>
          </w:p>
        </w:tc>
      </w:tr>
      <w:tr>
        <w:tc>
          <w:tcPr>
            <w:tcW w:type="dxa" w:w="13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7"/>
                <w:szCs w:val="17"/>
              </w:rPr>
              <w:t xml:space="preserve">COALITION</w:t>
            </w:r>
          </w:p>
        </w:tc>
        <w:tc>
          <w:tcPr>
            <w:tcW w:type="dxa" w:w="25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Formally joining another actor’s position.</w:t>
            </w:r>
          </w:p>
        </w:tc>
        <w:tc>
          <w:tcPr>
            <w:tcW w:type="dxa" w:w="55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250"/>
                <w:sz w:val="17"/>
                <w:szCs w:val="17"/>
              </w:rPr>
              <w:t xml:space="preserve">Raises NDM coalition sub-score. Best used Rounds 2–3.</w:t>
            </w:r>
          </w:p>
        </w:tc>
      </w:tr>
      <w:tr>
        <w:tc>
          <w:tcPr>
            <w:tcW w:type="dxa" w:w="13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7"/>
                <w:szCs w:val="17"/>
              </w:rPr>
              <w:t xml:space="preserve">COUNTER</w:t>
            </w:r>
          </w:p>
        </w:tc>
        <w:tc>
          <w:tcPr>
            <w:tcW w:type="dxa" w:w="25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Rejecting the proposal and offering an alternative.</w:t>
            </w:r>
          </w:p>
        </w:tc>
        <w:tc>
          <w:tcPr>
            <w:tcW w:type="dxa" w:w="55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250"/>
                <w:sz w:val="17"/>
                <w:szCs w:val="17"/>
              </w:rPr>
              <w:t xml:space="preserve">Mixed: raises ESI but lowers NDM coalition score.</w:t>
            </w:r>
          </w:p>
        </w:tc>
      </w:tr>
      <w:tr>
        <w:tc>
          <w:tcPr>
            <w:tcW w:type="dxa" w:w="13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7"/>
                <w:szCs w:val="17"/>
              </w:rPr>
              <w:t xml:space="preserve">COMPLY</w:t>
            </w:r>
          </w:p>
        </w:tc>
        <w:tc>
          <w:tcPr>
            <w:tcW w:type="dxa" w:w="25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Accepting the framework as currently written.</w:t>
            </w:r>
          </w:p>
        </w:tc>
        <w:tc>
          <w:tcPr>
            <w:tcW w:type="dxa" w:w="55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250"/>
                <w:sz w:val="17"/>
                <w:szCs w:val="17"/>
              </w:rPr>
              <w:t xml:space="preserve">Raises IIC and NDM. Strongest in Rounds 5–6.</w:t>
            </w:r>
          </w:p>
        </w:tc>
      </w:tr>
      <w:tr>
        <w:tc>
          <w:tcPr>
            <w:tcW w:type="dxa" w:w="13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7"/>
                <w:szCs w:val="17"/>
              </w:rPr>
              <w:t xml:space="preserve">ESCALATE</w:t>
            </w:r>
          </w:p>
        </w:tc>
        <w:tc>
          <w:tcPr>
            <w:tcW w:type="dxa" w:w="25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Invoking a red line or crisis framing.</w:t>
            </w:r>
          </w:p>
        </w:tc>
        <w:tc>
          <w:tcPr>
            <w:tcW w:type="dxa" w:w="55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250"/>
                <w:sz w:val="17"/>
                <w:szCs w:val="17"/>
              </w:rPr>
              <w:t xml:space="preserve">Raises SRA but lowers coalition and legitimacy scores.</w:t>
            </w:r>
          </w:p>
        </w:tc>
      </w:tr>
      <w:tr>
        <w:tc>
          <w:tcPr>
            <w:tcW w:type="dxa" w:w="13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7"/>
                <w:szCs w:val="17"/>
              </w:rPr>
              <w:t xml:space="preserve">DEFECT</w:t>
            </w:r>
          </w:p>
        </w:tc>
        <w:tc>
          <w:tcPr>
            <w:tcW w:type="dxa" w:w="25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Withdrawing from the coalition.</w:t>
            </w:r>
          </w:p>
        </w:tc>
        <w:tc>
          <w:tcPr>
            <w:tcW w:type="dxa" w:w="55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250"/>
                <w:sz w:val="17"/>
                <w:szCs w:val="17"/>
              </w:rPr>
              <w:t xml:space="preserve">Significantly lowers NDM and ASI. Use for shock rounds.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p>
      <w:pPr>
        <w:pBdr>
          <w:bottom w:val="single" w:color="1E4D8C" w:sz="6" w:space="3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E4D8C"/>
          <w:sz w:val="24"/>
          <w:szCs w:val="24"/>
        </w:rPr>
        <w:t xml:space="preserve">What your data measures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18"/>
          <w:szCs w:val="18"/>
        </w:rPr>
        <w:t xml:space="preserve">Every move you log is recorded with its governance domain, move type, actor, round, and a reward score. Across participants, this produces four research measurements: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5460"/>
      </w:tblGrid>
      <w:tr>
        <w:tc>
          <w:tcPr>
            <w:tcW w:type="dxa" w:w="1200"/>
            <w:tcBorders>
              <w:top w:val="single" w:color="1E4D8C" w:sz="2"/>
              <w:left w:val="single" w:color="1E4D8C" w:sz="2"/>
              <w:bottom w:val="single" w:color="1E4D8C" w:sz="2"/>
              <w:right w:val="single" w:color="1E4D8C" w:sz="2"/>
            </w:tcBorders>
            <w:shd w:fill="1E4D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2700"/>
            <w:tcBorders>
              <w:top w:val="single" w:color="1E4D8C" w:sz="2"/>
              <w:left w:val="single" w:color="1E4D8C" w:sz="2"/>
              <w:bottom w:val="single" w:color="1E4D8C" w:sz="2"/>
              <w:right w:val="single" w:color="1E4D8C" w:sz="2"/>
            </w:tcBorders>
            <w:shd w:fill="1E4D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measures</w:t>
            </w:r>
          </w:p>
        </w:tc>
        <w:tc>
          <w:tcPr>
            <w:tcW w:type="dxa" w:w="5460"/>
            <w:tcBorders>
              <w:top w:val="single" w:color="1E4D8C" w:sz="2"/>
              <w:left w:val="single" w:color="1E4D8C" w:sz="2"/>
              <w:bottom w:val="single" w:color="1E4D8C" w:sz="2"/>
              <w:right w:val="single" w:color="1E4D8C" w:sz="2"/>
            </w:tcBorders>
            <w:shd w:fill="1E4D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How the whistleblower focus produces the data</w:t>
            </w:r>
          </w:p>
        </w:tc>
      </w:tr>
      <w:tr>
        <w:tc>
          <w:tcPr>
            <w:tcW w:type="dxa" w:w="12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7"/>
                <w:szCs w:val="17"/>
              </w:rPr>
              <w:t xml:space="preserve">PSTOA Score</w:t>
            </w:r>
          </w:p>
        </w:tc>
        <w:tc>
          <w:tcPr>
            <w:tcW w:type="dxa" w:w="27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Policy stress-test outcome, 0–100.</w:t>
            </w:r>
          </w:p>
        </w:tc>
        <w:tc>
          <w:tcPr>
            <w:tcW w:type="dxa" w:w="54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Does the whistleblower provision survive six rounds? Score above 60 means the provision held.</w:t>
            </w:r>
          </w:p>
        </w:tc>
      </w:tr>
      <w:tr>
        <w:tc>
          <w:tcPr>
            <w:tcW w:type="dxa" w:w="12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7"/>
                <w:szCs w:val="17"/>
              </w:rPr>
              <w:t xml:space="preserve">Coalition Rate</w:t>
            </w:r>
          </w:p>
        </w:tc>
        <w:tc>
          <w:tcPr>
            <w:tcW w:type="dxa" w:w="27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% of actors maintaining support.</w:t>
            </w:r>
          </w:p>
        </w:tc>
        <w:tc>
          <w:tcPr>
            <w:tcW w:type="dxa" w:w="54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Do civil society actors hold the red line while industry actors seek to narrow the provision?</w:t>
            </w:r>
          </w:p>
        </w:tc>
      </w:tr>
      <w:tr>
        <w:tc>
          <w:tcPr>
            <w:tcW w:type="dxa" w:w="12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7"/>
                <w:szCs w:val="17"/>
              </w:rPr>
              <w:t xml:space="preserve">Shock Response</w:t>
            </w:r>
          </w:p>
        </w:tc>
        <w:tc>
          <w:tcPr>
            <w:tcW w:type="dxa" w:w="27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Policy shift after crisis events.</w:t>
            </w:r>
          </w:p>
        </w:tc>
        <w:tc>
          <w:tcPr>
            <w:tcW w:type="dxa" w:w="54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Does the AI incident or federal withdrawal cause actors to abandon the whistleblower clause?</w:t>
            </w:r>
          </w:p>
        </w:tc>
      </w:tr>
      <w:tr>
        <w:tc>
          <w:tcPr>
            <w:tcW w:type="dxa" w:w="12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7"/>
                <w:szCs w:val="17"/>
              </w:rPr>
              <w:t xml:space="preserve">Composition Effect</w:t>
            </w:r>
          </w:p>
        </w:tc>
        <w:tc>
          <w:tcPr>
            <w:tcW w:type="dxa" w:w="27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Difference in outcomes across groups.</w:t>
            </w:r>
          </w:p>
        </w:tc>
        <w:tc>
          <w:tcPr>
            <w:tcW w:type="dxa" w:w="54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Do Military groups score the whistleblower provision differently from Civil Society or Technical groups?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p>
      <w:pPr>
        <w:pBdr>
          <w:bottom w:val="single" w:color="1E4D8C" w:sz="6" w:space="3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E4D8C"/>
          <w:sz w:val="24"/>
          <w:szCs w:val="24"/>
        </w:rPr>
        <w:t xml:space="preserve">Session timing</w:t>
      </w:r>
    </w:p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560"/>
      </w:tblGrid>
      <w:tr>
        <w:tc>
          <w:tcPr>
            <w:tcW w:type="dxa" w:w="1500"/>
            <w:tcBorders>
              <w:top w:val="single" w:color="1E4D8C" w:sz="2"/>
              <w:left w:val="single" w:color="1E4D8C" w:sz="2"/>
              <w:bottom w:val="single" w:color="1E4D8C" w:sz="2"/>
              <w:right w:val="single" w:color="1E4D8C" w:sz="2"/>
            </w:tcBorders>
            <w:shd w:fill="1E4D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1E4D8C" w:sz="2"/>
              <w:left w:val="single" w:color="1E4D8C" w:sz="2"/>
              <w:bottom w:val="single" w:color="1E4D8C" w:sz="2"/>
              <w:right w:val="single" w:color="1E4D8C" w:sz="2"/>
            </w:tcBorders>
            <w:shd w:fill="1E4D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1E4D8C" w:sz="2"/>
              <w:left w:val="single" w:color="1E4D8C" w:sz="2"/>
              <w:bottom w:val="single" w:color="1E4D8C" w:sz="2"/>
              <w:right w:val="single" w:color="1E4D8C" w:sz="2"/>
            </w:tcBorders>
            <w:shd w:fill="1E4D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Login + Setup</w:t>
            </w:r>
          </w:p>
        </w:tc>
        <w:tc>
          <w:tcPr>
            <w:tcW w:type="dxa" w:w="13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5 min</w:t>
            </w:r>
          </w:p>
        </w:tc>
        <w:tc>
          <w:tcPr>
            <w:tcW w:type="dxa" w:w="65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Open portal, enter access code, select composition group, launch Charlie.</w:t>
            </w:r>
          </w:p>
        </w:tc>
      </w:tr>
      <w:tr>
        <w:tc>
          <w:tcPr>
            <w:tcW w:type="dxa" w:w="15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Guided Demo</w:t>
            </w:r>
          </w:p>
        </w:tc>
        <w:tc>
          <w:tcPr>
            <w:tcW w:type="dxa" w:w="13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10–15 min</w:t>
            </w:r>
          </w:p>
        </w:tc>
        <w:tc>
          <w:tcPr>
            <w:tcW w:type="dxa" w:w="65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Watch all eleven tabs. No clicks required.</w:t>
            </w:r>
          </w:p>
        </w:tc>
      </w:tr>
      <w:tr>
        <w:tc>
          <w:tcPr>
            <w:tcW w:type="dxa" w:w="15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Session Design</w:t>
            </w:r>
          </w:p>
        </w:tc>
        <w:tc>
          <w:tcPr>
            <w:tcW w:type="dxa" w:w="13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3 min</w:t>
            </w:r>
          </w:p>
        </w:tc>
        <w:tc>
          <w:tcPr>
            <w:tcW w:type="dxa" w:w="65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Confirm pre-configured settings. Select composition group. Initialise.</w:t>
            </w:r>
          </w:p>
        </w:tc>
      </w:tr>
      <w:tr>
        <w:tc>
          <w:tcPr>
            <w:tcW w:type="dxa" w:w="15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Six Rounds</w:t>
            </w:r>
          </w:p>
        </w:tc>
        <w:tc>
          <w:tcPr>
            <w:tcW w:type="dxa" w:w="13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40–50 min</w:t>
            </w:r>
          </w:p>
        </w:tc>
        <w:tc>
          <w:tcPr>
            <w:tcW w:type="dxa" w:w="65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Log all five actors per round. Red Team shocks fire at Rounds 4 and 5.</w:t>
            </w:r>
          </w:p>
        </w:tc>
      </w:tr>
      <w:tr>
        <w:tc>
          <w:tcPr>
            <w:tcW w:type="dxa" w:w="15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Export &amp; Submit</w:t>
            </w:r>
          </w:p>
        </w:tc>
        <w:tc>
          <w:tcPr>
            <w:tcW w:type="dxa" w:w="13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5 min</w:t>
            </w:r>
          </w:p>
        </w:tc>
        <w:tc>
          <w:tcPr>
            <w:tcW w:type="dxa" w:w="65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0EDE8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Review PSTOA score. Export JSON. Email to PI within 24 hours.</w:t>
            </w:r>
          </w:p>
        </w:tc>
      </w:tr>
      <w:tr>
        <w:tc>
          <w:tcPr>
            <w:tcW w:type="dxa" w:w="15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7"/>
                <w:szCs w:val="17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7"/>
                <w:szCs w:val="17"/>
              </w:rPr>
              <w:t xml:space="preserve">60–75 min</w:t>
            </w:r>
          </w:p>
        </w:tc>
        <w:tc>
          <w:tcPr>
            <w:tcW w:type="dxa" w:w="6560"/>
            <w:tcBorders>
              <w:top w:val="single" w:color="B8B0A8" w:sz="2"/>
              <w:left w:val="single" w:color="B8B0A8" w:sz="2"/>
              <w:bottom w:val="single" w:color="B8B0A8" w:sz="2"/>
              <w:right w:val="single" w:color="B8B0A8" w:sz="2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824"/>
                <w:sz w:val="17"/>
                <w:szCs w:val="17"/>
              </w:rPr>
              <w:t xml:space="preserve">Complete autonomous session.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9B8E" w:sz="2"/>
              <w:left w:val="single" w:color="0F9B8E" w:sz="6"/>
              <w:bottom w:val="single" w:color="0F9B8E" w:sz="2"/>
              <w:right w:val="single" w:color="0F9B8E" w:sz="2"/>
            </w:tcBorders>
            <w:shd w:fill="D8F0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B8E"/>
                <w:sz w:val="18"/>
                <w:szCs w:val="18"/>
              </w:rPr>
              <w:t xml:space="preserve">Technical issues or questions: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8"/>
                <w:szCs w:val="18"/>
              </w:rPr>
              <w:t xml:space="preserve">grace-alice.evans@bathspa.ac.uk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250"/>
                <w:sz w:val="17"/>
                <w:szCs w:val="17"/>
              </w:rPr>
              <w:t xml:space="preserve">Subject: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7"/>
                <w:szCs w:val="17"/>
              </w:rPr>
              <w:t xml:space="preserve">Charlie Pilot — [Your Name] — [Your Sector]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250"/>
                <w:sz w:val="17"/>
                <w:szCs w:val="17"/>
              </w:rPr>
              <w:t xml:space="preserve">Session window: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824"/>
                <w:sz w:val="17"/>
                <w:szCs w:val="17"/>
              </w:rPr>
              <w:t xml:space="preserve">June 7–14, 2026  ·  Complete at any time  ·  One session per participant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A5250"/>
        <w:sz w:val="15"/>
        <w:szCs w:val="15"/>
      </w:rPr>
      <w:t xml:space="preserve">Bath Spa University  ·  Doctoral Research  ·  PI: Evans, G-A.  ·  CONFIDENTIAL  ·  Page </w:t>
    </w:r>
    <w:r>
      <w:rPr>
        <w:rFonts w:ascii="Arial" w:cs="Arial" w:eastAsia="Arial" w:hAnsi="Arial"/>
        <w:color w:val="5A525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9B8E" w:sz="3" w:space="3"/>
      </w:pBdr>
      <w:tabs>
        <w:tab w:val="right" w:pos="9360"/>
      </w:tabs>
      <w:spacing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5A5250"/>
        <w:sz w:val="16"/>
        <w:szCs w:val="16"/>
      </w:rPr>
      <w:t xml:space="preserve">Auracelle Charlie v6.0  ·  Pilot Workshop</w:t>
    </w:r>
    <w:r>
      <w:rPr>
        <w:rFonts w:ascii="Arial" w:cs="Arial" w:eastAsia="Arial" w:hAnsi="Arial"/>
        <w:b/>
        <w:bCs/>
        <w:i w:val="false"/>
        <w:iCs w:val="false"/>
        <w:color w:val="0F9B8E"/>
        <w:sz w:val="16"/>
        <w:szCs w:val="16"/>
      </w:rPr>
      <w:t xml:space="preserve">	Participant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8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2026-05-27T18:01:42.467Z</dcterms:created>
  <dcterms:modified xsi:type="dcterms:W3CDTF">2026-05-27T18:01:42.479Z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