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Arial" w:cs="Arial" w:eastAsia="Arial" w:hAnsi="Arial"/>
          <w:b/>
          <w:bCs/>
          <w:sz w:val="32"/>
          <w:szCs w:val="32"/>
        </w:rPr>
        <w:t xml:space="preserve">Liability Release and Limitation of Liability Agreement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Between Auragentics LLC and Tooele Valley Imaging LLC (dba First Choice Imaging)</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This Liability Release and Limitation of Liability Agreement</w:t>
      </w:r>
      <w:r>
        <w:rPr>
          <w:rFonts w:ascii="Arial" w:cs="Arial" w:eastAsia="Arial" w:hAnsi="Arial"/>
          <w:sz w:val="22"/>
          <w:szCs w:val="22"/>
        </w:rPr>
        <w:t xml:space="preserve"> ("Agreement") is entered into as of March 16, 2026 ("Effective Date"), by and between: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Auragentics LLC</w:t>
      </w:r>
      <w:r>
        <w:rPr>
          <w:rFonts w:ascii="Arial" w:cs="Arial" w:eastAsia="Arial" w:hAnsi="Arial"/>
          <w:sz w:val="22"/>
          <w:szCs w:val="22"/>
        </w:rPr>
        <w:t xml:space="preserve"> ("Agency"), a Utah limited liability company, with its principal place of business at 3533 N 2900 E, Eden, Utah 84310;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Tooele Valley Imaging LLC, doing business as First Choice Imaging</w:t>
      </w:r>
      <w:r>
        <w:rPr>
          <w:rFonts w:ascii="Arial" w:cs="Arial" w:eastAsia="Arial" w:hAnsi="Arial"/>
          <w:sz w:val="22"/>
          <w:szCs w:val="22"/>
        </w:rPr>
        <w:t xml:space="preserve"> ("Client"), a Utah limited liability company, with its principal place of business at 2356 N 400 E #103, Tooele, Utah 84074.</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Agency and Client are each referred to herein as a "Party" and collectively as the "Parties."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RECITALS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WHEREAS,</w:t>
      </w:r>
      <w:r>
        <w:rPr>
          <w:rFonts w:ascii="Arial" w:cs="Arial" w:eastAsia="Arial" w:hAnsi="Arial"/>
          <w:sz w:val="22"/>
          <w:szCs w:val="22"/>
        </w:rPr>
        <w:t xml:space="preserve"> Client operates medical imaging clinics under the trade name "First Choice Imaging" at multiple locations in the State of Utah;</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WHEREAS,</w:t>
      </w:r>
      <w:r>
        <w:rPr>
          <w:rFonts w:ascii="Arial" w:cs="Arial" w:eastAsia="Arial" w:hAnsi="Arial"/>
          <w:sz w:val="22"/>
          <w:szCs w:val="22"/>
        </w:rPr>
        <w:t xml:space="preserve"> Agency provides technology services including, but not limited to, AI voice agent development and management, A2P (Application-to-Person) SMS messaging services, customer relationship management (CRM) automation, analytics dashboards, and related digital services;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WHEREAS,</w:t>
      </w:r>
      <w:r>
        <w:rPr>
          <w:rFonts w:ascii="Arial" w:cs="Arial" w:eastAsia="Arial" w:hAnsi="Arial"/>
          <w:sz w:val="22"/>
          <w:szCs w:val="22"/>
        </w:rPr>
        <w:t xml:space="preserve"> Client has engaged Agency to provide certain Services (as defined herein) in an agency-client relationship, whereby Agency acts as an independent contractor and technology service provider;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WHEREAS,</w:t>
      </w:r>
      <w:r>
        <w:rPr>
          <w:rFonts w:ascii="Arial" w:cs="Arial" w:eastAsia="Arial" w:hAnsi="Arial"/>
          <w:sz w:val="22"/>
          <w:szCs w:val="22"/>
        </w:rPr>
        <w:t xml:space="preserve"> the Parties wish to set forth the terms governing the limitation of Agency's liability in connection with the provision of such Services;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NOW, THEREFORE,</w:t>
      </w:r>
      <w:r>
        <w:rPr>
          <w:rFonts w:ascii="Arial" w:cs="Arial" w:eastAsia="Arial" w:hAnsi="Arial"/>
          <w:sz w:val="22"/>
          <w:szCs w:val="22"/>
        </w:rPr>
        <w:t xml:space="preserve"> in consideration of the mutual covenants and agreements set forth herein, and for other good and valuable consideration, the receipt and sufficiency of which are hereby acknowledged, the Parties agree as follows: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 DEFINITIONS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"Services"</w:t>
      </w:r>
      <w:r>
        <w:rPr>
          <w:rFonts w:ascii="Arial" w:cs="Arial" w:eastAsia="Arial" w:hAnsi="Arial"/>
          <w:sz w:val="22"/>
          <w:szCs w:val="22"/>
        </w:rPr>
        <w:t xml:space="preserve"> means all services provided by Agency to Client, including but not limited to:</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w:t>
      </w:r>
      <w:r>
        <w:rPr>
          <w:rFonts w:ascii="Arial" w:cs="Arial" w:eastAsia="Arial" w:hAnsi="Arial"/>
          <w:b/>
          <w:bCs/>
          <w:sz w:val="22"/>
          <w:szCs w:val="22"/>
        </w:rPr>
        <w:t xml:space="preserve">AI Voice Agent Services:</w:t>
      </w:r>
      <w:r>
        <w:rPr>
          <w:rFonts w:ascii="Arial" w:cs="Arial" w:eastAsia="Arial" w:hAnsi="Arial"/>
          <w:sz w:val="22"/>
          <w:szCs w:val="22"/>
        </w:rPr>
        <w:t xml:space="preserve"> Development, deployment, management, and maintenance of AI-powered voice agents (receptionist bots) that handle inbound calls on behalf of Client, including call routing, information delivery, caller data collection, and call transfers.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w:t>
      </w:r>
      <w:r>
        <w:rPr>
          <w:rFonts w:ascii="Arial" w:cs="Arial" w:eastAsia="Arial" w:hAnsi="Arial"/>
          <w:b/>
          <w:bCs/>
          <w:sz w:val="22"/>
          <w:szCs w:val="22"/>
        </w:rPr>
        <w:t xml:space="preserve">A2P SMS Messaging Services:</w:t>
      </w:r>
      <w:r>
        <w:rPr>
          <w:rFonts w:ascii="Arial" w:cs="Arial" w:eastAsia="Arial" w:hAnsi="Arial"/>
          <w:sz w:val="22"/>
          <w:szCs w:val="22"/>
        </w:rPr>
        <w:t xml:space="preserve"> Application-to-person text messaging services, including appointment-related messages, form links, notifications, and other automated text communications sent on behalf of Client.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w:t>
      </w:r>
      <w:r>
        <w:rPr>
          <w:rFonts w:ascii="Arial" w:cs="Arial" w:eastAsia="Arial" w:hAnsi="Arial"/>
          <w:b/>
          <w:bCs/>
          <w:sz w:val="22"/>
          <w:szCs w:val="22"/>
        </w:rPr>
        <w:t xml:space="preserve">Dashboard and Analytics Services:</w:t>
      </w:r>
      <w:r>
        <w:rPr>
          <w:rFonts w:ascii="Arial" w:cs="Arial" w:eastAsia="Arial" w:hAnsi="Arial"/>
          <w:sz w:val="22"/>
          <w:szCs w:val="22"/>
        </w:rPr>
        <w:t xml:space="preserve"> Provision of a white-labeled SaaS dashboard (accessible at app.auragentics.ai) for Client to view call statistics, audit trails, usage data, transcripts, recordings, caller logs, and related analytics.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w:t>
      </w:r>
      <w:r>
        <w:rPr>
          <w:rFonts w:ascii="Arial" w:cs="Arial" w:eastAsia="Arial" w:hAnsi="Arial"/>
          <w:b/>
          <w:bCs/>
          <w:sz w:val="22"/>
          <w:szCs w:val="22"/>
        </w:rPr>
        <w:t xml:space="preserve">CRM Automation Services:</w:t>
      </w:r>
      <w:r>
        <w:rPr>
          <w:rFonts w:ascii="Arial" w:cs="Arial" w:eastAsia="Arial" w:hAnsi="Arial"/>
          <w:sz w:val="22"/>
          <w:szCs w:val="22"/>
        </w:rPr>
        <w:t xml:space="preserve"> Configuration and management of customer relationship management workflows, automations, and integrations.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(e) </w:t>
      </w:r>
      <w:r>
        <w:rPr>
          <w:rFonts w:ascii="Arial" w:cs="Arial" w:eastAsia="Arial" w:hAnsi="Arial"/>
          <w:b/>
          <w:bCs/>
          <w:sz w:val="22"/>
          <w:szCs w:val="22"/>
        </w:rPr>
        <w:t xml:space="preserve">Any other services</w:t>
      </w:r>
      <w:r>
        <w:rPr>
          <w:rFonts w:ascii="Arial" w:cs="Arial" w:eastAsia="Arial" w:hAnsi="Arial"/>
          <w:sz w:val="22"/>
          <w:szCs w:val="22"/>
        </w:rPr>
        <w:t xml:space="preserve"> agreed upon by the Parties in writing from time to time.</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2. AGENCY-CLIENT RELATIONSHIP</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2.1 Independent Contractor</w:t>
      </w:r>
    </w:p>
    <w:p>
      <w:pPr>
        <w:spacing w:after="120"/>
      </w:pPr>
      <w:r>
        <w:rPr>
          <w:rFonts w:ascii="Arial" w:cs="Arial" w:eastAsia="Arial" w:hAnsi="Arial"/>
          <w:sz w:val="22"/>
          <w:szCs w:val="22"/>
        </w:rPr>
        <w:t xml:space="preserve">Agency is an independent contractor and not an employee, partner, joint venturer, or agent of Client. Nothing in this Agreement shall be construed to create an employer-employee, partnership, joint venture, or franchise relationship between the Parties.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2.2 No Authority to Bind</w:t>
      </w:r>
    </w:p>
    <w:p>
      <w:pPr>
        <w:spacing w:after="120"/>
      </w:pPr>
      <w:r>
        <w:rPr>
          <w:rFonts w:ascii="Arial" w:cs="Arial" w:eastAsia="Arial" w:hAnsi="Arial"/>
          <w:sz w:val="22"/>
          <w:szCs w:val="22"/>
        </w:rPr>
        <w:t xml:space="preserve">Agency shall not have the authority to bind Client to any contract, obligation, or liability without Client's prior written consent, except as expressly authorized in writing by Client in connection with the Services.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2.3 Client Responsibility</w:t>
      </w:r>
    </w:p>
    <w:p>
      <w:pPr>
        <w:spacing w:after="120"/>
      </w:pPr>
      <w:r>
        <w:rPr>
          <w:rFonts w:ascii="Arial" w:cs="Arial" w:eastAsia="Arial" w:hAnsi="Arial"/>
          <w:sz w:val="22"/>
          <w:szCs w:val="22"/>
        </w:rPr>
        <w:t xml:space="preserve">Client retains full responsibility for its business operations, clinical decisions, medical practices, patient care, regulatory compliance (except as expressly delegated to Agency under a Business Associate Agreement), and all other aspects of its business not specifically delegated to Agency under this Agreement.</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3. RELEASE OF LIABILITY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3.1 General Release</w:t>
      </w:r>
    </w:p>
    <w:p>
      <w:pPr>
        <w:spacing w:after="120"/>
      </w:pPr>
      <w:r>
        <w:rPr>
          <w:rFonts w:ascii="Arial" w:cs="Arial" w:eastAsia="Arial" w:hAnsi="Arial"/>
          <w:b/>
          <w:bCs/>
          <w:sz w:val="22"/>
          <w:szCs w:val="22"/>
        </w:rPr>
        <w:t xml:space="preserve">Client hereby releases, waives, and forever discharges Agency, its owners, members, managers, officers, directors, employees, agents, contractors, successors, and assigns (collectively, "Agency Released Parties") from any and all claims, demands, actions, causes of action, suits, damages, losses, liabilities, costs, and expenses (including reasonable attorneys' fees) of any kind or nature whatsoever, whether known or unknown, suspected or unsuspected, that Client now has or may hereafter have against the Agency Released Parties, arising out of or in connection with the Services, except to the extent caused by Agency's gross negligence or willful misconduct.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3.2 AI Technology Release</w:t>
      </w:r>
    </w:p>
    <w:p>
      <w:pPr>
        <w:spacing w:after="120"/>
      </w:pPr>
      <w:r>
        <w:rPr>
          <w:rFonts w:ascii="Arial" w:cs="Arial" w:eastAsia="Arial" w:hAnsi="Arial"/>
          <w:b/>
          <w:bCs/>
          <w:sz w:val="22"/>
          <w:szCs w:val="22"/>
        </w:rPr>
        <w:t xml:space="preserve">Client acknowledges and agrees that: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AI voice agents are powered by artificial intelligence technology that is inherently imperfect and may produce inaccurate, incomplete, inappropriate, or unexpected responses.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AI voice agents may misinterpret caller intent, fail to collect required information, provide incorrect information, fail to execute transfers properly, or otherwise malfunction.</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Agency has made no representations or warranties that the AI voice agents will perform flawlessly, without error, or in a manner that meets all of Client's expectations.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Client has been informed of and accepts the inherent risks and limitations of AI technology.</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(e) </w:t>
      </w:r>
      <w:r>
        <w:rPr>
          <w:rFonts w:ascii="Arial" w:cs="Arial" w:eastAsia="Arial" w:hAnsi="Arial"/>
          <w:b/>
          <w:bCs/>
          <w:sz w:val="22"/>
          <w:szCs w:val="22"/>
        </w:rPr>
        <w:t xml:space="preserve">Client releases and holds harmless the Agency Released Parties from any and all claims arising from the performance, malfunction, errors, or omissions of AI voice agents, including but not limited to missed calls, dropped calls, incorrect information provided to callers, failed transfers, data collection errors, and any resulting patient dissatisfaction, complaints, or claims.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3.3 SMS and Telecommunications Release</w:t>
      </w:r>
    </w:p>
    <w:p>
      <w:pPr>
        <w:spacing w:after="120"/>
      </w:pPr>
      <w:r>
        <w:rPr>
          <w:rFonts w:ascii="Arial" w:cs="Arial" w:eastAsia="Arial" w:hAnsi="Arial"/>
          <w:b/>
          <w:bCs/>
          <w:sz w:val="22"/>
          <w:szCs w:val="22"/>
        </w:rPr>
        <w:t xml:space="preserve">Client acknowledges and agrees that: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A2P SMS message delivery is dependent upon third-party telecommunications carriers, networks, and infrastructure over which Agency has no control.</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Messages may be delayed, undelivered, filtered, or blocked by carriers, devices, or recipients.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w:t>
      </w:r>
      <w:r>
        <w:rPr>
          <w:rFonts w:ascii="Arial" w:cs="Arial" w:eastAsia="Arial" w:hAnsi="Arial"/>
          <w:b/>
          <w:bCs/>
          <w:sz w:val="22"/>
          <w:szCs w:val="22"/>
        </w:rPr>
        <w:t xml:space="preserve">Client releases and holds harmless the Agency Released Parties from any and all claims arising from the delivery, non-delivery, delay, or content of SMS messages, including but not limited to claims under the Telephone Consumer Protection Act (TCPA), CAN-SPAM Act, or any applicable state law, to the extent such claims arise from Client's instructions, consent practices, or contact lists.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Client is solely responsible for ensuring that all recipients of SMS messages sent through the Services have provided prior express consent in accordance with applicable law.</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3.4 HIPAA and PHI Release</w:t>
      </w:r>
    </w:p>
    <w:p>
      <w:pPr>
        <w:spacing w:after="120"/>
      </w:pPr>
      <w:r>
        <w:rPr>
          <w:rFonts w:ascii="Arial" w:cs="Arial" w:eastAsia="Arial" w:hAnsi="Arial"/>
          <w:sz w:val="22"/>
          <w:szCs w:val="22"/>
        </w:rPr>
        <w:t xml:space="preserve">To the extent Agency handles Protected Health Information on behalf of Client as set forth in a separate Business Associate Agreement: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Agency's obligations with respect to PHI are governed exclusively by the Business Associate Agreement.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w:t>
      </w:r>
      <w:r>
        <w:rPr>
          <w:rFonts w:ascii="Arial" w:cs="Arial" w:eastAsia="Arial" w:hAnsi="Arial"/>
          <w:b/>
          <w:bCs/>
          <w:sz w:val="22"/>
          <w:szCs w:val="22"/>
        </w:rPr>
        <w:t xml:space="preserve">Client releases and holds harmless the Agency Released Parties from any and all claims arising from breaches of PHI that result from: (i) Client's failure to provide accurate or complete information; (ii) Client's failure to comply with its own obligations under HIPAA; (iii) unauthorized access by Client's employees or agents; or (iv) circumstances beyond Agency's reasonable control.</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Agency's liability for breaches of PHI caused by Agency's own acts or omissions shall be governed by the limitations set forth in Section 4 of this Agreement and the Business Associate Agreement.</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4. LIMITATION OF LIABILITY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4.1 Exclusion of Consequential Damages</w:t>
      </w:r>
    </w:p>
    <w:p>
      <w:pPr>
        <w:spacing w:after="120"/>
      </w:pPr>
      <w:r>
        <w:rPr>
          <w:rFonts w:ascii="Arial" w:cs="Arial" w:eastAsia="Arial" w:hAnsi="Arial"/>
          <w:b/>
          <w:bCs/>
          <w:sz w:val="22"/>
          <w:szCs w:val="22"/>
        </w:rPr>
        <w:t xml:space="preserve">IN NO EVENT SHALL AGENCY BE LIABLE TO CLIENT OR ANY THIRD PARTY FOR ANY INDIRECT, INCIDENTAL, SPECIAL, CONSEQUENTIAL, PUNITIVE, OR EXEMPLARY DAMAGES ARISING OUT OF OR IN CONNECTION WITH THIS AGREEMENT OR THE SERVICES, INCLUDING WITHOUT LIMITATION: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 LOSS OF REVENUE, PROFITS, BUSINESS, OR ANTICIPATED SAVINGS;</w:t>
      </w:r>
    </w:p>
    <w:p>
      <w:pPr>
        <w:spacing w:after="120"/>
      </w:pPr>
      <w:r>
        <w:rPr>
          <w:rFonts w:ascii="Arial" w:cs="Arial" w:eastAsia="Arial" w:hAnsi="Arial"/>
          <w:b/>
          <w:bCs/>
          <w:sz w:val="22"/>
          <w:szCs w:val="22"/>
        </w:rPr>
        <w:t xml:space="preserve">(b) LOSS OF GOODWILL OR REPUTATION;</w:t>
      </w:r>
    </w:p>
    <w:p>
      <w:pPr>
        <w:spacing w:after="120"/>
      </w:pPr>
      <w:r>
        <w:rPr>
          <w:rFonts w:ascii="Arial" w:cs="Arial" w:eastAsia="Arial" w:hAnsi="Arial"/>
          <w:b/>
          <w:bCs/>
          <w:sz w:val="22"/>
          <w:szCs w:val="22"/>
        </w:rPr>
        <w:t xml:space="preserve">(c) LOSS OF DATA OR DATA BREACH COSTS (EXCEPT AS EXPRESSLY PROVIDED IN THE BUSINESS ASSOCIATE AGREEMENT);</w:t>
      </w:r>
    </w:p>
    <w:p>
      <w:pPr>
        <w:spacing w:after="120"/>
      </w:pPr>
      <w:r>
        <w:rPr>
          <w:rFonts w:ascii="Arial" w:cs="Arial" w:eastAsia="Arial" w:hAnsi="Arial"/>
          <w:b/>
          <w:bCs/>
          <w:sz w:val="22"/>
          <w:szCs w:val="22"/>
        </w:rPr>
        <w:t xml:space="preserve">(d) COST OF SUBSTITUTE SERVICES;</w:t>
      </w:r>
    </w:p>
    <w:p>
      <w:pPr>
        <w:spacing w:after="120"/>
      </w:pPr>
      <w:r>
        <w:rPr>
          <w:rFonts w:ascii="Arial" w:cs="Arial" w:eastAsia="Arial" w:hAnsi="Arial"/>
          <w:b/>
          <w:bCs/>
          <w:sz w:val="22"/>
          <w:szCs w:val="22"/>
        </w:rPr>
        <w:t xml:space="preserve">(e) PATIENT COMPLAINTS, CLAIMS, OR LAWSUITS ARISING FROM AI VOICE AGENT INTERACTIONS;</w:t>
      </w:r>
    </w:p>
    <w:p>
      <w:pPr>
        <w:spacing w:after="120"/>
      </w:pPr>
      <w:r>
        <w:rPr>
          <w:rFonts w:ascii="Arial" w:cs="Arial" w:eastAsia="Arial" w:hAnsi="Arial"/>
          <w:b/>
          <w:bCs/>
          <w:sz w:val="22"/>
          <w:szCs w:val="22"/>
        </w:rPr>
        <w:t xml:space="preserve">(f) ANY OTHER INTANGIBLE OR CONSEQUENTIAL LOSSES;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REGARDLESS OF THE THEORY OF LIABILITY (CONTRACT, TORT, NEGLIGENCE, STRICT LIABILITY, OR OTHERWISE) AND EVEN IF AGENCY HAS BEEN ADVISED OF THE POSSIBILITY OF SUCH DAMAGES.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4.2 Aggregate Liability Cap</w:t>
      </w:r>
    </w:p>
    <w:p>
      <w:pPr>
        <w:spacing w:after="120"/>
      </w:pPr>
      <w:r>
        <w:rPr>
          <w:rFonts w:ascii="Arial" w:cs="Arial" w:eastAsia="Arial" w:hAnsi="Arial"/>
          <w:b/>
          <w:bCs/>
          <w:sz w:val="22"/>
          <w:szCs w:val="22"/>
        </w:rPr>
        <w:t xml:space="preserve">THE TOTAL AGGREGATE LIABILITY OF AGENCY ARISING OUT OF OR RELATING TO THIS AGREEMENT OR THE SERVICES, FOR ANY AND ALL CLAIMS COMBINED, SHALL NOT EXCEED THE TOTAL FEES ACTUALLY PAID BY CLIENT TO AGENCY DURING THE TWELVE (12) MONTH PERIOD IMMEDIATELY PRECEDING THE FIRST EVENT GIVING RISE TO LIABILITY.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4.3 Essential Basis of the Bargain</w:t>
      </w:r>
    </w:p>
    <w:p>
      <w:pPr>
        <w:spacing w:after="120"/>
      </w:pPr>
      <w:r>
        <w:rPr>
          <w:rFonts w:ascii="Arial" w:cs="Arial" w:eastAsia="Arial" w:hAnsi="Arial"/>
          <w:b/>
          <w:bCs/>
          <w:sz w:val="22"/>
          <w:szCs w:val="22"/>
        </w:rPr>
        <w:t xml:space="preserve">THE PARTIES ACKNOWLEDGE AND AGREE THAT THE LIMITATIONS OF LIABILITY SET FORTH IN THIS SECTION 4 ARE AN ESSENTIAL ELEMENT OF THE AGREEMENT AND THAT AGENCY WOULD NOT HAVE ENTERED INTO THIS AGREEMENT WITHOUT SUCH LIMITATIONS. THESE LIMITATIONS SHALL APPLY TO THE FULLEST EXTENT PERMITTED BY APPLICABLE LAW AND SHALL SURVIVE THE TERMINATION OR EXPIRATION OF THIS AGREEMENT.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4.4 Exceptions</w:t>
      </w:r>
    </w:p>
    <w:p>
      <w:pPr>
        <w:spacing w:after="120"/>
      </w:pPr>
      <w:r>
        <w:rPr>
          <w:rFonts w:ascii="Arial" w:cs="Arial" w:eastAsia="Arial" w:hAnsi="Arial"/>
          <w:sz w:val="22"/>
          <w:szCs w:val="22"/>
        </w:rPr>
        <w:t xml:space="preserve">The limitations set forth in this Section 4 shall not apply to: (a) Agency's indemnification obligations, if any, under a separate written agreement; (b) claims arising from Agency's gross negligence or willful misconduct; or (c) Agency's obligations under the Business Associate Agreement with respect to PHI breaches caused solely by Agency's acts or omissions.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5. INDEMNIFICATION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5.1 Client Indemnification of Agency</w:t>
      </w:r>
    </w:p>
    <w:p>
      <w:pPr>
        <w:spacing w:after="120"/>
      </w:pPr>
      <w:r>
        <w:rPr>
          <w:rFonts w:ascii="Arial" w:cs="Arial" w:eastAsia="Arial" w:hAnsi="Arial"/>
          <w:b/>
          <w:bCs/>
          <w:sz w:val="22"/>
          <w:szCs w:val="22"/>
        </w:rPr>
        <w:t xml:space="preserve">Client shall indemnify, defend, and hold harmless the Agency Released Parties from and against any and all third-party claims, demands, actions, damages, losses, liabilities, judgments, settlements, costs, and expenses (including reasonable attorneys' fees and court costs) arising out of or related to:</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Client's use of the Services, including claims by patients, callers, or other third parties.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Client's breach of this Agreement.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Client's violation of any applicable law, regulation, or industry standard.</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Client's failure to obtain proper consents from individuals for SMS messaging, call recording, or data collection.</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(e) Any inaccurate, incomplete, or misleading information provided by Client to Agency for use in the Services.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(f) Any clinical, medical, or healthcare-related decisions made by Client or its staff, regardless of any information provided by the Services.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(g) Claims arising from Client's own HIPAA obligations as a Covered Entity, except to the extent caused by Agency's breach of the Business Associate Agreement.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5.2 Indemnification Procedure</w:t>
      </w:r>
    </w:p>
    <w:p>
      <w:pPr>
        <w:spacing w:after="120"/>
      </w:pPr>
      <w:r>
        <w:rPr>
          <w:rFonts w:ascii="Arial" w:cs="Arial" w:eastAsia="Arial" w:hAnsi="Arial"/>
          <w:sz w:val="22"/>
          <w:szCs w:val="22"/>
        </w:rPr>
        <w:t xml:space="preserve">The indemnified Party shall: (a) provide prompt written notice of any claim; (b) grant the indemnifying Party sole control of the defense and settlement of the claim; and (c) provide reasonable cooperation and assistance in the defense. The indemnified Party may participate in the defense at its own expense.</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6. CLIENT REPRESENTATIONS AND WARRANTIES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Client represents and warrants that: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It has full power and authority to enter into this Agreement and to perform its obligations hereunder.</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It shall comply with all applicable federal, state, and local laws and regulations in connection with its use of the Services, including HIPAA, TCPA, and all applicable state healthcare and privacy laws.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It has obtained and shall maintain all necessary consents, authorizations, and permissions required for Agency to provide the Services, including but not limited to consent for call recording and SMS messaging.</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All information, content, and materials provided by Client to Agency for use in the Services are accurate, complete, and do not violate any third-party rights.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(e) It understands the inherent limitations of AI technology and accepts the risks associated with the use of AI voice agents in a healthcare setting.</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(f) It shall not rely on AI voice agents for clinical decision-making, medical advice, diagnosis, or treatment.</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7. TERM AND TERMINATION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7.1 Term</w:t>
      </w:r>
    </w:p>
    <w:p>
      <w:pPr>
        <w:spacing w:after="120"/>
      </w:pPr>
      <w:r>
        <w:rPr>
          <w:rFonts w:ascii="Arial" w:cs="Arial" w:eastAsia="Arial" w:hAnsi="Arial"/>
          <w:sz w:val="22"/>
          <w:szCs w:val="22"/>
        </w:rPr>
        <w:t xml:space="preserve">This Agreement shall commence on the Effective Date and shall remain in effect for the duration of the agency-client relationship between the Parties, unless earlier terminated in accordance with this Section 7.</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7.2 Termination</w:t>
      </w:r>
    </w:p>
    <w:p>
      <w:pPr>
        <w:spacing w:after="120"/>
      </w:pPr>
      <w:r>
        <w:rPr>
          <w:rFonts w:ascii="Arial" w:cs="Arial" w:eastAsia="Arial" w:hAnsi="Arial"/>
          <w:sz w:val="22"/>
          <w:szCs w:val="22"/>
        </w:rPr>
        <w:t xml:space="preserve">Either Party may terminate this Agreement upon thirty (30) days' prior written notice to the other Party. Auragentics may terminate this Agreement immediately upon written notice if Client: (a) materially breaches this Agreement and fails to cure such breach within fifteen (15) days of written notice; (b) becomes insolvent, files for bankruptcy, or makes an assignment for the benefit of creditors; or (c) engages in conduct that, in Agency's reasonable judgment, exposes Agency to material legal or regulatory risk.</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7.3 Survival</w:t>
      </w:r>
    </w:p>
    <w:p>
      <w:pPr>
        <w:spacing w:after="120"/>
      </w:pPr>
      <w:r>
        <w:rPr>
          <w:rFonts w:ascii="Arial" w:cs="Arial" w:eastAsia="Arial" w:hAnsi="Arial"/>
          <w:sz w:val="22"/>
          <w:szCs w:val="22"/>
        </w:rPr>
        <w:t xml:space="preserve">The following sections shall survive termination or expiration of this Agreement: Sections 3 (Release of Liability), 4 (Limitation of Liability), 5 (Indemnification), 8 (Confidentiality), 9 (Governing Law and Dispute Resolution), and 10 (General Provisions).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8. CONFIDENTIALITY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8.1 Confidential Information</w:t>
      </w:r>
    </w:p>
    <w:p>
      <w:pPr>
        <w:spacing w:after="120"/>
      </w:pPr>
      <w:r>
        <w:rPr>
          <w:rFonts w:ascii="Arial" w:cs="Arial" w:eastAsia="Arial" w:hAnsi="Arial"/>
          <w:sz w:val="22"/>
          <w:szCs w:val="22"/>
        </w:rPr>
        <w:t xml:space="preserve">Each Party acknowledges that it may receive confidential and proprietary information of the other Party in connection with this Agreement. Each Party agrees to hold such information in strict confidence, to use it only for the purposes of this Agreement, and not to disclose it to any third party without the prior written consent of the disclosing Party, except as required by law.</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8.2 Exclusions</w:t>
      </w:r>
    </w:p>
    <w:p>
      <w:pPr>
        <w:spacing w:after="120"/>
      </w:pPr>
      <w:r>
        <w:rPr>
          <w:rFonts w:ascii="Arial" w:cs="Arial" w:eastAsia="Arial" w:hAnsi="Arial"/>
          <w:sz w:val="22"/>
          <w:szCs w:val="22"/>
        </w:rPr>
        <w:t xml:space="preserve">Confidential Information does not include information that: (a) is or becomes publicly available through no fault of the receiving Party; (b) was known to the receiving Party prior to disclosure; (c) is independently developed without use of the disclosing Party's Confidential Information; or (d) is rightfully obtained from a third party without restriction.</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9. GOVERNING LAW AND DISPUTE RESOLUTION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9.1 Governing Law</w:t>
      </w:r>
    </w:p>
    <w:p>
      <w:pPr>
        <w:spacing w:after="120"/>
      </w:pPr>
      <w:r>
        <w:rPr>
          <w:rFonts w:ascii="Arial" w:cs="Arial" w:eastAsia="Arial" w:hAnsi="Arial"/>
          <w:sz w:val="22"/>
          <w:szCs w:val="22"/>
        </w:rPr>
        <w:t xml:space="preserve">This Agreement shall be governed by and construed in accordance with the laws of the State of Utah, without regard to its conflict of laws principles.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9.2 Dispute Resolution</w:t>
      </w:r>
    </w:p>
    <w:p>
      <w:pPr>
        <w:spacing w:after="120"/>
      </w:pPr>
      <w:r>
        <w:rPr>
          <w:rFonts w:ascii="Arial" w:cs="Arial" w:eastAsia="Arial" w:hAnsi="Arial"/>
          <w:sz w:val="22"/>
          <w:szCs w:val="22"/>
        </w:rPr>
        <w:t xml:space="preserve">Any dispute arising out of or relating to this Agreement shall first be submitted to good-faith mediation. If mediation is unsuccessful within thirty (30) days, the dispute shall be resolved by binding arbitration administered by the American Arbitration Association under its Commercial Arbitration Rules. The arbitration shall be conducted by a single arbitrator in Weber County, Utah. The arbitrator's decision shall be final and binding and may be entered as a judgment in any court of competent jurisdiction.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9.3 Attorneys' Fees</w:t>
      </w:r>
    </w:p>
    <w:p>
      <w:pPr>
        <w:spacing w:after="120"/>
      </w:pPr>
      <w:r>
        <w:rPr>
          <w:rFonts w:ascii="Arial" w:cs="Arial" w:eastAsia="Arial" w:hAnsi="Arial"/>
          <w:sz w:val="22"/>
          <w:szCs w:val="22"/>
        </w:rPr>
        <w:t xml:space="preserve">In any action or proceeding to enforce this Agreement, the prevailing Party shall be entitled to recover its reasonable attorneys' fees, costs, and expenses from the non-prevailing Party.</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10. GENERAL PROVISIONS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10.1 Entire Agreement</w:t>
      </w:r>
    </w:p>
    <w:p>
      <w:pPr>
        <w:spacing w:after="120"/>
      </w:pPr>
      <w:r>
        <w:rPr>
          <w:rFonts w:ascii="Arial" w:cs="Arial" w:eastAsia="Arial" w:hAnsi="Arial"/>
          <w:sz w:val="22"/>
          <w:szCs w:val="22"/>
        </w:rPr>
        <w:t xml:space="preserve">This Agreement, together with the Business Associate Agreement and any applicable service agreement between the Parties, constitutes the entire agreement between the Parties with respect to the subject matter hereof and supersedes all prior or contemporaneous negotiations, representations, and agreements.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10.2 Amendments</w:t>
      </w:r>
    </w:p>
    <w:p>
      <w:pPr>
        <w:spacing w:after="120"/>
      </w:pPr>
      <w:r>
        <w:rPr>
          <w:rFonts w:ascii="Arial" w:cs="Arial" w:eastAsia="Arial" w:hAnsi="Arial"/>
          <w:sz w:val="22"/>
          <w:szCs w:val="22"/>
        </w:rPr>
        <w:t xml:space="preserve">This Agreement may not be amended, modified, or supplemented except by a written instrument executed by both Parties.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10.3 Severability</w:t>
      </w:r>
    </w:p>
    <w:p>
      <w:pPr>
        <w:spacing w:after="120"/>
      </w:pPr>
      <w:r>
        <w:rPr>
          <w:rFonts w:ascii="Arial" w:cs="Arial" w:eastAsia="Arial" w:hAnsi="Arial"/>
          <w:sz w:val="22"/>
          <w:szCs w:val="22"/>
        </w:rPr>
        <w:t xml:space="preserve">If any provision of this Agreement is held to be invalid, illegal, or unenforceable, the remaining provisions shall remain in full force and effect.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10.4 Waiver</w:t>
      </w:r>
    </w:p>
    <w:p>
      <w:pPr>
        <w:spacing w:after="120"/>
      </w:pPr>
      <w:r>
        <w:rPr>
          <w:rFonts w:ascii="Arial" w:cs="Arial" w:eastAsia="Arial" w:hAnsi="Arial"/>
          <w:sz w:val="22"/>
          <w:szCs w:val="22"/>
        </w:rPr>
        <w:t xml:space="preserve">The failure of either Party to enforce any provision of this Agreement shall not constitute a waiver of such provision or the right to enforce it at a later time.</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10.5 Assignment</w:t>
      </w:r>
    </w:p>
    <w:p>
      <w:pPr>
        <w:spacing w:after="120"/>
      </w:pPr>
      <w:r>
        <w:rPr>
          <w:rFonts w:ascii="Arial" w:cs="Arial" w:eastAsia="Arial" w:hAnsi="Arial"/>
          <w:sz w:val="22"/>
          <w:szCs w:val="22"/>
        </w:rPr>
        <w:t xml:space="preserve">Client may not assign this Agreement without the prior written consent of Agency. Agency may assign this Agreement without restriction.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10.6 Notices</w:t>
      </w:r>
    </w:p>
    <w:p>
      <w:pPr>
        <w:spacing w:after="120"/>
      </w:pPr>
      <w:r>
        <w:rPr>
          <w:rFonts w:ascii="Arial" w:cs="Arial" w:eastAsia="Arial" w:hAnsi="Arial"/>
          <w:sz w:val="22"/>
          <w:szCs w:val="22"/>
        </w:rPr>
        <w:t xml:space="preserve">All notices under this Agreement shall be in writing and delivered to: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 Agency:</w:t>
      </w:r>
    </w:p>
    <w:p>
      <w:pPr>
        <w:spacing w:after="120"/>
      </w:pPr>
      <w:r>
        <w:rPr>
          <w:rFonts w:ascii="Arial" w:cs="Arial" w:eastAsia="Arial" w:hAnsi="Arial"/>
          <w:sz w:val="22"/>
          <w:szCs w:val="22"/>
        </w:rPr>
        <w:t xml:space="preserve">Auragentics LLC</w:t>
      </w:r>
    </w:p>
    <w:p>
      <w:pPr>
        <w:spacing w:after="120"/>
      </w:pPr>
      <w:r>
        <w:rPr>
          <w:rFonts w:ascii="Arial" w:cs="Arial" w:eastAsia="Arial" w:hAnsi="Arial"/>
          <w:sz w:val="22"/>
          <w:szCs w:val="22"/>
        </w:rPr>
        <w:t xml:space="preserve">Attn: Brian L. Randall, Owner</w:t>
      </w:r>
    </w:p>
    <w:p>
      <w:pPr>
        <w:spacing w:after="120"/>
      </w:pPr>
      <w:r>
        <w:rPr>
          <w:rFonts w:ascii="Arial" w:cs="Arial" w:eastAsia="Arial" w:hAnsi="Arial"/>
          <w:sz w:val="22"/>
          <w:szCs w:val="22"/>
        </w:rPr>
        <w:t xml:space="preserve">3533 N 2900 E</w:t>
      </w:r>
    </w:p>
    <w:p>
      <w:pPr>
        <w:spacing w:after="120"/>
      </w:pPr>
      <w:r>
        <w:rPr>
          <w:rFonts w:ascii="Arial" w:cs="Arial" w:eastAsia="Arial" w:hAnsi="Arial"/>
          <w:sz w:val="22"/>
          <w:szCs w:val="22"/>
        </w:rPr>
        <w:t xml:space="preserve">Eden, Utah 84310</w:t>
      </w:r>
    </w:p>
    <w:p>
      <w:pPr>
        <w:spacing w:after="120"/>
      </w:pPr>
      <w:r>
        <w:rPr>
          <w:rFonts w:ascii="Arial" w:cs="Arial" w:eastAsia="Arial" w:hAnsi="Arial"/>
          <w:sz w:val="22"/>
          <w:szCs w:val="22"/>
        </w:rPr>
        <w:t xml:space="preserve">Email: legal@auragentics.ai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 Client:</w:t>
      </w:r>
    </w:p>
    <w:p>
      <w:pPr>
        <w:spacing w:after="120"/>
      </w:pPr>
      <w:r>
        <w:rPr>
          <w:rFonts w:ascii="Arial" w:cs="Arial" w:eastAsia="Arial" w:hAnsi="Arial"/>
          <w:sz w:val="22"/>
          <w:szCs w:val="22"/>
        </w:rPr>
        <w:t xml:space="preserve">Tooele Valley Imaging LLC (dba First Choice Imaging)</w:t>
      </w:r>
    </w:p>
    <w:p>
      <w:pPr>
        <w:spacing w:after="120"/>
      </w:pPr>
      <w:r>
        <w:rPr>
          <w:rFonts w:ascii="Arial" w:cs="Arial" w:eastAsia="Arial" w:hAnsi="Arial"/>
          <w:sz w:val="22"/>
          <w:szCs w:val="22"/>
        </w:rPr>
        <w:t xml:space="preserve">Attn: David Carter, Owner/General Manager</w:t>
      </w:r>
    </w:p>
    <w:p>
      <w:pPr>
        <w:spacing w:after="120"/>
      </w:pPr>
      <w:r>
        <w:rPr>
          <w:rFonts w:ascii="Arial" w:cs="Arial" w:eastAsia="Arial" w:hAnsi="Arial"/>
          <w:sz w:val="22"/>
          <w:szCs w:val="22"/>
        </w:rPr>
        <w:t xml:space="preserve">2356 N 400 E #103</w:t>
      </w:r>
    </w:p>
    <w:p>
      <w:pPr>
        <w:spacing w:after="120"/>
      </w:pPr>
      <w:r>
        <w:rPr>
          <w:rFonts w:ascii="Arial" w:cs="Arial" w:eastAsia="Arial" w:hAnsi="Arial"/>
          <w:sz w:val="22"/>
          <w:szCs w:val="22"/>
        </w:rPr>
        <w:t xml:space="preserve">Tooele, Utah 84074</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10.7 Counterparts</w:t>
      </w:r>
    </w:p>
    <w:p>
      <w:pPr>
        <w:spacing w:after="120"/>
      </w:pPr>
      <w:r>
        <w:rPr>
          <w:rFonts w:ascii="Arial" w:cs="Arial" w:eastAsia="Arial" w:hAnsi="Arial"/>
          <w:sz w:val="22"/>
          <w:szCs w:val="22"/>
        </w:rPr>
        <w:t xml:space="preserve">This Agreement may be executed in counterparts, each of which shall be deemed an original, and all of which together shall constitute one and the same instrument. Electronic and digital signatures shall be deemed valid and binding.</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SIGNATURES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IN WITNESS WHEREOF,</w:t>
      </w:r>
      <w:r>
        <w:rPr>
          <w:rFonts w:ascii="Arial" w:cs="Arial" w:eastAsia="Arial" w:hAnsi="Arial"/>
          <w:sz w:val="22"/>
          <w:szCs w:val="22"/>
        </w:rPr>
        <w:t xml:space="preserve"> the Parties have executed this Liability Release and Limitation of Liability Agreement as of the Effective Date first written above.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AURAGENTICS LLC</w:t>
      </w:r>
    </w:p>
    <w:p>
      <w:pP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Signature: /sn1/ </w:t>
      </w:r>
      <w:r>
        <w:rPr>
          <w:rFonts w:ascii="Arial" w:cs="Arial" w:eastAsia="Arial" w:hAnsi="Arial"/>
          <w:sz w:val="22"/>
          <w:szCs w:val="22"/>
          <w:u w:val="single"/>
        </w:rPr>
        <w:t xml:space="preserve">                                        </w:t>
      </w: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Printed Name: /na1/ Brian L. Randall</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Title: /ti1/ Owner</w:t>
      </w:r>
    </w:p>
    <w:p>
      <w:pP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Date: /da1/ </w:t>
      </w:r>
      <w:r>
        <w:rPr>
          <w:rFonts w:ascii="Arial" w:cs="Arial" w:eastAsia="Arial" w:hAnsi="Arial"/>
          <w:sz w:val="22"/>
          <w:szCs w:val="22"/>
          <w:u w:val="single"/>
        </w:rPr>
        <w:t xml:space="preserve">                                        </w:t>
      </w: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TOOELE VALLEY IMAGING LLC (dba FIRST CHOICE IMAGING)</w:t>
      </w:r>
    </w:p>
    <w:p>
      <w:pP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Signature: /sn2/ </w:t>
      </w:r>
      <w:r>
        <w:rPr>
          <w:rFonts w:ascii="Arial" w:cs="Arial" w:eastAsia="Arial" w:hAnsi="Arial"/>
          <w:sz w:val="22"/>
          <w:szCs w:val="22"/>
          <w:u w:val="single"/>
        </w:rPr>
        <w:t xml:space="preserve">                                        </w:t>
      </w: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Printed Name: /na2/ David Carter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Title: /ti2/ Owner / General Manager</w:t>
      </w:r>
    </w:p>
    <w:p>
      <w:pP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Date: /da2/ </w:t>
      </w:r>
      <w:r>
        <w:rPr>
          <w:rFonts w:ascii="Arial" w:cs="Arial" w:eastAsia="Arial" w:hAnsi="Arial"/>
          <w:sz w:val="22"/>
          <w:szCs w:val="22"/>
          <w:u w:val="single"/>
        </w:rPr>
        <w:t xml:space="preserve">                                        </w:t>
      </w:r>
      <w:r>
        <w:rPr>
          <w:rFonts w:ascii="Arial" w:cs="Arial" w:eastAsia="Arial" w:hAnsi="Arial"/>
          <w:sz w:val="22"/>
          <w:szCs w:val="22"/>
        </w:rPr>
        <w:t xml:space="preserve"/>
      </w:r>
    </w:p>
    <w:p>
      <w:pPr>
        <w:spacing w:after="12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AURAGENTICS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Arial" w:cs="Arial" w:eastAsia="Arial" w:hAnsi="Arial"/>
      <w:b/>
      <w:bCs/>
      <w:sz w:val="32"/>
      <w:szCs w:val="32"/>
    </w:rPr>
  </w:style>
  <w:style w:type="paragraph" w:styleId="Heading2">
    <w:name w:val="Heading 2"/>
    <w:basedOn w:val="Normal"/>
    <w:next w:val="Normal"/>
    <w:qFormat/>
    <w:pPr>
      <w:spacing w:after="160" w:before="360"/>
    </w:pPr>
    <w:rPr>
      <w:rFonts w:ascii="Arial" w:cs="Arial" w:eastAsia="Arial" w:hAnsi="Arial"/>
      <w:b/>
      <w:bCs/>
      <w:sz w:val="28"/>
      <w:szCs w:val="28"/>
    </w:rPr>
  </w:style>
  <w:style w:type="paragraph" w:styleId="Heading3">
    <w:name w:val="Heading 3"/>
    <w:basedOn w:val="Normal"/>
    <w:next w:val="Normal"/>
    <w:qFormat/>
    <w:pPr>
      <w:spacing w:after="120" w:before="240"/>
    </w:pPr>
    <w:rPr>
      <w:rFonts w:ascii="Arial" w:cs="Arial" w:eastAsia="Arial" w:hAnsi="Arial"/>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2026-03-17T01:49:46.904Z</dcterms:created>
  <dcterms:modified xsi:type="dcterms:W3CDTF">2026-03-17T01:49:46.904Z</dcterms:modified>
</cp:coreProperties>
</file>

<file path=docProps/custom.xml><?xml version="1.0" encoding="utf-8"?>
<Properties xmlns="http://schemas.openxmlformats.org/officeDocument/2006/custom-properties" xmlns:vt="http://schemas.openxmlformats.org/officeDocument/2006/docPropsVTypes"/>
</file>