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3016884</wp:posOffset>
            </wp:positionH>
            <wp:positionV relativeFrom="paragraph">
              <wp:posOffset>0</wp:posOffset>
            </wp:positionV>
            <wp:extent cx="2714625" cy="1114425"/>
            <wp:effectExtent b="0" l="0" r="0" t="0"/>
            <wp:wrapSquare wrapText="bothSides" distB="0" distT="0" distL="114300" distR="114300"/>
            <wp:docPr id="13309347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666875" cy="1666875"/>
            <wp:effectExtent b="0" l="0" r="0" t="0"/>
            <wp:wrapSquare wrapText="bothSides" distB="0" distT="0" distL="114300" distR="114300"/>
            <wp:docPr id="13309347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Supapaedic Base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Rest Assured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Matrix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6vcc7ye8odzr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R4749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R5389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R6339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R6929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R8719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R3489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R3969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R4799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R4869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R6199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R5129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R5829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R6849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R7489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j2qc3yikiw1u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R9419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R3769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R4289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R5189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R5259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R6699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*Please use this link for guideline for creating the page*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https://www.bedsonline.co.za/product/rest-assured-supapaedic-queen/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Rest Assured Link 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https://restassured.co.za/our-ranges/matrix/supapaedic/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28A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stassured.co.za/our-ranges/matrix/supapaedic/" TargetMode="External"/><Relationship Id="rId9" Type="http://schemas.openxmlformats.org/officeDocument/2006/relationships/hyperlink" Target="https://www.bedsonline.co.za/product/rest-assured-supapaedic-que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dzXDYmwgeuD/mZVr7brbh3HKjw==">CgMxLjAyDmguNnZjYzd5ZThvZHpyMg5oLmoycWMzeWlraXcxdTgAciExTTFQMXNZU3ZmVlA3Rjl3SDJuQlVUd1RjMDRGMGlKNEk=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