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1800" w:after="200"/>
      </w:pPr>
    </w:p>
    <w:p>
      <w:pPr>
        <w:jc w:val="center"/>
        <w:spacing w:before="0" w:after="120"/>
      </w:pPr>
      <w:r>
        <w:rPr>
          <w:rFonts w:ascii="Times New Roman" w:hAnsi="Times New Roman"/>
          <w:b/>
          <w:color w:val="000000"/>
          <w:sz w:val="28"/>
        </w:rPr>
        <w:t>Informe TÃ©cnico: Arquitectura de ConexiÃ³n entre Microsoft SQL Server y Java en el MÃ³dulo de Inicio de SesiÃ³n</w:t>
      </w:r>
    </w:p>
    <w:p>
      <w:pPr>
        <w:jc w:val="center"/>
        <w:spacing w:before="0" w:after="360"/>
      </w:pPr>
      <w:r>
        <w:rPr>
          <w:rFonts w:ascii="Times New Roman" w:hAnsi="Times New Roman"/>
          <w:i/>
          <w:color w:val="000000"/>
          <w:sz w:val="24"/>
        </w:rPr>
        <w:t>AnÃ¡lisis de Conectividad mediante Java Database Connectivity, Seguridad contra InyecciÃ³n SQL y Trazabilidad de AuditorÃ­a</w:t>
      </w:r>
    </w:p>
    <w:p>
      <w:pPr>
        <w:jc w:val="center"/>
        <w:spacing w:before="40" w:after="60" w:line="360" w:lineRule="auto"/>
      </w:pPr>
      <w:r>
        <w:rPr>
          <w:rFonts w:ascii="Times New Roman" w:hAnsi="Times New Roman"/>
          <w:color w:val="000000"/>
          <w:sz w:val="24"/>
        </w:rPr>
        <w:t>Alessandro</w:t>
      </w:r>
    </w:p>
    <w:p>
      <w:pPr>
        <w:jc w:val="center"/>
        <w:spacing w:before="40" w:after="60" w:line="360" w:lineRule="auto"/>
      </w:pPr>
      <w:r>
        <w:rPr>
          <w:rFonts w:ascii="Times New Roman" w:hAnsi="Times New Roman"/>
          <w:color w:val="000000"/>
          <w:sz w:val="24"/>
        </w:rPr>
        <w:t>Escuela Profesional de IngenierÃ­a de Sistemas y ComputaciÃ³n</w:t>
      </w:r>
    </w:p>
    <w:p>
      <w:pPr>
        <w:jc w:val="center"/>
        <w:spacing w:before="40" w:after="60" w:line="360" w:lineRule="auto"/>
      </w:pPr>
      <w:r>
        <w:rPr>
          <w:rFonts w:ascii="Times New Roman" w:hAnsi="Times New Roman"/>
          <w:color w:val="000000"/>
          <w:sz w:val="24"/>
        </w:rPr>
        <w:t>Facultad de IngenierÃ­a, Universidad Peruana Los Andes</w:t>
      </w:r>
    </w:p>
    <w:p>
      <w:pPr>
        <w:jc w:val="center"/>
        <w:spacing w:before="40" w:after="60" w:line="360" w:lineRule="auto"/>
      </w:pPr>
      <w:r>
        <w:rPr>
          <w:rFonts w:ascii="Times New Roman" w:hAnsi="Times New Roman"/>
          <w:color w:val="000000"/>
          <w:sz w:val="24"/>
        </w:rPr>
        <w:t>Desarrollo de Aplicaciones I</w:t>
      </w:r>
    </w:p>
    <w:p>
      <w:pPr>
        <w:jc w:val="center"/>
        <w:spacing w:before="40" w:after="60" w:line="360" w:lineRule="auto"/>
      </w:pPr>
      <w:r>
        <w:rPr>
          <w:rFonts w:ascii="Times New Roman" w:hAnsi="Times New Roman"/>
          <w:color w:val="000000"/>
          <w:sz w:val="24"/>
        </w:rPr>
        <w:t>Mg. Ing. RaÃºl FernÃ¡ndez Bejarano</w:t>
      </w:r>
    </w:p>
    <w:p>
      <w:pPr>
        <w:jc w:val="center"/>
        <w:spacing w:before="40" w:after="60" w:line="360" w:lineRule="auto"/>
      </w:pPr>
      <w:r>
        <w:rPr>
          <w:rFonts w:ascii="Times New Roman" w:hAnsi="Times New Roman"/>
          <w:color w:val="000000"/>
          <w:sz w:val="24"/>
        </w:rPr>
        <w:t>Octubre de 2026</w:t>
      </w:r>
    </w:p>
    <w:p>
      <w:pPr>
        <w:spacing w:before="0" w:after="0"/>
      </w:pPr>
      <w:r>
        <w:br w:type="page"/>
      </w:r>
    </w:p>
    <w:p>
      <w:pPr>
        <w:jc w:val="center"/>
        <w:spacing w:before="420" w:after="180"/>
      </w:pPr>
      <w:r>
        <w:rPr>
          <w:rFonts w:ascii="Times New Roman" w:hAnsi="Times New Roman"/>
          <w:b/>
          <w:color w:val="000000"/>
          <w:sz w:val="26"/>
        </w:rPr>
        <w:t>IntroducciÃ³n y FundamentaciÃ³n de la Conectividad</w:t>
      </w:r>
    </w:p>
    <w:p>
      <w:pPr>
        <w:spacing w:before="60" w:after="120" w:line="360" w:lineRule="auto"/>
      </w:pPr>
      <w:r>
        <w:rPr>
          <w:rFonts w:ascii="Times New Roman" w:hAnsi="Times New Roman"/>
          <w:color w:val="000000"/>
          <w:sz w:val="24"/>
        </w:rPr>
        <w:t xml:space="preserve">El acceso seguro a los sistemas de informaciÃ³n contemporÃ¡neos exige una separaciÃ³n nÃ­tida entre la capa de presentaciÃ³n que interactÃºa con el usuario y el motor de almacenamiento donde reposan los datos confidenciales. En la plataforma tecnolÃ³gica comercial NEXORA, la ventana de ingreso cumple el rol primordial de autenticar a los operadores y clientes, determinando de manera autÃ³noma los privilegios correspondientes a cada perfil sin requerir selecciÃ³n manual.</w:t>
      </w:r>
    </w:p>
    <w:p>
      <w:pPr>
        <w:spacing w:before="60" w:after="120" w:line="360" w:lineRule="auto"/>
      </w:pPr>
      <w:r>
        <w:rPr>
          <w:rFonts w:ascii="Times New Roman" w:hAnsi="Times New Roman"/>
          <w:color w:val="000000"/>
          <w:sz w:val="24"/>
        </w:rPr>
        <w:t xml:space="preserve">La vinculaciÃ³n entre la mÃ¡quina virtual de Java y el motor de bases de datos Microsoft SQL Server se realiza a travÃ©s de la interfaz Java Database Connectivity, empleando el controlador oficial de Microsoft. Este mecanismo permite enviar instrucciones estructuradas mediante el protocolo de red TCP sobre el puerto estandarizado 1433, asegurando una comunicaciÃ³n cifrada y de alto rendimiento.</w:t>
      </w:r>
    </w:p>
    <w:p>
      <w:pPr>
        <w:spacing w:before="280" w:after="40"/>
      </w:pPr>
      <w:r>
        <w:rPr>
          <w:rFonts w:ascii="Times New Roman" w:hAnsi="Times New Roman"/>
          <w:b/>
          <w:color w:val="000000"/>
          <w:sz w:val="24"/>
        </w:rPr>
        <w:t>Figura 1</w:t>
      </w:r>
    </w:p>
    <w:p>
      <w:pPr>
        <w:spacing w:before="0" w:after="140"/>
      </w:pPr>
      <w:r>
        <w:rPr>
          <w:rFonts w:ascii="Times New Roman" w:hAnsi="Times New Roman"/>
          <w:i/>
          <w:color w:val="000000"/>
          <w:sz w:val="24"/>
        </w:rPr>
        <w:t>Flujo de ComunicaciÃ³n Multicapa para la AutenticaciÃ³n de Usuarios y DetecciÃ³n AutomÃ¡tica de Roles</w:t>
      </w:r>
    </w:p>
    <w:p>
      <w:pPr>
        <w:jc w:val="center"/>
        <w:spacing w:before="60" w:after="80"/>
      </w:pPr>
      <w:r>
        <w:drawing>
          <wp:inline distT="0" distB="0" distL="0" distR="0">
            <wp:extent cx="5700000" cy="2117000"/>
            <wp:docPr id="1" name="ArquitecturaConexionLog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rquitecturaConexionLogin"/>
                    <pic:cNvPicPr/>
                  </pic:nvPicPr>
                  <pic:blipFill>
                    <a:blip r:embed="rIdImgArch"/>
                    <a:stretch>
                      <a:fillRect/>
                    </a:stretch>
                  </pic:blipFill>
                  <pic:spPr>
                    <a:xfrm>
                      <a:off x="0" y="0"/>
                      <a:ext cx="5700000" cy="211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40"/>
      </w:pPr>
      <w:r>
        <w:rPr>
          <w:rFonts w:ascii="Times New Roman" w:hAnsi="Times New Roman"/>
          <w:i/>
          <w:color w:val="000000"/>
          <w:sz w:val="20"/>
        </w:rPr>
        <w:t>Nota. </w:t>
      </w:r>
      <w:r>
        <w:rPr>
          <w:rFonts w:ascii="Times New Roman" w:hAnsi="Times New Roman"/>
          <w:color w:val="000000"/>
          <w:sz w:val="20"/>
        </w:rPr>
        <w:t>InteracciÃ³n desde la vista de ingreso hasta el almacenamiento persistente en SQL Server con resoluciÃ³n autÃ³noma del perfil.</w:t>
      </w:r>
    </w:p>
    <w:p>
      <w:pPr>
        <w:jc w:val="center"/>
        <w:spacing w:before="420" w:after="180"/>
      </w:pPr>
      <w:r>
        <w:rPr>
          <w:rFonts w:ascii="Times New Roman" w:hAnsi="Times New Roman"/>
          <w:b/>
          <w:color w:val="000000"/>
          <w:sz w:val="26"/>
        </w:rPr>
        <w:t>EspecificaciÃ³n de la Cadena de ConexiÃ³n y ConfiguraciÃ³n de Red</w:t>
      </w:r>
    </w:p>
    <w:p>
      <w:pPr>
        <w:spacing w:before="60" w:after="120" w:line="360" w:lineRule="auto"/>
      </w:pPr>
      <w:r>
        <w:rPr>
          <w:rFonts w:ascii="Times New Roman" w:hAnsi="Times New Roman"/>
          <w:color w:val="000000"/>
          <w:sz w:val="24"/>
        </w:rPr>
        <w:t xml:space="preserve">La comunicaciÃ³n fÃ­sica depende de una cadena de conexiÃ³n unificada que define el destino de red, el nombre de la base de datos, el canal seguro y los parÃ¡metros de tolerancia a fallos. La instrucciÃ³n establecida en la clase ConexionBD.java responde a la siguiente estructura formal:</w:t>
      </w:r>
    </w:p>
    <w:p>
      <w:pPr>
        <w:ind w:left="360" w:right="200"/>
        <w:spacing w:before="0" w:after="20"/>
      </w:pPr>
      <w:r>
        <w:rPr>
          <w:rFonts w:ascii="Consolas" w:hAnsi="Consolas"/>
          <w:color w:val="000000"/>
          <w:sz w:val="19"/>
        </w:rPr>
        <w:t xml:space="preserve">jdbc:sqlserver://localhost:1433;databaseName=BD_NEXORA;encrypt=true;trustServerCertificate=true;loginTimeout=2;</w:t>
      </w:r>
    </w:p>
    <w:p>
      <w:pPr>
        <w:ind w:left="440"/>
        <w:spacing w:before="40" w:after="80" w:line="340" w:lineRule="auto"/>
      </w:pPr>
      <w:r>
        <w:rPr>
          <w:rFonts w:ascii="Times New Roman" w:hAnsi="Times New Roman"/>
          <w:b/>
          <w:color w:val="000000"/>
          <w:sz w:val="24"/>
        </w:rPr>
        <w:t xml:space="preserve">• Controlador Oficial: </w:t>
      </w:r>
      <w:r>
        <w:rPr>
          <w:rFonts w:ascii="Times New Roman" w:hAnsi="Times New Roman"/>
          <w:color w:val="000000"/>
          <w:sz w:val="24"/>
        </w:rPr>
        <w:t xml:space="preserve">Se hace uso de la clase com.microsoft.sqlserver.jdbc.SQLServerDriver provista por la biblioteca mssql-jdbc en su versiÃ³n doce.</w:t>
      </w:r>
    </w:p>
    <w:p>
      <w:pPr>
        <w:ind w:left="440"/>
        <w:spacing w:before="40" w:after="80" w:line="340" w:lineRule="auto"/>
      </w:pPr>
      <w:r>
        <w:rPr>
          <w:rFonts w:ascii="Times New Roman" w:hAnsi="Times New Roman"/>
          <w:b/>
          <w:color w:val="000000"/>
          <w:sz w:val="24"/>
        </w:rPr>
        <w:t xml:space="preserve">• Destino y Puerto de Red: </w:t>
      </w:r>
      <w:r>
        <w:rPr>
          <w:rFonts w:ascii="Times New Roman" w:hAnsi="Times New Roman"/>
          <w:color w:val="000000"/>
          <w:sz w:val="24"/>
        </w:rPr>
        <w:t xml:space="preserve">La direcciÃ³n localhost y el puerto 1433 dirigen el trÃ¡fico al motor relacional local o hacia la nube en Azure.</w:t>
      </w:r>
    </w:p>
    <w:p>
      <w:pPr>
        <w:ind w:left="440"/>
        <w:spacing w:before="40" w:after="80" w:line="340" w:lineRule="auto"/>
      </w:pPr>
      <w:r>
        <w:rPr>
          <w:rFonts w:ascii="Times New Roman" w:hAnsi="Times New Roman"/>
          <w:b/>
          <w:color w:val="000000"/>
          <w:sz w:val="24"/>
        </w:rPr>
        <w:t xml:space="preserve">• Cifrado del Canal: </w:t>
      </w:r>
      <w:r>
        <w:rPr>
          <w:rFonts w:ascii="Times New Roman" w:hAnsi="Times New Roman"/>
          <w:color w:val="000000"/>
          <w:sz w:val="24"/>
        </w:rPr>
        <w:t xml:space="preserve">Los parÃ¡metros encrypt y trustServerCertificate garantizan que las credenciales no viajen en texto plano por la red.</w:t>
      </w:r>
    </w:p>
    <w:p>
      <w:pPr>
        <w:ind w:left="440"/>
        <w:spacing w:before="40" w:after="80" w:line="340" w:lineRule="auto"/>
      </w:pPr>
      <w:r>
        <w:rPr>
          <w:rFonts w:ascii="Times New Roman" w:hAnsi="Times New Roman"/>
          <w:b/>
          <w:color w:val="000000"/>
          <w:sz w:val="24"/>
        </w:rPr>
        <w:t xml:space="preserve">• Tiempo LÃ­mite de Espera: </w:t>
      </w:r>
      <w:r>
        <w:rPr>
          <w:rFonts w:ascii="Times New Roman" w:hAnsi="Times New Roman"/>
          <w:color w:val="000000"/>
          <w:sz w:val="24"/>
        </w:rPr>
        <w:t xml:space="preserve">La propiedad loginTimeout configurada en dos segundos previene bloqueos indefinidos en el servidor web si la base de datos estuviera apagada.</w:t>
      </w:r>
    </w:p>
    <w:p>
      <w:pPr>
        <w:jc w:val="center"/>
        <w:spacing w:before="420" w:after="180"/>
      </w:pPr>
      <w:r>
        <w:rPr>
          <w:rFonts w:ascii="Times New Roman" w:hAnsi="Times New Roman"/>
          <w:b/>
          <w:color w:val="000000"/>
          <w:sz w:val="26"/>
        </w:rPr>
        <w:t>Estructura de Base de Datos Vinculada a la Seguridad</w:t>
      </w:r>
    </w:p>
    <w:p>
      <w:pPr>
        <w:spacing w:before="60" w:after="120" w:line="360" w:lineRule="auto"/>
      </w:pPr>
      <w:r>
        <w:rPr>
          <w:rFonts w:ascii="Times New Roman" w:hAnsi="Times New Roman"/>
          <w:color w:val="000000"/>
          <w:sz w:val="24"/>
        </w:rPr>
        <w:t xml:space="preserve">El esquema de seguridad en la base de datos BD_NEXORA se sustenta en tres tablas relacionales perfectamente coordinadas para evitar duplicidades y mantener la trazabilidad de cada evento.</w:t>
      </w:r>
    </w:p>
    <w:p>
      <w:pPr>
        <w:spacing w:before="280" w:after="40"/>
      </w:pPr>
      <w:r>
        <w:rPr>
          <w:rFonts w:ascii="Times New Roman" w:hAnsi="Times New Roman"/>
          <w:b/>
          <w:color w:val="000000"/>
          <w:sz w:val="24"/>
        </w:rPr>
        <w:t>Tabla 1</w:t>
      </w:r>
    </w:p>
    <w:p>
      <w:pPr>
        <w:spacing w:before="0" w:after="120"/>
      </w:pPr>
      <w:r>
        <w:rPr>
          <w:rFonts w:ascii="Times New Roman" w:hAnsi="Times New Roman"/>
          <w:i/>
          <w:color w:val="000000"/>
          <w:sz w:val="24"/>
        </w:rPr>
        <w:t>Tablas del Esquema de Seguridad y Control de Acceso</w:t>
      </w:r>
    </w:p>
    <w:tbl>
      <w:tblPr>
        <w:tblW w:w="5000" w:type="pct"/>
        <w:tblBorders>
          <w:top w:val="single" w:sz="10" w:space="0" w:color="000000"/>
          <w:bottom w:val="single" w:sz="10" w:space="0" w:color="000000"/>
          <w:left w:val="none"/>
          <w:right w:val="none"/>
          <w:insideH w:val="none"/>
          <w:insideV w:val="none"/>
        </w:tblBorders>
      </w:tblPr>
      <w:tr>
        <w:trPr>
          <w:tblHeader/>
        </w:trPr>
        <w:tc>
          <w:tcPr>
            <w:tcBorders>
              <w:bottom w:val="single" w:sz="8" w:space="0" w:color="000000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Entidad FÃ­sica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Campos Principales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Responsabilidad en el Proceso de Ingreso</w:t>
            </w:r>
          </w:p>
        </w:tc>
      </w:tr>
      <w:tr>
        <w:tc>
          <w:p>
            <w:pPr>
              <w:spacing w:before="60" w:after="60"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dbo.rol</w:t>
            </w:r>
          </w:p>
        </w:tc>
        <w:tc>
          <w:p>
            <w:pPr>
              <w:spacing w:before="60" w:after="60"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Identificador de rol, nombre, descripciÃ³n y nivel de acceso</w:t>
            </w:r>
          </w:p>
        </w:tc>
        <w:tc>
          <w:p>
            <w:pPr>
              <w:spacing w:before="60" w:after="60"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Define los perfiles de Administrador, AlmacÃ©n, Cliente y Consulta</w:t>
            </w:r>
          </w:p>
        </w:tc>
      </w:tr>
      <w:tr>
        <w:tc>
          <w:p>
            <w:pPr>
              <w:spacing w:before="60" w:after="60"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dbo.usuario</w:t>
            </w:r>
          </w:p>
        </w:tc>
        <w:tc>
          <w:p>
            <w:pPr>
              <w:spacing w:before="60" w:after="60"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Identificador, nombre de cuenta, contraseÃ±a, nombre completo, correo y estado activo</w:t>
            </w:r>
          </w:p>
        </w:tc>
        <w:tc>
          <w:p>
            <w:pPr>
              <w:spacing w:before="60" w:after="60"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Valida las credenciales ingresadas en el formulario web</w:t>
            </w:r>
          </w:p>
        </w:tc>
      </w:tr>
      <w:tr>
        <w:tc>
          <w:p>
            <w:pPr>
              <w:spacing w:before="60" w:after="60"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dbo.sesion_acceso</w:t>
            </w:r>
          </w:p>
        </w:tc>
        <w:tc>
          <w:p>
            <w:pPr>
              <w:spacing w:before="60" w:after="60"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Identificador de sesiÃ³n, usuario vinculado, fecha de ingreso, direcciÃ³n de red y Ã©xito</w:t>
            </w:r>
          </w:p>
        </w:tc>
        <w:tc>
          <w:p>
            <w:pPr>
              <w:spacing w:before="60" w:after="60"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Guarda el registro de auditorÃ­a de cada intento de conexiÃ³n</w:t>
            </w:r>
          </w:p>
        </w:tc>
      </w:tr>
    </w:tbl>
    <w:p>
      <w:pPr>
        <w:spacing w:before="60" w:after="220"/>
      </w:pPr>
      <w:r>
        <w:rPr>
          <w:rFonts w:ascii="Times New Roman" w:hAnsi="Times New Roman"/>
          <w:i/>
          <w:color w:val="000000"/>
          <w:sz w:val="20"/>
        </w:rPr>
        <w:t>Nota. </w:t>
      </w:r>
      <w:r>
        <w:rPr>
          <w:rFonts w:ascii="Times New Roman" w:hAnsi="Times New Roman"/>
          <w:color w:val="000000"/>
          <w:sz w:val="20"/>
        </w:rPr>
        <w:t>Tablas relacionales que intervienen en la autenticaciÃ³n del sistema NEXORA.</w:t>
      </w:r>
    </w:p>
    <w:p>
      <w:pPr>
        <w:jc w:val="center"/>
        <w:spacing w:before="420" w:after="180"/>
      </w:pPr>
      <w:r>
        <w:rPr>
          <w:rFonts w:ascii="Times New Roman" w:hAnsi="Times New Roman"/>
          <w:b/>
          <w:color w:val="000000"/>
          <w:sz w:val="26"/>
        </w:rPr>
        <w:t>Recorrido Paso a Paso del Proceso de AutenticaciÃ³n</w:t>
      </w:r>
    </w:p>
    <w:p>
      <w:pPr>
        <w:ind w:left="440"/>
        <w:spacing w:before="40" w:after="80" w:line="340" w:lineRule="auto"/>
      </w:pPr>
      <w:r>
        <w:rPr>
          <w:rFonts w:ascii="Times New Roman" w:hAnsi="Times New Roman"/>
          <w:b/>
          <w:color w:val="000000"/>
          <w:sz w:val="24"/>
        </w:rPr>
        <w:t xml:space="preserve">• Primer paso, captura en la vista: </w:t>
      </w:r>
      <w:r>
        <w:rPr>
          <w:rFonts w:ascii="Times New Roman" w:hAnsi="Times New Roman"/>
          <w:color w:val="000000"/>
          <w:sz w:val="24"/>
        </w:rPr>
        <w:t xml:space="preserve">El usuario ingresa Ãºnicamente su nombre de cuenta y contraseÃ±a en el formulario web del archivo login.jsp, prescindiendo de selectores manuales de rol y transmitiendo los datos mediante el mÃ©todo seguro POST.</w:t>
      </w:r>
    </w:p>
    <w:p>
      <w:pPr>
        <w:ind w:left="440"/>
        <w:spacing w:before="40" w:after="80" w:line="340" w:lineRule="auto"/>
      </w:pPr>
      <w:r>
        <w:rPr>
          <w:rFonts w:ascii="Times New Roman" w:hAnsi="Times New Roman"/>
          <w:b/>
          <w:color w:val="000000"/>
          <w:sz w:val="24"/>
        </w:rPr>
        <w:t xml:space="preserve">• Segundo paso, recepciÃ³n en el controlador: </w:t>
      </w:r>
      <w:r>
        <w:rPr>
          <w:rFonts w:ascii="Times New Roman" w:hAnsi="Times New Roman"/>
          <w:color w:val="000000"/>
          <w:sz w:val="24"/>
        </w:rPr>
        <w:t xml:space="preserve">El servlet LoginServlet recibe los datos y captura la direcciÃ³n de red remota mediante la instrucciÃ³n req.getRemoteAddr para fines de auditorÃ­a.</w:t>
      </w:r>
    </w:p>
    <w:p>
      <w:pPr>
        <w:ind w:left="440"/>
        <w:spacing w:before="40" w:after="80" w:line="340" w:lineRule="auto"/>
      </w:pPr>
      <w:r>
        <w:rPr>
          <w:rFonts w:ascii="Times New Roman" w:hAnsi="Times New Roman"/>
          <w:b/>
          <w:color w:val="000000"/>
          <w:sz w:val="24"/>
        </w:rPr>
        <w:t xml:space="preserve">• Tercer paso, apertura del canal de datos: </w:t>
      </w:r>
      <w:r>
        <w:rPr>
          <w:rFonts w:ascii="Times New Roman" w:hAnsi="Times New Roman"/>
          <w:color w:val="000000"/>
          <w:sz w:val="24"/>
        </w:rPr>
        <w:t xml:space="preserve">La clase utilitaria ConexionBD proporciona una conexiÃ³n activa mediante DriverManager.getConnection hacia Microsoft SQL Server.</w:t>
      </w:r>
    </w:p>
    <w:p>
      <w:pPr>
        <w:ind w:left="440"/>
        <w:spacing w:before="40" w:after="80" w:line="340" w:lineRule="auto"/>
      </w:pPr>
      <w:r>
        <w:rPr>
          <w:rFonts w:ascii="Times New Roman" w:hAnsi="Times New Roman"/>
          <w:b/>
          <w:color w:val="000000"/>
          <w:sz w:val="24"/>
        </w:rPr>
        <w:t xml:space="preserve">• Cuarto paso, consulta parametrizada y resoluciÃ³n de rol: </w:t>
      </w:r>
      <w:r>
        <w:rPr>
          <w:rFonts w:ascii="Times New Roman" w:hAnsi="Times New Roman"/>
          <w:color w:val="000000"/>
          <w:sz w:val="24"/>
        </w:rPr>
        <w:t xml:space="preserve">El servicio UsuarioService ejecuta una consulta estructurada uniendo las tablas dbo.usuario y dbo.rol, verificando que la cuenta estÃ© activa, validando la clave y recuperando dinÃ¡micamente el perfil del usuario.</w:t>
      </w:r>
    </w:p>
    <w:p>
      <w:pPr>
        <w:ind w:left="440"/>
        <w:spacing w:before="40" w:after="80" w:line="340" w:lineRule="auto"/>
      </w:pPr>
      <w:r>
        <w:rPr>
          <w:rFonts w:ascii="Times New Roman" w:hAnsi="Times New Roman"/>
          <w:b/>
          <w:color w:val="000000"/>
          <w:sz w:val="24"/>
        </w:rPr>
        <w:t xml:space="preserve">• Quinto paso, registro de trazabilidad: </w:t>
      </w:r>
      <w:r>
        <w:rPr>
          <w:rFonts w:ascii="Times New Roman" w:hAnsi="Times New Roman"/>
          <w:color w:val="000000"/>
          <w:sz w:val="24"/>
        </w:rPr>
        <w:t xml:space="preserve">Inmediatamente despuÃ©s de validar la identidad, se inserta una fila en la tabla dbo.sesion_acceso registrando la marca temporal del servidor y la direcciÃ³n de red del equipo solicitante.</w:t>
      </w:r>
    </w:p>
    <w:p>
      <w:pPr>
        <w:ind w:left="440"/>
        <w:spacing w:before="40" w:after="80" w:line="340" w:lineRule="auto"/>
      </w:pPr>
      <w:r>
        <w:rPr>
          <w:rFonts w:ascii="Times New Roman" w:hAnsi="Times New Roman"/>
          <w:b/>
          <w:color w:val="000000"/>
          <w:sz w:val="24"/>
        </w:rPr>
        <w:t xml:space="preserve">• Sexto paso, establecimiento de sesiÃ³n y redirecciÃ³n adaptativa: </w:t>
      </w:r>
      <w:r>
        <w:rPr>
          <w:rFonts w:ascii="Times New Roman" w:hAnsi="Times New Roman"/>
          <w:color w:val="000000"/>
          <w:sz w:val="24"/>
        </w:rPr>
        <w:t xml:space="preserve">El controlador invalida cualquier identificador de sesiÃ³n previo para prevenir la fijaciÃ³n de sesiÃ³n, crea una nueva sesiÃ³n segura y redirige al panel correspondiente: tienda tecnolÃ³gica para el cliente o panel de control operativo para el administrador y almacÃ©n.</w:t>
      </w:r>
    </w:p>
    <w:p>
      <w:pPr>
        <w:jc w:val="center"/>
        <w:spacing w:before="420" w:after="180"/>
      </w:pPr>
      <w:r>
        <w:rPr>
          <w:rFonts w:ascii="Times New Roman" w:hAnsi="Times New Roman"/>
          <w:b/>
          <w:color w:val="000000"/>
          <w:sz w:val="26"/>
        </w:rPr>
        <w:t>Estrategias de Seguridad y Resiliencia Aplicadas</w:t>
      </w:r>
    </w:p>
    <w:p>
      <w:pPr>
        <w:spacing w:before="60" w:after="120" w:line="360" w:lineRule="auto"/>
      </w:pPr>
      <w:r>
        <w:rPr>
          <w:rFonts w:ascii="Times New Roman" w:hAnsi="Times New Roman"/>
          <w:color w:val="000000"/>
          <w:sz w:val="24"/>
        </w:rPr>
        <w:t xml:space="preserve">Para asegurar que la soluciÃ³n satisfaga estÃ¡ndares de calidad en software corporativo, se aplicaron las siguientes medidas tÃ©cnicas:</w:t>
      </w:r>
    </w:p>
    <w:p>
      <w:pPr>
        <w:ind w:left="440"/>
        <w:spacing w:before="40" w:after="80" w:line="340" w:lineRule="auto"/>
      </w:pPr>
      <w:r>
        <w:rPr>
          <w:rFonts w:ascii="Times New Roman" w:hAnsi="Times New Roman"/>
          <w:b/>
          <w:color w:val="000000"/>
          <w:sz w:val="24"/>
        </w:rPr>
        <w:t xml:space="preserve">• Inmunidad ante InyecciÃ³n SQL: </w:t>
      </w:r>
      <w:r>
        <w:rPr>
          <w:rFonts w:ascii="Times New Roman" w:hAnsi="Times New Roman"/>
          <w:color w:val="000000"/>
          <w:sz w:val="24"/>
        </w:rPr>
        <w:t xml:space="preserve">Se prohÃ­be terminantemente concatenar variables en las cadenas de consulta. Se utilizan exclusivamente sentencias preparadas con parÃ¡metros tipados que neutralizan cualquier intento de manipulaciÃ³n sintÃ¡ctica.</w:t>
      </w:r>
    </w:p>
    <w:p>
      <w:pPr>
        <w:ind w:left="440"/>
        <w:spacing w:before="40" w:after="80" w:line="340" w:lineRule="auto"/>
      </w:pPr>
      <w:r>
        <w:rPr>
          <w:rFonts w:ascii="Times New Roman" w:hAnsi="Times New Roman"/>
          <w:b/>
          <w:color w:val="000000"/>
          <w:sz w:val="24"/>
        </w:rPr>
        <w:t xml:space="preserve">• GestiÃ³n Concurrente de Recursos: </w:t>
      </w:r>
      <w:r>
        <w:rPr>
          <w:rFonts w:ascii="Times New Roman" w:hAnsi="Times New Roman"/>
          <w:color w:val="000000"/>
          <w:sz w:val="24"/>
        </w:rPr>
        <w:t xml:space="preserve">Todas las conexiones y cursores se gestionan bajo bloques con cierre automÃ¡tico para liberar sockets y evitar fugas de memoria en el servidor.</w:t>
      </w:r>
    </w:p>
    <w:p>
      <w:pPr>
        <w:ind w:left="440"/>
        <w:spacing w:before="40" w:after="80" w:line="340" w:lineRule="auto"/>
      </w:pPr>
      <w:r>
        <w:rPr>
          <w:rFonts w:ascii="Times New Roman" w:hAnsi="Times New Roman"/>
          <w:b/>
          <w:color w:val="000000"/>
          <w:sz w:val="24"/>
        </w:rPr>
        <w:t xml:space="preserve">• Mecanismo de Resiliencia y Continuidad: </w:t>
      </w:r>
      <w:r>
        <w:rPr>
          <w:rFonts w:ascii="Times New Roman" w:hAnsi="Times New Roman"/>
          <w:color w:val="000000"/>
          <w:sz w:val="24"/>
        </w:rPr>
        <w:t xml:space="preserve">Si la base de datos externa no se encuentra en lÃ­nea, el sistema conmuta de forma transparente a una colecciÃ³n en memoria, asegurando que la evaluaciÃ³n y uso de la plataforma nunca se interrumpa.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Times New Roman" w:hAnsi="Times New Roman"/>
      <w:color w:val="000000"/>
      <w:sz w:val="24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
  <Relationship Id="rIdImgArch" Type="http://schemas.openxmlformats.org/officeDocument/2006/relationships/image" Target="media/arquitectura_conexion_login.png"/>
</Relationships>

</file>