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hint="default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：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21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DBSAN算法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完成了DBSCAN算法代码的编写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讲DBSCAN算法使用到iris数据集中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DBCAN算法</w:t>
            </w:r>
            <w:r>
              <w:rPr>
                <w:rFonts w:hint="eastAsia"/>
                <w:b/>
                <w:bCs/>
                <w:sz w:val="24"/>
              </w:rPr>
              <w:t>包括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根据给定的邻域参数Eps和MinPts所确定所有的核心对象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对每一个核心对象，选择一个未处理过的核心对象，找找由其密度可达的样本生成聚类“簇”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重复上述过程</w:t>
            </w:r>
            <w:r>
              <w:rPr>
                <w:rFonts w:hint="eastAsia"/>
                <w:b/>
                <w:bCs/>
                <w:sz w:val="24"/>
              </w:rPr>
              <w:t>三个步骤。其中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MinPts为核心点周围的点的个数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DBSCAN</w:t>
            </w:r>
            <w:r>
              <w:rPr>
                <w:rFonts w:hint="eastAsia"/>
                <w:b/>
                <w:bCs/>
                <w:sz w:val="24"/>
              </w:rPr>
              <w:t>的工作原理是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基于密度聚类</w:t>
            </w:r>
            <w:r>
              <w:rPr>
                <w:rFonts w:hint="eastAsia"/>
                <w:b/>
                <w:bCs/>
                <w:sz w:val="24"/>
              </w:rPr>
              <w:t>，通过</w:t>
            </w: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聚类“簇”定义为：由密度可达关系导出的最大的密度连接样本的集合。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 w:cs="楷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错误率为33.55%， 运行时间为0.497782s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因为Iris数据集密度较近，算法不能很好的分成多个簇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降低MinPts，来提高正确率</w:t>
            </w:r>
            <w:bookmarkStart w:id="0" w:name="_GoBack"/>
            <w:bookmarkEnd w:id="0"/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685E31"/>
    <w:multiLevelType w:val="multilevel"/>
    <w:tmpl w:val="2F685E3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484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qFormat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qFormat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qFormat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qFormat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242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2019-07-21T08:11:37Z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