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236847"/>
          <w:sz w:val="56"/>
          <w:szCs w:val="56"/>
        </w:rPr>
        <w:t xml:space="preserve">Honolulo-Tourism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40"/>
          <w:szCs w:val="40"/>
        </w:rPr>
        <w:t xml:space="preserve">Plan de pruebas del grupo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Qué pruebas realizará el grupo, cómo se organizan, con qué herramientas y con qué métricas se evaluarán (con diagramas)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Integrante: Zegarra Martel, Juber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Carrera: Ingeniería de Sistemas de Información (Perú)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Repositorio: AureJara/Honolulo-Tourism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Fecha: 15 de octubre de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Introducción y objetivo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Honolulo-Tourism es un sistema web para consultar el clima, el pronóstico y la información de las cascadas turísticas de la zona, que incluye ahora la afluencia de visitantes (historial y predicción) y una boletería. Este documento explica qué hará el grupo respecto a las pruebas del sistema: qué se probará, en qué niveles, con qué herramientas, con qué proceso y con qué métricas se juzgará la calidad.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plan se apoya en el trabajo que el proyecto ya tiene (suites automatizadas, informe de QA e integración continua) y define las actividades que el grupo mantendrá y las que quedan por hacer. Sigue la lógica de la familia ISO/IEC 25000: las características de calidad de la ISO/IEC 25010 se miden con las métricas de la ISO/IEC 25023, que pertenece a la división de medición 2502n.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 general: </w:t>
      </w:r>
      <w:r>
        <w:rPr>
          <w:rFonts w:ascii="Calibri" w:cs="Calibri" w:eastAsia="Calibri" w:hAnsi="Calibri"/>
          <w:sz w:val="22"/>
          <w:szCs w:val="22"/>
        </w:rPr>
        <w:t xml:space="preserve">verificar, de forma repetible y medible, que el sistema cumple los escenarios del spec y que es funcional, seguro, resistente y accesible, detectando los defectos antes de la entrega.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Qué se va a probar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sistema está formado por microservicios Flask detrás de una puerta de enlace web (BFF), con PostgreSQL como base de datos. Cada pieza tiene sus propias pruebas, y además existe una suite de extremo a extremo que ataca el sistema completo como lo haría un usuario (figura 1).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524125"/>
            <wp:effectExtent t="0" r="0" b="0" l="0"/>
            <wp:docPr id="1" name="d3.png" descr="Arquitectura del sistema y dónde actúa cada conjunto de pruebas." title="Arquitectura del sistema y dónde actúa cada conjunto de prueb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Figura 1. Arquitectura del sistema y dónde actúa cada conjunto de pruebas.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Los módulos funcionales bajo prueba son: cuentas y sesión (registro con código por correo, ingreso, renovación de sesión), clima actual y pronóstico, catálogo de lugares con fotografías, opiniones y moderación, vista pública para visitantes, afluencia de visitantes (modelo de predicción) y boletería (precio de S/ 5 por persona, códigos, validación en puerta).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Estrategia de pruebas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Enfoque basado en riesgo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prioriza lo que más daño causaría si fallara: la seguridad de cuentas y sesiones, los permisos de administrador, el cálculo del precio de la boletería (lo calcula siempre el servidor), la validez de los datos y la disponibilidad cuando un servicio externo cae. Para cada riesgo se diseñan casos positivos, negativos y de abuso.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Cómo se clasifican las pruebas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Las pruebas se organizan por el conocimiento que se tiene del código (caja blanca, negra y gris), por el alcance o nivel (unitaria, integración, sistema, aceptación) y por el objetivo (funcional, seguridad, rendimiento, resiliencia, accesibilidad y regresión), como muestra la figura 2.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4267200"/>
            <wp:effectExtent t="0" r="0" b="0" l="0"/>
            <wp:docPr id="1" name="d5.png" descr="Clasificación de las pruebas del proyecto por conocimiento, alcance y objetivo." title="Clasificación de las pruebas del proyecto por conocimiento, alcance y objetiv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Figura 2. Clasificación de las pruebas del proyecto por conocimiento, alcance y objetivo.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Pirámide de pruebas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mayor parte de las pruebas son automáticas y rápidas, en la base; hacia arriba hay menos pruebas, más lentas y más cercanas al usuario (figura 3). Las cantidades son las reales del repositorio.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714750"/>
            <wp:effectExtent t="0" r="0" b="0" l="0"/>
            <wp:docPr id="1" name="d2.png" descr="Pirámide de pruebas del proyecto con el número de pruebas por nivel." title="Pirámide de pruebas del proyecto con el número de pruebas por niv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Figura 3. Pirámide de pruebas del proyecto con el número de pruebas por nivel.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Proceso de pruebas del grupo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grupo sigue un ciclo corto y repetible (figura 4): cada requisito del spec o cada función nueva se traduce en casos de prueba por riesgo; los casos se automatizan; se ejecutan en local y en integración continua; los resultados alimentan las métricas y el informe; y todo defecto encontrado genera una corrección y una prueba de regresión para que no vuelva a aparecer.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4352925"/>
            <wp:effectExtent t="0" r="0" b="0" l="0"/>
            <wp:docPr id="1" name="d1.png" descr="Ciclo del proceso de pruebas, desde los requisitos hasta la prueba de regresión." title="Ciclo del proceso de pruebas, desde los requisitos hasta la prueba de regr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Figura 4. Ciclo del proceso de pruebas, desde los requisitos hasta la prueba de regresión.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Niveles y tipos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2100"/>
        <w:gridCol w:w="186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Nivel / tipo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cubre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Dónde / herramienta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Cantidad actual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Unitarias e integración (caja blanca/gris)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Reglas de negocio, validación, permisos, modelo de pronóstico de afluencia, boletería, BFF contra servicios simulados, base PostgreSQL real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libs/*/tests y services/*/tests · pytest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910 (común 178, auth 149, weather 30, forecast 88, catalog 235, web 230)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Aceptación (caja negra)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Escenarios Gherkin del spec contra el sistema en marcha, con correo y proveedor reales de desarrollo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qa/test_e2e_acceptance.py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Seguridad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JWT manipulado, escalada de privilegios, CSRF, XSS/SQLi, subidas maliciosas, cabeceras y cookies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qa/test_security.py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Privacidad, límite por IP y auditoría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Contraseñas y secretos fuera de registros, bloqueo con 429, auditoría de seguridad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qa/test_privacy_secrets.py, qa/test_rate_limit_and_audit.py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 y 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Resiliencia y sesión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Servicios caídos, degradación de la interfaz, renovación de sesión concurrente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qa/test_resilience.py, qa/test_session.py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 y 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Integridad de datos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Restricciones de la base ante datos inválidos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qa/test_db_integrity.py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Rendimiento y estrés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Latencia p50/p95 y concurrencia; conexiones masivas y lentas, cuerpos gigantes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qa/test_performance.py, scripts/stress.py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 (+ herramienta propia)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Funciones nuevas (e2e)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Opiniones y moderación, entrega de correo, afluencia y boletería de punta a punta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qa/test_reviews_e2e.py, test_email_delivery.py, test_visits_e2e.py, test_tickets_e2e.py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23, 6, 10 y 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Interfaz y accesibilidad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Flujos reales, teclado, móvil de 375 px, WCAG 2.1 AA, comportamiento de la interfaz con jsdom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Manual + axe-core + jsdom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Revisión manual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Análisis estático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Secretos en el código y dependencias con vulnerabilidades conocidas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scripts/check_secrets.py · pip-audit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 cada cambio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 total hay 910 pruebas unitarias y de integración y 191 de extremo a extremo (1101 pruebas automáticas).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Herramientas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pytest: </w:t>
      </w:r>
      <w:r>
        <w:rPr>
          <w:rFonts w:ascii="Calibri" w:cs="Calibri" w:eastAsia="Calibri" w:hAnsi="Calibri"/>
          <w:sz w:val="22"/>
          <w:szCs w:val="22"/>
        </w:rPr>
        <w:t xml:space="preserve">ejecución de todas las suites en Python 3.12.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PostgreSQL real (pgserver o TEST_DATABASE_URL): </w:t>
      </w:r>
      <w:r>
        <w:rPr>
          <w:rFonts w:ascii="Calibri" w:cs="Calibri" w:eastAsia="Calibri" w:hAnsi="Calibri"/>
          <w:sz w:val="22"/>
          <w:szCs w:val="22"/>
        </w:rPr>
        <w:t xml:space="preserve">las pruebas usan el mismo motor que producción, no SQLite, para detectar diferencias de comportamiento.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Servicios simulados (biblioteca responses): </w:t>
      </w:r>
      <w:r>
        <w:rPr>
          <w:rFonts w:ascii="Calibri" w:cs="Calibri" w:eastAsia="Calibri" w:hAnsi="Calibri"/>
          <w:sz w:val="22"/>
          <w:szCs w:val="22"/>
        </w:rPr>
        <w:t xml:space="preserve">permiten probar el BFF aislando a los demás servicios y simular caídas.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Suite de QA sin mocks (qa/): </w:t>
      </w:r>
      <w:r>
        <w:rPr>
          <w:rFonts w:ascii="Calibri" w:cs="Calibri" w:eastAsia="Calibri" w:hAnsi="Calibri"/>
          <w:sz w:val="22"/>
          <w:szCs w:val="22"/>
        </w:rPr>
        <w:t xml:space="preserve">se ejecuta contra el sistema real levantado con python scripts/dev.py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scripts/stress.py: </w:t>
      </w:r>
      <w:r>
        <w:rPr>
          <w:rFonts w:ascii="Calibri" w:cs="Calibri" w:eastAsia="Calibri" w:hAnsi="Calibri"/>
          <w:sz w:val="22"/>
          <w:szCs w:val="22"/>
        </w:rPr>
        <w:t xml:space="preserve">herramienta propia de estrés (solo apunta a 127.0.0.1): línea base, lectura masiva, rampa de concurrencia, ingreso masivo, conexiones lentas y cuerpos gigantes.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jsdom y axe-core: </w:t>
      </w:r>
      <w:r>
        <w:rPr>
          <w:rFonts w:ascii="Calibri" w:cs="Calibri" w:eastAsia="Calibri" w:hAnsi="Calibri"/>
          <w:sz w:val="22"/>
          <w:szCs w:val="22"/>
        </w:rPr>
        <w:t xml:space="preserve">verificación de la interfaz sin navegador y auditoría de accesibilidad.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check_secrets.py y pip-audit: </w:t>
      </w:r>
      <w:r>
        <w:rPr>
          <w:rFonts w:ascii="Calibri" w:cs="Calibri" w:eastAsia="Calibri" w:hAnsi="Calibri"/>
          <w:sz w:val="22"/>
          <w:szCs w:val="22"/>
        </w:rPr>
        <w:t xml:space="preserve">análisis estático de secretos y de vulnerabilidades de dependencias.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 Actions: </w:t>
      </w:r>
      <w:r>
        <w:rPr>
          <w:rFonts w:ascii="Calibri" w:cs="Calibri" w:eastAsia="Calibri" w:hAnsi="Calibri"/>
          <w:sz w:val="22"/>
          <w:szCs w:val="22"/>
        </w:rPr>
        <w:t xml:space="preserve">integración continua en cada push a main y en cada pull request.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Integración continua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flujo de GitHub Actions (figura 5) ejecuta dos trabajos en paralelo: «pruebas» (instala dependencias, revisa secretos y corre las seis suites unitarias y de integración con PostgreSQL real) y «dependencias» (pip-audit sobre las versiones fijadas). Si todo está en verde, el cambio puede fusionarse; si no, se corrige y se vuelve a empujar. La suite de QA de extremo a extremo no corre en la nube porque necesita el sistema completo en marcha, por lo que el grupo la ejecuta en local antes de cada entrega.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4800600"/>
            <wp:effectExtent t="0" r="0" b="0" l="0"/>
            <wp:docPr id="1" name="d4.png" descr="Flujo de la integración continua y del control previo a la entrega." title="Flujo de la integración continua y del control previo a la entreg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Figura 5. Flujo de la integración continua y del control previo a la entrega.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Métricas de calidad (ISO/IEC 25010 y 25023)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Las características de calidad de la ISO/IEC 25010 se vinculan con las pruebas que las verifican y con las métricas de la ISO/IEC 25023 con que se medirán (figura 6).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81375"/>
            <wp:effectExtent t="0" r="0" b="0" l="0"/>
            <wp:docPr id="1" name="d6.png" descr="Relación entre características de calidad, pruebas del grupo y métricas." title="Relación entre características de calidad, pruebas del grupo y métric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Figura 6. Relación entre características de calidad, pruebas del grupo y métricas.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360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Característica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se obtiene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Adecuación funcional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Corrección funcional = pruebas aprobadas / ejecutadas. Cobertura funcional = escenarios del spec con prueba / escenarios especificados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Resultado de pytest y trazabilidad del informe de QA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Eficiencia de desempeño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Tiempo de respuesta p95 en secuencial y con 10 usuarios concurrentes; errores bajo carga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qa/test_performance.py y scripts/stress.py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Fiabilidad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Defectos corregidos / hallados; comportamiento con un servicio caído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Informe de QA y test_resilience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Seguridad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Controles de acceso probados; vulnerabilidades conocidas en dependencias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test_security y pip-audit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Usabilidad / accesibilidad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Violaciones de accesibilidad detectadas por axe-core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Auditoría en pantallas principales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Mantenibilidad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Pruebas de regresión ejecutadas automáticamente en cada cambio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GitHub Actions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Resultados registrados hasta ahora (informe de QA): </w:t>
      </w:r>
      <w:r>
        <w:rPr>
          <w:rFonts w:ascii="Calibri" w:cs="Calibri" w:eastAsia="Calibri" w:hAnsi="Calibri"/>
          <w:sz w:val="22"/>
          <w:szCs w:val="22"/>
        </w:rPr>
        <w:t xml:space="preserve">todas las suites en verde; latencia p95 secuencial entre 63 y 91 ms en las consultas principales; con 10 usuarios concurrentes p95 ≤ 150 ms y 0 errores; 0 violaciones de accesibilidad en las pantallas auditadas. Estas cifras se midieron en un servidor de desarrollo, por lo que son de referencia.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Actividades del grupo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siguiente tabla resume qué hará el grupo y el estado de cada actividad.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560"/>
        <w:gridCol w:w="2100"/>
      </w:tblGrid>
      <w:tr>
        <w:trPr>
          <w:tblHeader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368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Mantener y ejecutar las suites unitarias y de integración en cada cambio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Resultado de run_tests.py y de GitHub Actions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Realizado y continuo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Escribir pruebas para cada función nueva (afluencia, boletería)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Pruebas del catálogo, de la web y de extremo a extremo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Realizado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Ejecutar la QA de extremo a extremo antes de cada entrega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Resultado de la suite qa/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Continuo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Probar seguridad, resiliencia y estrés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Informe de hallazgos y correcciones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Realizado; repetir tras cambios importantes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Medir la cobertura de código (por ejemplo con coverage.py) y fijar un mínimo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Porcentaje de cobertura por servicio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Pruebas de aceptación automatizadas en navegador real (por ejemplo con Playwright)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Scripts y capturas de los flujos de compra y consulta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Probar con gunicorn y con Docker (despliegue real)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Resultados de carga y de arranque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Registrar cada defecto, corregirlo y añadir su prueba de regresión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Tabla de defectos en el informe de QA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Continuo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Calcular las métricas ISO/IEC 25023 y redactar el informe final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Informe con métricas y conclusiones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Por hacer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10. Riesgos y limitaciones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Entorno de ejecución: </w:t>
      </w:r>
      <w:r>
        <w:rPr>
          <w:rFonts w:ascii="Calibri" w:cs="Calibri" w:eastAsia="Calibri" w:hAnsi="Calibri"/>
          <w:sz w:val="22"/>
          <w:szCs w:val="22"/>
        </w:rPr>
        <w:t xml:space="preserve">la QA de extremo a extremo se ejecutó en el servidor de desarrollo de Flask; no se ha medido contra gunicorn ni contra Docker.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Navegadores: </w:t>
      </w:r>
      <w:r>
        <w:rPr>
          <w:rFonts w:ascii="Calibri" w:cs="Calibri" w:eastAsia="Calibri" w:hAnsi="Calibri"/>
          <w:sz w:val="22"/>
          <w:szCs w:val="22"/>
        </w:rPr>
        <w:t xml:space="preserve">la revisión manual se hizo solo con Chromium; faltan lectores de pantalla y dispositivos reales.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Correo real: </w:t>
      </w:r>
      <w:r>
        <w:rPr>
          <w:rFonts w:ascii="Calibri" w:cs="Calibri" w:eastAsia="Calibri" w:hAnsi="Calibri"/>
          <w:sz w:val="22"/>
          <w:szCs w:val="22"/>
        </w:rPr>
        <w:t xml:space="preserve">la entrega se probó con un servidor SMTP local, no contra Gmail.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Datos de demostración: </w:t>
      </w:r>
      <w:r>
        <w:rPr>
          <w:rFonts w:ascii="Calibri" w:cs="Calibri" w:eastAsia="Calibri" w:hAnsi="Calibri"/>
          <w:sz w:val="22"/>
          <w:szCs w:val="22"/>
        </w:rPr>
        <w:t xml:space="preserve">las pruebas de la afluencia usan datos ficticios; su error de predicción es optimista y debe revalidarse con visitas reales.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Pago de la boletería: </w:t>
      </w:r>
      <w:r>
        <w:rPr>
          <w:rFonts w:ascii="Calibri" w:cs="Calibri" w:eastAsia="Calibri" w:hAnsi="Calibri"/>
          <w:sz w:val="22"/>
          <w:szCs w:val="22"/>
        </w:rPr>
        <w:t xml:space="preserve">es simulado; una pasarela real requeriría pruebas adicionales de cobro, devoluciones y seguridad.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Pruebas de penetración externas: </w:t>
      </w:r>
      <w:r>
        <w:rPr>
          <w:rFonts w:ascii="Calibri" w:cs="Calibri" w:eastAsia="Calibri" w:hAnsi="Calibri"/>
          <w:sz w:val="22"/>
          <w:szCs w:val="22"/>
        </w:rPr>
        <w:t xml:space="preserve">no se usaron herramientas como ZAP o Burp; la batería de seguridad es propia.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11. Conclusión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grupo aplica una estrategia de pruebas por capas, automatizada y medible: más de mil pruebas automáticas, una suite de extremo a extremo sin mocks, herramientas propias de estrés, integración continua con revisión de secretos y de dependencias, y métricas alineadas con la ISO/IEC 25010 y 25023. Las actividades pendientes (cobertura de código, aceptación en navegador real, pruebas con gunicorn y Docker, y el informe final de métricas) completarán el plan y permitirán demostrar la calidad del sistema con evidencia.</w:t>
      </w:r>
    </w:p>
    <w:sectPr>
      <w:footerReference w:type="default" r:id="rId7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Honolulo-Tourism · Plan de pruebas · Página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Calibri" w:cs="Calibri" w:eastAsia="Calibri" w:hAnsi="Calibri"/>
      <w:b/>
      <w:bCs/>
      <w:color w:val="236847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20"/>
      <w:outlineLvl w:val="1"/>
    </w:pPr>
    <w:rPr>
      <w:rFonts w:ascii="Calibri" w:cs="Calibri" w:eastAsia="Calibri" w:hAnsi="Calibri"/>
      <w:b/>
      <w:bCs/>
      <w:color w:val="3E81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7970019a1048fef16c7cbeaf22799b490b43417.png"/><Relationship Id="rId9" Type="http://schemas.openxmlformats.org/officeDocument/2006/relationships/image" Target="media/2718a069d9bdb85331c7a409bb19cbb82a10794b.png"/><Relationship Id="rId10" Type="http://schemas.openxmlformats.org/officeDocument/2006/relationships/image" Target="media/6ab8a2dd0b00e29e2fd7fc607e3b6fc3f62dc47b.png"/><Relationship Id="rId11" Type="http://schemas.openxmlformats.org/officeDocument/2006/relationships/image" Target="media/516b727146d50e3418fcee585699075ee8ddf7f9.png"/><Relationship Id="rId12" Type="http://schemas.openxmlformats.org/officeDocument/2006/relationships/image" Target="media/97d948cfb5a75129ba63d51e77cbf36b2665c673.png"/><Relationship Id="rId13" Type="http://schemas.openxmlformats.org/officeDocument/2006/relationships/image" Target="media/48cbcb2b027110d43253ea15eeb8ef5a57bb1db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2026-10-15T12:23:09.075Z</dcterms:created>
  <dcterms:modified xsi:type="dcterms:W3CDTF">2026-10-15T12:23:09.075Z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