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Aller au point -2057/94/-302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Normalement le chemin à suivre est assez clair, il est </w:t>
      </w:r>
      <w:r w:rsidDel="00000000" w:rsidR="00000000" w:rsidRPr="00000000">
        <w:rPr>
          <w:rtl w:val="0"/>
        </w:rPr>
        <w:t xml:space="preserve">généralement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indiqué par des </w:t>
      </w:r>
      <w:r w:rsidDel="00000000" w:rsidR="00000000" w:rsidRPr="00000000">
        <w:rPr>
          <w:rtl w:val="0"/>
        </w:rPr>
        <w:t xml:space="preserve">lumières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vous avez des questions n'hésitez pas à nous contacter.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L'affichage des textes d'introduction se fait via des plaques de pression, il suffit de marcher dessus, elles sont indiquées par des flèches roses. Le texte </w:t>
      </w:r>
      <w:r w:rsidDel="00000000" w:rsidR="00000000" w:rsidRPr="00000000">
        <w:rPr>
          <w:rtl w:val="0"/>
        </w:rPr>
        <w:t xml:space="preserve">disparaît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après un certain temps, pour </w:t>
      </w:r>
      <w:r w:rsidDel="00000000" w:rsidR="00000000" w:rsidRPr="00000000">
        <w:rPr>
          <w:rtl w:val="0"/>
        </w:rPr>
        <w:t xml:space="preserve">le laisser affiché, il faut appuyer sur : 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les cartels, ils se trouvent dans des livres placés dans des </w:t>
      </w:r>
      <w:r w:rsidDel="00000000" w:rsidR="00000000" w:rsidRPr="00000000">
        <w:rPr>
          <w:rtl w:val="0"/>
        </w:rPr>
        <w:t xml:space="preserve">bibliothèques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proches des </w:t>
      </w:r>
      <w:r w:rsidDel="00000000" w:rsidR="00000000" w:rsidRPr="00000000">
        <w:rPr>
          <w:rtl w:val="0"/>
        </w:rPr>
        <w:t xml:space="preserve">œuvres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Lorsqu'il y a deux livres, c'est que le deuxième est le cartel enfant.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le final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actionnez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levier et regardez le </w:t>
      </w:r>
      <w:r w:rsidDel="00000000" w:rsidR="00000000" w:rsidRPr="00000000">
        <w:rPr>
          <w:rtl w:val="0"/>
        </w:rPr>
        <w:t xml:space="preserve">bâtiment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Concernant l’accès à la carte, je vous ai envoyé le dossier de la carte mais il peut être difficile de la charger sur votre jeu. Si jamais c’est trop compliqué, nous pouvons essayer de trouver un autre moyen pour vous faire visiter notre monde.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