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CCAG Marchés industriels - Arrêté du 30 mars 2021</w:t>
      </w:r>
    </w:p>
    <w:p>
      <w:pPr>
        <w:pStyle w:val="Heading2"/>
      </w:pPr>
      <w:r>
        <w:t>Article 1 - Champ d'application</w:t>
      </w:r>
    </w:p>
    <w:p>
      <w:r>
        <w:t>Les présentes clauses régissent les marchés industriels passés par les pouvoirs adjudicateurs. Elles s'appliquent aux marchés de fourniture de produits industriels, de systèmes complexes, d'équipements de production et aux services y afférents.</w:t>
      </w:r>
    </w:p>
    <w:p>
      <w:pPr>
        <w:pStyle w:val="Heading2"/>
      </w:pPr>
      <w:r>
        <w:t>Article 2 - Définitions</w:t>
      </w:r>
    </w:p>
    <w:p>
      <w:r>
        <w:t>Au sens de ces clauses:</w:t>
        <w:br/>
        <w:t>- Produits industriels: les biens de nature industrielle destinés à la production, transformation ou distribution</w:t>
        <w:br/>
        <w:t>- Système intégré: l'ensemble constitué d'éléments matériels et immatériels formant une unité fonctionnelle</w:t>
        <w:br/>
        <w:t>- Spécifications techniques: les critères qualitatifs et quantitatifs définissant le produit</w:t>
        <w:br/>
        <w:t>- Fournisseur: la personne morale s'engageant à fournir les produits industriels</w:t>
      </w:r>
    </w:p>
    <w:p>
      <w:pPr>
        <w:pStyle w:val="Heading2"/>
      </w:pPr>
      <w:r>
        <w:t>Article 3 - Conformité aux spécifications</w:t>
      </w:r>
    </w:p>
    <w:p>
      <w:r>
        <w:t>Les produits et systèmes livrés doivent strictement conformes aux spécifications techniques du marché. Toute déviation doit être préalablement autorisée par écrit. Les tests de conformité sont à la charge du fournisseur.</w:t>
      </w:r>
    </w:p>
    <w:p>
      <w:pPr>
        <w:pStyle w:val="Heading2"/>
      </w:pPr>
      <w:r>
        <w:t>Article 4 - Normes et certifications requises</w:t>
      </w:r>
    </w:p>
    <w:p>
      <w:r>
        <w:t>Les produits doivent respecter les normes ISO applicables, les normes de sécurité EU et les certifications requises. Le fournisseur fournit tous les certificats, déclarations de conformité et attestations nécessaires.</w:t>
      </w:r>
    </w:p>
    <w:p>
      <w:pPr>
        <w:pStyle w:val="Heading2"/>
      </w:pPr>
      <w:r>
        <w:t>Article 5 - Documentation technique complète</w:t>
      </w:r>
    </w:p>
    <w:p>
      <w:r>
        <w:t>Le fournisseur fournit une documentation exhaustive: schémas techniques, manuels d'installation, guides d'utilisation, listes de pièces de rechange, plans de maintenance. La documentation est en français.</w:t>
      </w:r>
    </w:p>
    <w:p>
      <w:pPr>
        <w:pStyle w:val="Heading2"/>
      </w:pPr>
      <w:r>
        <w:t>Article 6 - Qualité de fabrication</w:t>
      </w:r>
    </w:p>
    <w:p>
      <w:r>
        <w:t>Le fournisseur garantit une qualité de fabrication irréprochable selon les bonnes pratiques industrielles. Il met en place un contrôle qualité rigoureux à chaque étape de production.</w:t>
      </w:r>
    </w:p>
    <w:p>
      <w:pPr>
        <w:pStyle w:val="Heading2"/>
      </w:pPr>
      <w:r>
        <w:t>Article 7 - Capacités de production</w:t>
      </w:r>
    </w:p>
    <w:p>
      <w:r>
        <w:t>Le fournisseur doit disposer de capacités de production suffisantes pour honorer les volumes commandés dans les délais convenus. Il informe l'acheteur de toute contrainte de capacité.</w:t>
      </w:r>
    </w:p>
    <w:p>
      <w:pPr>
        <w:pStyle w:val="Heading2"/>
      </w:pPr>
      <w:r>
        <w:t>Article 8 - Approvisionnement en matières premières</w:t>
      </w:r>
    </w:p>
    <w:p>
      <w:r>
        <w:t>Le fournisseur garantit une disponibilité continue des matières premières et des composants. Il informe l'acheteur de tout risque d'approvisionnement.</w:t>
      </w:r>
    </w:p>
    <w:p>
      <w:pPr>
        <w:pStyle w:val="Heading2"/>
      </w:pPr>
      <w:r>
        <w:t>Article 9 - Respect des délais de livraison</w:t>
      </w:r>
    </w:p>
    <w:p>
      <w:r>
        <w:t>La livraison s'effectue aux dates fixées. Le fournisseur met en place un planning rigoureux pour respecter les délais. Les retards injustifiés entraînent des pénalités.</w:t>
      </w:r>
    </w:p>
    <w:p>
      <w:pPr>
        <w:pStyle w:val="Heading2"/>
      </w:pPr>
      <w:r>
        <w:t>Article 10 - Emballage et protection du transport</w:t>
      </w:r>
    </w:p>
    <w:p>
      <w:r>
        <w:t>L'emballage est robuste pour protéger les produits contre les dégâts du transport et stockage. Le fournisseur assume la responsabilité des dégâts dus à un emballage inadéquat.</w:t>
      </w:r>
    </w:p>
    <w:p>
      <w:pPr>
        <w:pStyle w:val="Heading2"/>
      </w:pPr>
      <w:r>
        <w:t>Article 11 - Livraison franco</w:t>
      </w:r>
    </w:p>
    <w:p>
      <w:r>
        <w:t>Sauf mention contraire, la livraison comprend le transport jusqu'au lieu de destination convenu. Le fournisseur assure l'acheminement correct et peut être tenu responsable en cas de perte.</w:t>
      </w:r>
    </w:p>
    <w:p>
      <w:pPr>
        <w:pStyle w:val="Heading2"/>
      </w:pPr>
      <w:r>
        <w:t>Article 12 - Installation et mise en service</w:t>
      </w:r>
    </w:p>
    <w:p>
      <w:r>
        <w:t>Le fournisseur peut être tenu de procéder à l'installation et la mise en service du produit. Tous les tests de fonctionnement initial sont inclus.</w:t>
      </w:r>
    </w:p>
    <w:p>
      <w:pPr>
        <w:pStyle w:val="Heading2"/>
      </w:pPr>
      <w:r>
        <w:t>Article 13 - Formation du personnel</w:t>
      </w:r>
    </w:p>
    <w:p>
      <w:r>
        <w:t>Le fournisseur dispense une formation au personnel de l'acheteur sur l'utilisation, la maintenance et l'exploitation des produits livrés.</w:t>
      </w:r>
    </w:p>
    <w:p>
      <w:pPr>
        <w:pStyle w:val="Heading2"/>
      </w:pPr>
      <w:r>
        <w:t>Article 14 - Responsabilité et garanties</w:t>
      </w:r>
    </w:p>
    <w:p>
      <w:r>
        <w:t>Le fournisseur garantit l'absence de défauts de fabrication. Une garantie d'au minimum 24 mois couvre les défauts et les vices cachés apparaissant après livraison.</w:t>
      </w:r>
    </w:p>
    <w:p>
      <w:pPr>
        <w:pStyle w:val="Heading2"/>
      </w:pPr>
      <w:r>
        <w:t>Article 15 - Pièces de rechange</w:t>
      </w:r>
    </w:p>
    <w:p>
      <w:r>
        <w:t>Le fournisseur assure la disponibilité de pièces de rechange authentiques pendant la durée de vie utile du produit, soit au minimum 10 ans après livraison.</w:t>
      </w:r>
    </w:p>
    <w:p>
      <w:pPr>
        <w:pStyle w:val="Heading2"/>
      </w:pPr>
      <w:r>
        <w:t>Article 16 - Support technique et assistance</w:t>
      </w:r>
    </w:p>
    <w:p>
      <w:r>
        <w:t>Le fournisseur fournit un support technique disponible pour diagnostic et résolution des problèmes. Un contrat de maintenance peut être proposé.</w:t>
      </w:r>
    </w:p>
    <w:p>
      <w:pPr>
        <w:pStyle w:val="Heading2"/>
      </w:pPr>
      <w:r>
        <w:t>Article 17 - Amélioration continue</w:t>
      </w:r>
    </w:p>
    <w:p>
      <w:r>
        <w:t>Le fournisseur propose régulièrement des améliorations des produits, modernisations et optimisations bénéficiaires pour l'acheteur.</w:t>
      </w:r>
    </w:p>
    <w:p>
      <w:pPr>
        <w:pStyle w:val="Heading2"/>
      </w:pPr>
      <w:r>
        <w:t>Article 18 - Propriété intellectuelle des produits</w:t>
      </w:r>
    </w:p>
    <w:p>
      <w:r>
        <w:t>Les produits livrés restent la propriété intellectuelle du fournisseur sauf accord contraire. L'acheteur dispose du droit d'utilisation et d'exploitation des produits.</w:t>
      </w:r>
    </w:p>
    <w:p>
      <w:pPr>
        <w:pStyle w:val="Heading2"/>
      </w:pPr>
      <w:r>
        <w:t>Article 19 - Conditions de paiement</w:t>
      </w:r>
    </w:p>
    <w:p>
      <w:r>
        <w:t>Le paiement s'effectue selon un calendrier convenu: acompte, paiements partiels ou à la livraison. L'acheteur paie dans les 30 jours suivant facture conforme.</w:t>
      </w:r>
    </w:p>
    <w:p>
      <w:pPr>
        <w:pStyle w:val="Heading2"/>
      </w:pPr>
      <w:r>
        <w:t>Article 20 - Révision des prix</w:t>
      </w:r>
    </w:p>
    <w:p>
      <w:r>
        <w:t>Les prix peuvent être révisés selon les évolutions des coûts de matières premières, indices économiques ou formules de révision convenues au marché.</w:t>
      </w:r>
    </w:p>
    <w:p>
      <w:pPr>
        <w:pStyle w:val="Heading2"/>
      </w:pPr>
      <w:r>
        <w:t>Article 21 - Prix de rechange et services</w:t>
      </w:r>
    </w:p>
    <w:p>
      <w:r>
        <w:t>Les prix des pièces de rechange et services supplémentaires sont fixés au marché ou convenus ultérieurement sans augmentation déraisonnable.</w:t>
      </w:r>
    </w:p>
    <w:p>
      <w:pPr>
        <w:pStyle w:val="Heading2"/>
      </w:pPr>
      <w:r>
        <w:t>Article 22 - Importation et droits de douane</w:t>
      </w:r>
    </w:p>
    <w:p>
      <w:r>
        <w:t>Si applicable, le fournisseur assure le dédouanement des produits importés. Les frais de douane sont supportés selon les incoterms convenus.</w:t>
      </w:r>
    </w:p>
    <w:p>
      <w:pPr>
        <w:pStyle w:val="Heading2"/>
      </w:pPr>
      <w:r>
        <w:t>Article 23 - Transport international</w:t>
      </w:r>
    </w:p>
    <w:p>
      <w:r>
        <w:t>Pour les livraisons internationales, le fournisseur assume les responsabilités jusqu'à la mise à disposition convenue. Il gère les assurances transport si nécessaire.</w:t>
      </w:r>
    </w:p>
    <w:p>
      <w:pPr>
        <w:pStyle w:val="Heading2"/>
      </w:pPr>
      <w:r>
        <w:t>Article 24 - Emballage écologique</w:t>
      </w:r>
    </w:p>
    <w:p>
      <w:r>
        <w:t>Le fournisseur favorise l'utilisation de matériaux d'emballage écologiques, recyclables et peu polluants conformément aux réglementations environnementales.</w:t>
      </w:r>
    </w:p>
    <w:p>
      <w:pPr>
        <w:pStyle w:val="Heading2"/>
      </w:pPr>
      <w:r>
        <w:t>Article 25 - Gestion des déchets et recyclage</w:t>
      </w:r>
    </w:p>
    <w:p>
      <w:r>
        <w:t>Le fournisseur met en place un système de reprise des produits en fin de vie pour recyclage et valorisation conformément à la réglementation DEEE.</w:t>
      </w:r>
    </w:p>
    <w:p>
      <w:pPr>
        <w:pStyle w:val="Heading2"/>
      </w:pPr>
      <w:r>
        <w:t>Article 26 - Conformité environnementale</w:t>
      </w:r>
    </w:p>
    <w:p>
      <w:r>
        <w:t>Les processus de production respectent la réglementation environnementale. Le fournisseur minimise les émissions polluantes et l'usage de ressources.</w:t>
      </w:r>
    </w:p>
    <w:p>
      <w:pPr>
        <w:pStyle w:val="Heading2"/>
      </w:pPr>
      <w:r>
        <w:t>Article 27 - Efficacité énergétique</w:t>
      </w:r>
    </w:p>
    <w:p>
      <w:r>
        <w:t>Les produits doivent satisfaire aux critères d'efficacité énergétique applicables. L'étiquetage énergétique est fourni si requis par la loi.</w:t>
      </w:r>
    </w:p>
    <w:p>
      <w:pPr>
        <w:pStyle w:val="Heading2"/>
      </w:pPr>
      <w:r>
        <w:t>Article 28 - Conformité RoHS et REACH</w:t>
      </w:r>
    </w:p>
    <w:p>
      <w:r>
        <w:t>Les produits sont conformes aux réglementations RoHS (Restriction of Hazardous Substances) et REACH (Enregistrement, Évaluation, Autorisation et Restriction des produits chimiques).</w:t>
      </w:r>
    </w:p>
    <w:p>
      <w:pPr>
        <w:pStyle w:val="Heading2"/>
      </w:pPr>
      <w:r>
        <w:t>Article 29 - Déclaration de performance</w:t>
      </w:r>
    </w:p>
    <w:p>
      <w:r>
        <w:t>Pour les produits de construction, le fournisseur fournit la déclaration de performance (DoP) conformément au règlement (UE) n°305/2011.</w:t>
      </w:r>
    </w:p>
    <w:p>
      <w:pPr>
        <w:pStyle w:val="Heading2"/>
      </w:pPr>
      <w:r>
        <w:t>Article 30 - Traçabilité des composants</w:t>
      </w:r>
    </w:p>
    <w:p>
      <w:r>
        <w:t>Le fournisseur documente la traçabilité des composants et des matières premières, particulièrement ceux soumis à des réglementations spéciales.</w:t>
      </w:r>
    </w:p>
    <w:p>
      <w:pPr>
        <w:pStyle w:val="Heading2"/>
      </w:pPr>
      <w:r>
        <w:t>Article 31 - Essais et certifications</w:t>
      </w:r>
    </w:p>
    <w:p>
      <w:r>
        <w:t>Le fournisseur fournit tous les rapports d'essais démontrant la conformité aux normes. Certains essais peuvent être répétés à la réception sur la demande de l'acheteur.</w:t>
      </w:r>
    </w:p>
    <w:p>
      <w:pPr>
        <w:pStyle w:val="Heading2"/>
      </w:pPr>
      <w:r>
        <w:t>Article 32 - Contrôle qualité à la réception</w:t>
      </w:r>
    </w:p>
    <w:p>
      <w:r>
        <w:t>L'acheteur effectue un contrôle qualité complet à la réception. Les produits non conformes sont retournés aux frais du fournisseur.</w:t>
      </w:r>
    </w:p>
    <w:p>
      <w:pPr>
        <w:pStyle w:val="Heading2"/>
      </w:pPr>
      <w:r>
        <w:t>Article 33 - Assurance qualité</w:t>
      </w:r>
    </w:p>
    <w:p>
      <w:r>
        <w:t>Le fournisseur certifie disposer de systèmes d'assurance qualité documentés (ISO 9001 ou équivalent) garantissant la qualité des produits.</w:t>
      </w:r>
    </w:p>
    <w:p>
      <w:pPr>
        <w:pStyle w:val="Heading2"/>
      </w:pPr>
      <w:r>
        <w:t>Article 34 - Gestion des non-conformités</w:t>
      </w:r>
    </w:p>
    <w:p>
      <w:r>
        <w:t>Le fournisseur met en place une procédure de gestion des non-conformités identifiées: rapport, analyse des causes racines, plan de correction.</w:t>
      </w:r>
    </w:p>
    <w:p>
      <w:pPr>
        <w:pStyle w:val="Heading2"/>
      </w:pPr>
      <w:r>
        <w:t>Article 35 - Production à l'ordre</w:t>
      </w:r>
    </w:p>
    <w:p>
      <w:r>
        <w:t>Tous les produits fournis sont fabriqués selon les spécifications du marché. Aucun stock générique ne peut être dédié à l'acheteur sans accord.</w:t>
      </w:r>
    </w:p>
    <w:p>
      <w:pPr>
        <w:pStyle w:val="Heading2"/>
      </w:pPr>
      <w:r>
        <w:t>Article 36 - Confidentialité et propriété des données</w:t>
      </w:r>
    </w:p>
    <w:p>
      <w:r>
        <w:t>Le fournisseur respecte la confidentialité des spécifications, prix et données techniques du marché. Les données relatives à la production restent confidentielles.</w:t>
      </w:r>
    </w:p>
    <w:p>
      <w:pPr>
        <w:pStyle w:val="Heading2"/>
      </w:pPr>
      <w:r>
        <w:t>Article 37 - Respect du droit du travail</w:t>
      </w:r>
    </w:p>
    <w:p>
      <w:r>
        <w:t>Le fournisseur respecte les dispositions du code du travail, les normes de travail décent et les conventions collectives applicables dans ses installations.</w:t>
      </w:r>
    </w:p>
    <w:p>
      <w:pPr>
        <w:pStyle w:val="Heading2"/>
      </w:pPr>
      <w:r>
        <w:t>Article 38 - Clauses anticorruption</w:t>
      </w:r>
    </w:p>
    <w:p>
      <w:r>
        <w:t>Le fournisseur certifie l'absence de corruption ou fraude. Il signale toute tentative de corruption relative au marché.</w:t>
      </w:r>
    </w:p>
    <w:p>
      <w:pPr>
        <w:pStyle w:val="Heading2"/>
      </w:pPr>
      <w:r>
        <w:t>Article 39 - Responsabilité civile industrielle</w:t>
      </w:r>
    </w:p>
    <w:p>
      <w:r>
        <w:t>Le fournisseur souscrit une assurance responsabilité civile couvrant les dommages causés par les produits ou les services fournis.</w:t>
      </w:r>
    </w:p>
    <w:p>
      <w:pPr>
        <w:pStyle w:val="Heading2"/>
      </w:pPr>
      <w:r>
        <w:t>Article 40 - Résiliation et liquidation</w:t>
      </w:r>
    </w:p>
    <w:p>
      <w:r>
        <w:t>L'acheteur peut résilier le marché en cas de manquement grave, d'insolvabilité ou de défaut de conformité persistant après mise en demeure. La liquidation intervient conformément au marché.</w:t>
      </w:r>
    </w:p>
    <w:p>
      <w:pPr>
        <w:pStyle w:val="Heading2"/>
      </w:pPr>
      <w:r>
        <w:t>Article 41 - Droit applicable et juridiction</w:t>
      </w:r>
    </w:p>
    <w:p>
      <w:r>
        <w:t>Le marché est soumis à la loi française. Les litiges relèvent de la compétence des tribunaux du lieu du siège de l'acheteur.</w:t>
      </w:r>
    </w:p>
    <w:p>
      <w:pPr>
        <w:pStyle w:val="Heading2"/>
      </w:pPr>
      <w:r>
        <w:t>Article 42 - Modification des spécifications</w:t>
      </w:r>
    </w:p>
    <w:p>
      <w:r>
        <w:t>Toute modification des spécifications intervient par avenant écrit détaillant les impacts sur délais, coûts et qualité.</w:t>
      </w:r>
    </w:p>
    <w:p>
      <w:pPr>
        <w:pStyle w:val="Heading2"/>
      </w:pPr>
      <w:r>
        <w:t>Article 43 - Fournisseur unique et approvisionnement</w:t>
      </w:r>
    </w:p>
    <w:p>
      <w:r>
        <w:t>Si le fournisseur est monopoliste pour un composant, il s'engage à assurer l'approvisionnement continu à des prix raisonnables. L'acheteur peut chercher des alternatives.</w:t>
      </w:r>
    </w:p>
    <w:p>
      <w:pPr>
        <w:pStyle w:val="Heading2"/>
      </w:pPr>
      <w:r>
        <w:t>Article 44 - Innovation et améliorations</w:t>
      </w:r>
    </w:p>
    <w:p>
      <w:r>
        <w:t>Le fournisseur propose régulièrement des innovations améliorant les performances ou réduisant les coûts. Les bénéfices des améliorations sont partagés équitablement.</w:t>
      </w:r>
    </w:p>
    <w:p>
      <w:pPr>
        <w:pStyle w:val="Heading2"/>
      </w:pPr>
      <w:r>
        <w:t>Article 45 - Durée du marché et prorogation</w:t>
      </w:r>
    </w:p>
    <w:p>
      <w:r>
        <w:t>Le marché court pour la période définie. Il peut être prorogé selon les dispositions convenues pour garantir la disponibilité continue des produits.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