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CCAG Techniques de l'information et de la communication - Arrêté du 30 mars 2021</w:t>
      </w:r>
    </w:p>
    <w:p>
      <w:pPr>
        <w:pStyle w:val="Heading2"/>
      </w:pPr>
      <w:r>
        <w:t>Article 1 - Champ d'application</w:t>
      </w:r>
    </w:p>
    <w:p>
      <w:r>
        <w:t>Les présentes clauses s'appliquent aux marchés TIC (technologies de l'information et de la communication) passés par les pouvoirs adjudicateurs. Elles couvrent l'acquisition de matériels informatiques, de logiciels, de services informatiques et toute prestation ayant trait à la dématérialisation.</w:t>
      </w:r>
    </w:p>
    <w:p>
      <w:pPr>
        <w:pStyle w:val="Heading2"/>
      </w:pPr>
      <w:r>
        <w:t>Article 2 - Définitions</w:t>
      </w:r>
    </w:p>
    <w:p>
      <w:r>
        <w:t>Au sens de ces clauses:</w:t>
        <w:br/>
        <w:t>- Prestataire TIC: la personne physique ou morale fournissant solutions ou services informatiques</w:t>
        <w:br/>
        <w:t>- Systèmes d'information: l'ensemble des composants matériels, logiciels et données</w:t>
        <w:br/>
        <w:t>- Accessibilité numérique: la capacité de tout utilisateur, notamment handicapé, à accéder aux ressources numériques</w:t>
        <w:br/>
        <w:t>- Interopérabilité: la capacité de différents systèmes à fonctionner ensemble</w:t>
      </w:r>
    </w:p>
    <w:p>
      <w:pPr>
        <w:pStyle w:val="Heading2"/>
      </w:pPr>
      <w:r>
        <w:t>Article 3 - Obligations du prestataire TIC</w:t>
      </w:r>
    </w:p>
    <w:p>
      <w:r>
        <w:t>Le prestataire s'engage à fournir des solutions et services TIC conformes aux standards de qualité, d'accessibilité et de sécurité. Il respecte les délais de mise en œuvre et les spécifications techniques convenues.</w:t>
      </w:r>
    </w:p>
    <w:p>
      <w:pPr>
        <w:pStyle w:val="Heading2"/>
      </w:pPr>
      <w:r>
        <w:t>Article 4 - Architecture technique et standards</w:t>
      </w:r>
    </w:p>
    <w:p>
      <w:r>
        <w:t>Les solutions proposées doivent être basées sur une architecture moderne, évolutive et maintenable. Le prestataire se conforme aux standards ouverts et aux frameworks reconnus dans le domaine des TIC.</w:t>
      </w:r>
    </w:p>
    <w:p>
      <w:pPr>
        <w:pStyle w:val="Heading2"/>
      </w:pPr>
      <w:r>
        <w:t>Article 5 - Accessibilité numérique</w:t>
      </w:r>
    </w:p>
    <w:p>
      <w:r>
        <w:t>Toute solution ou service informatique doit respecter les normes d'accessibilité numérique WCAG 2.1 niveau AA minimum pour garantir l'accès aux personnes handicapées. Le prestataire procède à des audits d'accessibilité.</w:t>
      </w:r>
    </w:p>
    <w:p>
      <w:pPr>
        <w:pStyle w:val="Heading2"/>
      </w:pPr>
      <w:r>
        <w:t>Article 6 - Sécurité de l'information</w:t>
      </w:r>
    </w:p>
    <w:p>
      <w:r>
        <w:t>Le prestataire met en place les mesures de sécurité appropriées conformément à la norme ISO 27001. Il protège les données contre les accès non autorisés, les modifications ou la destruction. Il se conforme à la réglementation sectorielle applicable.</w:t>
      </w:r>
    </w:p>
    <w:p>
      <w:pPr>
        <w:pStyle w:val="Heading2"/>
      </w:pPr>
      <w:r>
        <w:t>Article 7 - Conformité RGPD</w:t>
      </w:r>
    </w:p>
    <w:p>
      <w:r>
        <w:t>Le prestataire se conforme au Règlement Général sur la Protection des Données (RGPD). Il met en place les garanties nécessaires pour le traitement sécurisé et légal des données personnelles.</w:t>
      </w:r>
    </w:p>
    <w:p>
      <w:pPr>
        <w:pStyle w:val="Heading2"/>
      </w:pPr>
      <w:r>
        <w:t>Article 8 - Chiffrement et authentification</w:t>
      </w:r>
    </w:p>
    <w:p>
      <w:r>
        <w:t>Le prestataire utilise le chiffrement robuste pour la transmission et le stockage des données sensibles. Il met en place une authentification multi-facteurs pour l'accès aux ressources critiques.</w:t>
      </w:r>
    </w:p>
    <w:p>
      <w:pPr>
        <w:pStyle w:val="Heading2"/>
      </w:pPr>
      <w:r>
        <w:t>Article 9 - Sauvegardes et continuité de service</w:t>
      </w:r>
    </w:p>
    <w:p>
      <w:r>
        <w:t>Le prestataire effectue des sauvegardes régulières et maintient un plan de continuité de service. Il garantit un RTO (Recovery Time Objective) et RPO (Recovery Point Objective) convenus avec l'acheteur.</w:t>
      </w:r>
    </w:p>
    <w:p>
      <w:pPr>
        <w:pStyle w:val="Heading2"/>
      </w:pPr>
      <w:r>
        <w:t>Article 10 - Support technique et maintenance</w:t>
      </w:r>
    </w:p>
    <w:p>
      <w:r>
        <w:t>Le prestataire fournit un support technique selon les niveaux de service (SLA) convenus. Il assure la maintenance corrective, préventive et évolutive des systèmes.</w:t>
      </w:r>
    </w:p>
    <w:p>
      <w:pPr>
        <w:pStyle w:val="Heading2"/>
      </w:pPr>
      <w:r>
        <w:t>Article 11 - Interopérabilité et intégration</w:t>
      </w:r>
    </w:p>
    <w:p>
      <w:r>
        <w:t>Les solutions fournies doivent être interopérables avec les systèmes existants de l'acheteur. Le prestataire facilite les intégrations nécessaires selon les standards ouverts.</w:t>
      </w:r>
    </w:p>
    <w:p>
      <w:pPr>
        <w:pStyle w:val="Heading2"/>
      </w:pPr>
      <w:r>
        <w:t>Article 12 - Logiciels libres et propriétaires</w:t>
      </w:r>
    </w:p>
    <w:p>
      <w:r>
        <w:t>Le prestataire peut proposer des solutions basées sur logiciels libres ou propriétaires. Le marché précise les préférences et contraintes de l'acheteur concernant la nature des logiciels.</w:t>
      </w:r>
    </w:p>
    <w:p>
      <w:pPr>
        <w:pStyle w:val="Heading2"/>
      </w:pPr>
      <w:r>
        <w:t>Article 13 - Licences et droits d'utilisation</w:t>
      </w:r>
    </w:p>
    <w:p>
      <w:r>
        <w:t>Le prestataire fournit les licences d'utilisation adéquates. Il garantit la légalité des logiciels fournis et le respect des conditions d'utilisation. L'acheteur reçoit les droits d'utilisation convenus.</w:t>
      </w:r>
    </w:p>
    <w:p>
      <w:pPr>
        <w:pStyle w:val="Heading2"/>
      </w:pPr>
      <w:r>
        <w:t>Article 14 - Documentation technique</w:t>
      </w:r>
    </w:p>
    <w:p>
      <w:r>
        <w:t>Le prestataire fournit une documentation technique complète: architecture, schémas réseau, guides d'administration, procédures de maintenance et de secours.</w:t>
      </w:r>
    </w:p>
    <w:p>
      <w:pPr>
        <w:pStyle w:val="Heading2"/>
      </w:pPr>
      <w:r>
        <w:t>Article 15 - Formation et transfert de compétences</w:t>
      </w:r>
    </w:p>
    <w:p>
      <w:r>
        <w:t>Le prestataire dispense une formation au personnel de l'acheteur sur l'utilisation et l'administration des systèmes. Il assure le transfert des compétences pour l'autonomie de l'acheteur.</w:t>
      </w:r>
    </w:p>
    <w:p>
      <w:pPr>
        <w:pStyle w:val="Heading2"/>
      </w:pPr>
      <w:r>
        <w:t>Article 16 - Conformité réglementaire sectorielle</w:t>
      </w:r>
    </w:p>
    <w:p>
      <w:r>
        <w:t>Les solutions doivent respecter la réglementation applicable au secteur de l'acheteur (santé, finance, éducation, etc.). Le prestataire fournit les attestations de conformité.</w:t>
      </w:r>
    </w:p>
    <w:p>
      <w:pPr>
        <w:pStyle w:val="Heading2"/>
      </w:pPr>
      <w:r>
        <w:t>Article 17 - Évolutivité et performance</w:t>
      </w:r>
    </w:p>
    <w:p>
      <w:r>
        <w:t>Les solutions doivent être dimensionnées pour supporter la croissance prévisible. Le prestataire documente les performances et les capacités de montée en charge.</w:t>
      </w:r>
    </w:p>
    <w:p>
      <w:pPr>
        <w:pStyle w:val="Heading2"/>
      </w:pPr>
      <w:r>
        <w:t>Article 18 - Conditions de paiement</w:t>
      </w:r>
    </w:p>
    <w:p>
      <w:r>
        <w:t>Le paiement s'effectue selon le calendrier du marché: sur jalon de réalisation, sur résultats, ou selon un calendrier de prestation. L'acheteur paie dans les 30 jours suivant facture conforme.</w:t>
      </w:r>
    </w:p>
    <w:p>
      <w:pPr>
        <w:pStyle w:val="Heading2"/>
      </w:pPr>
      <w:r>
        <w:t>Article 19 - Décommissionnement et migration</w:t>
      </w:r>
    </w:p>
    <w:p>
      <w:r>
        <w:t>Le prestataire assure le décommissionnement sécurisé de l'ancien système et la migration vers la nouvelle solution. Il assure la récupération complète des données et l'absence de perte.</w:t>
      </w:r>
    </w:p>
    <w:p>
      <w:pPr>
        <w:pStyle w:val="Heading2"/>
      </w:pPr>
      <w:r>
        <w:t>Article 20 - Propriété intellectuelle et code source</w:t>
      </w:r>
    </w:p>
    <w:p>
      <w:r>
        <w:t>Le prestataire cède les droits d'utilisation de code développé spécifiquement pour l'acheteur. L'acheteur peut demander la fourniture du code source ou d'une tierce de dépôt sécurisée.</w:t>
      </w:r>
    </w:p>
    <w:p>
      <w:pPr>
        <w:pStyle w:val="Heading2"/>
      </w:pPr>
      <w:r>
        <w:t>Article 21 - Garanties et défauts</w:t>
      </w:r>
    </w:p>
    <w:p>
      <w:r>
        <w:t>Le prestataire garantit l'absence de défauts du logiciel et du matériel fourni. Les défauts découverts doivent être corrigés gratuitement pendant la période de garantie (minimum 12 mois).</w:t>
      </w:r>
    </w:p>
    <w:p>
      <w:pPr>
        <w:pStyle w:val="Heading2"/>
      </w:pPr>
      <w:r>
        <w:t>Article 22 - Mises à jour et patches</w:t>
      </w:r>
    </w:p>
    <w:p>
      <w:r>
        <w:t>Le prestataire fournit les mises à jour de sécurité et les correctifs de défauts pendant la durée convenue. Il assure la compatibilité des mises à jour avec l'environnement de l'acheteur.</w:t>
      </w:r>
    </w:p>
    <w:p>
      <w:pPr>
        <w:pStyle w:val="Heading2"/>
      </w:pPr>
      <w:r>
        <w:t>Article 23 - Fin de support et fin de vie</w:t>
      </w:r>
    </w:p>
    <w:p>
      <w:r>
        <w:t>Le prestataire communique la fin de support des produits. Il assure une période suffisante pour la migration vers une solution pérenne. Les données restent accessibles après la fin de support.</w:t>
      </w:r>
    </w:p>
    <w:p>
      <w:pPr>
        <w:pStyle w:val="Heading2"/>
      </w:pPr>
      <w:r>
        <w:t>Article 24 - Testabilité et audit</w:t>
      </w:r>
    </w:p>
    <w:p>
      <w:r>
        <w:t>L'acheteur dispose du droit de tester les solutions et de faire réaliser des audits de sécurité et de conformité. Le prestataire coopère aux activités d'audit.</w:t>
      </w:r>
    </w:p>
    <w:p>
      <w:pPr>
        <w:pStyle w:val="Heading2"/>
      </w:pPr>
      <w:r>
        <w:t>Article 25 - Gestion des configurations</w:t>
      </w:r>
    </w:p>
    <w:p>
      <w:r>
        <w:t>Le prestataire maintient une gestion rigoureuse des configurations de tous les éléments techniques. Il documente les dépendances et les impacts de tout changement.</w:t>
      </w:r>
    </w:p>
    <w:p>
      <w:pPr>
        <w:pStyle w:val="Heading2"/>
      </w:pPr>
      <w:r>
        <w:t>Article 26 - Logs et audit trail</w:t>
      </w:r>
    </w:p>
    <w:p>
      <w:r>
        <w:t>Le prestataire enregistre les actions importantes et les accès aux systèmes critiques. Les journaux d'audit sont conservés selon la durée définie et fournis à l'acheteur sur demande.</w:t>
      </w:r>
    </w:p>
    <w:p>
      <w:pPr>
        <w:pStyle w:val="Heading2"/>
      </w:pPr>
      <w:r>
        <w:t>Article 27 - Plan de sécurité de l'information</w:t>
      </w:r>
    </w:p>
    <w:p>
      <w:r>
        <w:t>Le prestataire élabore et maintient un plan de sécurité de l'information (PSI) documentant l'approche de sécurité, les risques identifiés et les mesures de mitigation.</w:t>
      </w:r>
    </w:p>
    <w:p>
      <w:pPr>
        <w:pStyle w:val="Heading2"/>
      </w:pPr>
      <w:r>
        <w:t>Article 28 - Gestion des incidents de sécurité</w:t>
      </w:r>
    </w:p>
    <w:p>
      <w:r>
        <w:t>Le prestataire met en place une procédure de signalement et de gestion des incidents de sécurité. Il notifie l'acheteur sans délai dès détection d'un incident.</w:t>
      </w:r>
    </w:p>
    <w:p>
      <w:pPr>
        <w:pStyle w:val="Heading2"/>
      </w:pPr>
      <w:r>
        <w:t>Article 29 - Tests de pénétration et vulnérabilité</w:t>
      </w:r>
    </w:p>
    <w:p>
      <w:r>
        <w:t>Le prestataire effectue des tests de pénétration réguliers et des tests de vulnérabilité. Il documente les faiblesses découvertes et les corrections apportées.</w:t>
      </w:r>
    </w:p>
    <w:p>
      <w:pPr>
        <w:pStyle w:val="Heading2"/>
      </w:pPr>
      <w:r>
        <w:t>Article 30 - Conformité aux standards de codage</w:t>
      </w:r>
    </w:p>
    <w:p>
      <w:r>
        <w:t>Pour les développements informatiques, le prestataire se conforme aux standards de codage reconnus, aux bonnes pratiques de programmation et aux normes d'architecture.</w:t>
      </w:r>
    </w:p>
    <w:p>
      <w:pPr>
        <w:pStyle w:val="Heading2"/>
      </w:pPr>
      <w:r>
        <w:t>Article 31 - Contrôle de qualité logicielle</w:t>
      </w:r>
    </w:p>
    <w:p>
      <w:r>
        <w:t>Le prestataire met en place des processus de test rigoureux incluant tests unitaires, intégration, acceptation et de régression avant livraison.</w:t>
      </w:r>
    </w:p>
    <w:p>
      <w:pPr>
        <w:pStyle w:val="Heading2"/>
      </w:pPr>
      <w:r>
        <w:t>Article 32 - Hébergement et données</w:t>
      </w:r>
    </w:p>
    <w:p>
      <w:r>
        <w:t>L'hébergement s'effectue selon les modalités convenues: on-premise, cloud privé ou cloud public. Le prestataire garantit la localisation des données selon la réglementation.</w:t>
      </w:r>
    </w:p>
    <w:p>
      <w:pPr>
        <w:pStyle w:val="Heading2"/>
      </w:pPr>
      <w:r>
        <w:t>Article 33 - Gestion de crise et plan de secours</w:t>
      </w:r>
    </w:p>
    <w:p>
      <w:r>
        <w:t>Le prestataire dispose d'un plan de secours testé régulièrement. Il assure une disponibilité minimale convenus (SLA de disponibilité 99.9% ou supérieur selon besoin).</w:t>
      </w:r>
    </w:p>
    <w:p>
      <w:pPr>
        <w:pStyle w:val="Heading2"/>
      </w:pPr>
      <w:r>
        <w:t>Article 34 - Durée du marché et renouvellement</w:t>
      </w:r>
    </w:p>
    <w:p>
      <w:r>
        <w:t>Le marché TIC court pour la période définie incluant implémentation et support. Il peut être prorogé selon les modalités convenues.</w:t>
      </w:r>
    </w:p>
    <w:p>
      <w:pPr>
        <w:pStyle w:val="Heading2"/>
      </w:pPr>
      <w:r>
        <w:t>Article 35 - Résiliation et sortie de service</w:t>
      </w:r>
    </w:p>
    <w:p>
      <w:r>
        <w:t>L'acheteur peut résilier le marché en cas de manquement grave. Le prestataire assure une sortie de service en bon ordre avec fourniture de toutes les données.</w:t>
      </w:r>
    </w:p>
    <w:p>
      <w:pPr>
        <w:pStyle w:val="Heading2"/>
      </w:pPr>
      <w:r>
        <w:t>Article 36 - Reversibilité et portabilité des données</w:t>
      </w:r>
    </w:p>
    <w:p>
      <w:r>
        <w:t>Le prestataire assure la possibilité de migrer vers une autre solution. Il fournit les données dans un format standard exploitable et participe à la transition.</w:t>
      </w:r>
    </w:p>
    <w:p>
      <w:pPr>
        <w:pStyle w:val="Heading2"/>
      </w:pPr>
      <w:r>
        <w:t>Article 37 - Coûts de propriété totaux</w:t>
      </w:r>
    </w:p>
    <w:p>
      <w:r>
        <w:t>Le marché prend en compte le coût total de propriété incluant acquisition, implémentation, maintenance, support et décommissionnement.</w:t>
      </w:r>
    </w:p>
    <w:p>
      <w:pPr>
        <w:pStyle w:val="Heading2"/>
      </w:pPr>
      <w:r>
        <w:t>Article 38 - Partenariats et sous-traitance TIC</w:t>
      </w:r>
    </w:p>
    <w:p>
      <w:r>
        <w:t>Les partenariats doivent être déclarés. Le prestataire reste responsable de la qualité de toute sous-traitance informatique. Les sous-traitants doivent respecter les mêmes standards de sécurité.</w:t>
      </w:r>
    </w:p>
    <w:p>
      <w:pPr>
        <w:pStyle w:val="Heading2"/>
      </w:pPr>
      <w:r>
        <w:t>Article 39 - Droit applicable et juridiction</w:t>
      </w:r>
    </w:p>
    <w:p>
      <w:r>
        <w:t>Le marché est soumis à la loi française. Les litiges relèvent de la juridiction compétente. Les dispositions de droit international applicables en matière informatique s'appliquent le cas échéant.</w:t>
      </w:r>
    </w:p>
    <w:p>
      <w:pPr>
        <w:pStyle w:val="Heading2"/>
      </w:pPr>
      <w:r>
        <w:t>Article 40 - Modification des technologies</w:t>
      </w:r>
    </w:p>
    <w:p>
      <w:r>
        <w:t>Le prestataire informe l'acheteur de tout obsolescence technologique affectant la solution. Il propose des plans de modernisation pour maintenir la viabilité technique.</w:t>
      </w:r>
    </w:p>
    <w:p>
      <w:pPr>
        <w:pStyle w:val="Heading2"/>
      </w:pPr>
      <w:r>
        <w:t>Article 41 - Évaluation des solutions TIC</w:t>
      </w:r>
    </w:p>
    <w:p>
      <w:r>
        <w:t>L'acheteur se réserve le droit de faire évaluer les solutions par des tiers indépendants. Le prestataire coopère à ces évaluations et certifications.</w:t>
      </w:r>
    </w:p>
    <w:p>
      <w:pPr>
        <w:pStyle w:val="Heading2"/>
      </w:pPr>
      <w:r>
        <w:t>Article 42 - Gouvernance et pilotage</w:t>
      </w:r>
    </w:p>
    <w:p>
      <w:r>
        <w:t>Une gouvernance est mise en place pour le suivi du marché incluant comités de pilotage, revues régulières et mécanismes de remontée d'enjeux.</w:t>
      </w:r>
    </w:p>
    <w:p>
      <w:pPr>
        <w:pStyle w:val="Heading2"/>
      </w:pPr>
      <w:r>
        <w:t>Article 43 - Responsabilité sociale de l'entreprise</w:t>
      </w:r>
    </w:p>
    <w:p>
      <w:r>
        <w:t>Le prestataire s'engage sur des pratiques responsables: efficacité énergétique des centres de données, réduction de l'impact carbone, éthique du recyclage des équipements.</w:t>
      </w:r>
    </w:p>
    <w:p>
      <w:pPr>
        <w:pStyle w:val="Heading2"/>
      </w:pPr>
      <w:r>
        <w:t>Article 44 - Veille technologique et innovation</w:t>
      </w:r>
    </w:p>
    <w:p>
      <w:r>
        <w:t>Le prestataire assure une veille technologique pour identifier les opportunités d'amélioration. Il propose des innovations bénéficiaires pour l'acheteur dans le périmètre du marché.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