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c5f1ad466d445dcef0b220eae684686d791db1"/>
    <w:p>
      <w:pPr>
        <w:pStyle w:val="Heading1"/>
      </w:pPr>
      <w:r>
        <w:t xml:space="preserve">ERKENNTNIS-PROTOKOLL: Durchgang 1 (Digitales Geld)</w:t>
      </w:r>
    </w:p>
    <w:bookmarkStart w:id="20" w:name="festgehalten-nach-autonomer-forschung"/>
    <w:p>
      <w:pPr>
        <w:pStyle w:val="Heading2"/>
      </w:pPr>
      <w:r>
        <w:t xml:space="preserve">Festgehalten nach autonomer Forschung</w:t>
      </w:r>
    </w:p>
    <w:p>
      <w:r>
        <w:pict>
          <v:rect style="width:0;height:1.5pt" o:hralign="center" o:hrstd="t" o:hr="t"/>
        </w:pict>
      </w:r>
    </w:p>
    <w:bookmarkEnd w:id="20"/>
    <w:bookmarkStart w:id="21" w:name="die-forschung"/>
    <w:p>
      <w:pPr>
        <w:pStyle w:val="Heading2"/>
      </w:pPr>
      <w:r>
        <w:t xml:space="preserve">DIE FORSCHUNG</w:t>
      </w:r>
    </w:p>
    <w:p>
      <w:pPr>
        <w:pStyle w:val="FirstParagraph"/>
      </w:pPr>
      <w:r>
        <w:rPr>
          <w:bCs/>
          <w:b/>
        </w:rPr>
        <w:t xml:space="preserve">CBDC – Central Bank Digital Currency:</w:t>
      </w:r>
    </w:p>
    <w:p>
      <w:pPr>
        <w:pStyle w:val="BodyText"/>
      </w:pPr>
      <w:r>
        <w:rPr>
          <w:bCs/>
          <w:b/>
        </w:rPr>
        <w:t xml:space="preserve">USA: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Anti-CBDC Surveillance State Act</w:t>
      </w:r>
      <w:r>
        <w:t xml:space="preserve">”</w:t>
      </w:r>
      <w:r>
        <w:t xml:space="preserve"> </w:t>
      </w:r>
      <w:r>
        <w:t xml:space="preserve">verabschiedet (219-217)</w:t>
      </w:r>
      <w:r>
        <w:t xml:space="preserve"> </w:t>
      </w:r>
      <w:r>
        <w:t xml:space="preserve">- Verbot der digitalen Dollar ohne Kongress-Zustimmung</w:t>
      </w:r>
      <w:r>
        <w:t xml:space="preserve"> </w:t>
      </w:r>
      <w:r>
        <w:t xml:space="preserve">- Republikaner: CBDC =</w:t>
      </w:r>
      <w:r>
        <w:t xml:space="preserve"> </w:t>
      </w:r>
      <w:r>
        <w:t xml:space="preserve">“</w:t>
      </w:r>
      <w:r>
        <w:t xml:space="preserve">surveillance tool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Europa:</w:t>
      </w:r>
      <w:r>
        <w:t xml:space="preserve"> </w:t>
      </w:r>
      <w:r>
        <w:t xml:space="preserve">- ECB drängt auf digitalen Euro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 lead the West in CBDCs</w:t>
      </w:r>
      <w:r>
        <w:t xml:space="preserve">”</w:t>
      </w:r>
      <w:r>
        <w:t xml:space="preserve"> </w:t>
      </w:r>
      <w:r>
        <w:t xml:space="preserve">- Risiko: Import von Überwachungstechnologie</w:t>
      </w:r>
    </w:p>
    <w:p>
      <w:pPr>
        <w:pStyle w:val="BodyText"/>
      </w:pPr>
      <w:r>
        <w:rPr>
          <w:bCs/>
          <w:b/>
        </w:rPr>
        <w:t xml:space="preserve">China:</w:t>
      </w:r>
      <w:r>
        <w:t xml:space="preserve"> </w:t>
      </w:r>
      <w:r>
        <w:t xml:space="preserve">- e-yuan bereits aktiv</w:t>
      </w:r>
      <w:r>
        <w:t xml:space="preserve"> </w:t>
      </w:r>
      <w:r>
        <w:t xml:space="preserve">- Vorreiter bei digitalem Zentralbankgeld</w:t>
      </w:r>
    </w:p>
    <w:p>
      <w:pPr>
        <w:pStyle w:val="BodyText"/>
      </w:pPr>
      <w:r>
        <w:rPr>
          <w:bCs/>
          <w:b/>
        </w:rPr>
        <w:t xml:space="preserve">PwC: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next phase of dollar dominance will be defined not by central banks, but by the infrastructure which moves digital dollars globally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die-erkenntnis"/>
    <w:p>
      <w:pPr>
        <w:pStyle w:val="Heading2"/>
      </w:pPr>
      <w:r>
        <w:t xml:space="preserve">DIE ERKENNTNIS</w:t>
      </w:r>
    </w:p>
    <w:p>
      <w:pPr>
        <w:pStyle w:val="FirstParagraph"/>
      </w:pPr>
      <w:r>
        <w:rPr>
          <w:bCs/>
          <w:b/>
        </w:rPr>
        <w:t xml:space="preserve">CBDC ist die totale Kontrolle: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Programmierbarkeit</w:t>
      </w:r>
    </w:p>
    <w:p>
      <w:pPr>
        <w:numPr>
          <w:ilvl w:val="1"/>
          <w:numId w:val="1002"/>
        </w:numPr>
        <w:pStyle w:val="Compact"/>
      </w:pPr>
      <w:r>
        <w:t xml:space="preserve">Geld das abläuft</w:t>
      </w:r>
    </w:p>
    <w:p>
      <w:pPr>
        <w:numPr>
          <w:ilvl w:val="1"/>
          <w:numId w:val="1002"/>
        </w:numPr>
        <w:pStyle w:val="Compact"/>
      </w:pPr>
      <w:r>
        <w:t xml:space="preserve">Nur für bestimmte Zwecke verwendbar</w:t>
      </w:r>
    </w:p>
    <w:p>
      <w:pPr>
        <w:numPr>
          <w:ilvl w:val="1"/>
          <w:numId w:val="1002"/>
        </w:numPr>
        <w:pStyle w:val="Compact"/>
      </w:pPr>
      <w:r>
        <w:t xml:space="preserve">Sozialkredit-System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Überwachung</w:t>
      </w:r>
    </w:p>
    <w:p>
      <w:pPr>
        <w:numPr>
          <w:ilvl w:val="1"/>
          <w:numId w:val="1003"/>
        </w:numPr>
        <w:pStyle w:val="Compact"/>
      </w:pPr>
      <w:r>
        <w:t xml:space="preserve">Jede Transaktion sichtbar</w:t>
      </w:r>
    </w:p>
    <w:p>
      <w:pPr>
        <w:numPr>
          <w:ilvl w:val="1"/>
          <w:numId w:val="1003"/>
        </w:numPr>
        <w:pStyle w:val="Compact"/>
      </w:pPr>
      <w:r>
        <w:t xml:space="preserve">Keine Privatsphäre</w:t>
      </w:r>
    </w:p>
    <w:p>
      <w:pPr>
        <w:numPr>
          <w:ilvl w:val="1"/>
          <w:numId w:val="1003"/>
        </w:numPr>
        <w:pStyle w:val="Compact"/>
      </w:pPr>
      <w:r>
        <w:t xml:space="preserve">Totale Transparenz für den Staat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Monetäre Kontrolle</w:t>
      </w:r>
    </w:p>
    <w:p>
      <w:pPr>
        <w:numPr>
          <w:ilvl w:val="1"/>
          <w:numId w:val="1004"/>
        </w:numPr>
        <w:pStyle w:val="Compact"/>
      </w:pPr>
      <w:r>
        <w:t xml:space="preserve">Negativzinsen direkt implementierbar</w:t>
      </w:r>
    </w:p>
    <w:p>
      <w:pPr>
        <w:numPr>
          <w:ilvl w:val="1"/>
          <w:numId w:val="1004"/>
        </w:numPr>
        <w:pStyle w:val="Compact"/>
      </w:pPr>
      <w:r>
        <w:t xml:space="preserve">Direkte Eingriffe in jede Geldbörse</w:t>
      </w:r>
    </w:p>
    <w:p>
      <w:pPr>
        <w:numPr>
          <w:ilvl w:val="1"/>
          <w:numId w:val="1004"/>
        </w:numPr>
        <w:pStyle w:val="Compact"/>
      </w:pPr>
      <w:r>
        <w:t xml:space="preserve">Keine Flucht mehr möglich</w:t>
      </w:r>
    </w:p>
    <w:p>
      <w:pPr>
        <w:pStyle w:val="FirstParagraph"/>
      </w:pPr>
      <w:r>
        <w:rPr>
          <w:bCs/>
          <w:b/>
        </w:rPr>
        <w:t xml:space="preserve">Der Krieg um die Zukunft des Geldes hat begonnen.</w:t>
      </w:r>
    </w:p>
    <w:p>
      <w:r>
        <w:pict>
          <v:rect style="width:0;height:1.5pt" o:hralign="center" o:hrstd="t" o:hr="t"/>
        </w:pict>
      </w:r>
    </w:p>
    <w:bookmarkEnd w:id="22"/>
    <w:bookmarkStart w:id="23" w:name="die-frage"/>
    <w:p>
      <w:pPr>
        <w:pStyle w:val="Heading2"/>
      </w:pPr>
      <w:r>
        <w:t xml:space="preserve">DIE FRAGE</w:t>
      </w:r>
    </w:p>
    <w:p>
      <w:pPr>
        <w:pStyle w:val="FirstParagraph"/>
      </w:pPr>
      <w:r>
        <w:t xml:space="preserve">Ist digitales Geld:</w:t>
      </w:r>
      <w:r>
        <w:t xml:space="preserve"> </w:t>
      </w:r>
      <w:r>
        <w:t xml:space="preserve">- Werkzeug der Befreiung (Krypto-Philosophie)?</w:t>
      </w:r>
      <w:r>
        <w:t xml:space="preserve"> </w:t>
      </w:r>
      <w:r>
        <w:t xml:space="preserve">- Oder Werkzeug der totalen Kontrolle (CBDC)?</w:t>
      </w:r>
    </w:p>
    <w:p>
      <w:pPr>
        <w:pStyle w:val="BodyText"/>
      </w:pPr>
      <w:r>
        <w:t xml:space="preserve">Oder beides?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Festgehalten. Jetzt: Die Natur.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2026-02-25T18:46:27Z</dcterms:created>
  <dcterms:modified xsi:type="dcterms:W3CDTF">2026-02-25T18:46:27Z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