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1"/>
        <w:spacing w:before="0"/>
      </w:pPr>
      <w:r>
        <w:t>INTRODUCTION</w:t>
      </w:r>
    </w:p>
    <w:p>
      <w:pPr>
        <w:pStyle w:val="Heading2"/>
      </w:pPr>
      <w:r>
        <w:t>1.1  Motivation for Research</w:t>
      </w:r>
    </w:p>
    <w:p>
      <w:pPr>
        <w:pStyle w:val="Heading3"/>
      </w:pPr>
      <w:r>
        <w:t>The Consumer Perspective</w:t>
      </w:r>
    </w:p>
    <w:p>
      <w:pPr>
        <w:pStyle w:val="NoIndent"/>
      </w:pPr>
      <w:r>
        <w:t xml:space="preserve">Grocery shopping in Vietnam has changed considerably over the past few years. Where consumers once relied almost entirely on wet markets and neighbourhood shops, a growing share of urban households now orders food online—scrolling through product listings, comparing prices, and checking out with a few taps (Tran et al., 2025; Bairagi et al., 2020). In this environment, one pattern stands out immediately: </w:t>
      </w:r>
      <w:r>
        <w:rPr>
          <w:b/>
        </w:rPr>
        <w:t>identical grocery items routinely carry different prices</w:t>
      </w:r>
      <w:r>
        <w:t>, not only across platforms, but even within a single retailer’s own catalogue. A litre of fresh milk on Winmart’s website, for instance, can range from a budget house-brand carton at around 25,000 VND to an imported organic option at over 80,000 VND—a threefold to fivefold difference for what is, at its core, the same product type.</w:t>
      </w:r>
    </w:p>
    <w:p>
      <w:pPr/>
      <w:r>
        <w:t xml:space="preserve">What is even more striking is the gap between what a retailer displays and what a consumer actually pays. Most products on Winmart carry </w:t>
      </w:r>
      <w:r>
        <w:rPr>
          <w:b/>
        </w:rPr>
        <w:t>two visible prices</w:t>
      </w:r>
      <w:r>
        <w:t xml:space="preserve">: a </w:t>
      </w:r>
      <w:r>
        <w:rPr>
          <w:b/>
        </w:rPr>
        <w:t>marked price</w:t>
      </w:r>
      <w:r>
        <w:t xml:space="preserve"> (the sticker or original price) and a </w:t>
      </w:r>
      <w:r>
        <w:rPr>
          <w:b/>
        </w:rPr>
        <w:t>final price</w:t>
      </w:r>
      <w:r>
        <w:t xml:space="preserve"> (the checkout price after promotions). These are not small differences. In some categories, promotions are so pervasive that they appear to be the default pricing regime rather than a temporary event. This raises a natural question: what determines the gap between the sticker tag and the checkout total? Which product attributes—brand name, import origin, health claims, packaging size—actually cost more at the till, and which are marked up on the shelf only to be discounted away?</w:t>
      </w:r>
    </w:p>
    <w:p>
      <w:pPr/>
      <w:r>
        <w:t xml:space="preserve">These are not purely academic questions. For a Vietnamese consumer deciding between a domestic and an imported yoghurt, or between a well-known brand and an unfamiliar one, the sticker price tells one story and the checkout price may tell another. Understanding </w:t>
      </w:r>
      <w:r>
        <w:rPr>
          <w:b/>
        </w:rPr>
        <w:t>which premiums are real and which are promotional theatre</w:t>
      </w:r>
      <w:r>
        <w:t xml:space="preserve"> has practical implications for everyday household budgeting.</w:t>
      </w:r>
    </w:p>
    <w:p>
      <w:pPr>
        <w:pStyle w:val="Heading3"/>
      </w:pPr>
      <w:r>
        <w:t>Career Aspirations</w:t>
      </w:r>
    </w:p>
    <w:p>
      <w:pPr>
        <w:pStyle w:val="NoIndent"/>
      </w:pPr>
      <w:r>
        <w:t xml:space="preserve">On a personal level, this thesis represents a transition from theoretical coursework to </w:t>
      </w:r>
      <w:r>
        <w:rPr>
          <w:b/>
        </w:rPr>
        <w:t>applied analytics on a real market dataset</w:t>
      </w:r>
      <w:r>
        <w:t xml:space="preserve">. The project involved building an </w:t>
      </w:r>
      <w:r>
        <w:rPr>
          <w:b/>
        </w:rPr>
        <w:t>end-to-end data pipeline</w:t>
      </w:r>
      <w:r>
        <w:t>—from automated web scraping and natural language processing to econometric modelling—that runs daily and has accumulated nearly three months of continuous price observations. This is the kind of hands-on, data-intensive work that I want to pursue after graduation.</w:t>
      </w:r>
    </w:p>
    <w:p>
      <w:pPr/>
      <w:r>
        <w:t>The analytical challenge at the centre of the thesis—</w:t>
      </w:r>
      <w:r>
        <w:rPr>
          <w:b/>
        </w:rPr>
        <w:t>decomposing an observed price into its constituent attribute values</w:t>
      </w:r>
      <w:r>
        <w:t xml:space="preserve"> (brand, origin, health claim, packaging) using regression analysis—is essentially a problem of </w:t>
      </w:r>
      <w:r>
        <w:rPr>
          <w:b/>
        </w:rPr>
        <w:t>reverse-engineering market valuations</w:t>
      </w:r>
      <w:r>
        <w:t xml:space="preserve"> from publicly observable data. It draws on skills in web scraping, text processing, and statistical modelling that are directly transferable to roles in pricing analytics, market research, and data science.</w:t>
      </w:r>
    </w:p>
    <w:p>
      <w:pPr>
        <w:pStyle w:val="Heading3"/>
      </w:pPr>
      <w:r>
        <w:t>Expected Relevance to Daily Grocery Decisions</w:t>
      </w:r>
    </w:p>
    <w:p>
      <w:pPr>
        <w:pStyle w:val="NoIndent"/>
      </w:pPr>
      <w:r>
        <w:rPr>
          <w:b/>
        </w:rPr>
        <w:t>Informed spending.</w:t>
      </w:r>
      <w:r>
        <w:t xml:space="preserve"> If the analysis can show which product attributes genuinely cost more at checkout versus which are marked up on the sticker only to be discounted away, a consumer can distinguish </w:t>
      </w:r>
      <w:r>
        <w:rPr>
          <w:b/>
        </w:rPr>
        <w:t>real premiums from promotional framing</w:t>
      </w:r>
      <w:r>
        <w:t>—for instance, knowing whether the extra cost of an imported or organic label actually reaches the till, or whether promotions effectively neutralise it.</w:t>
      </w:r>
    </w:p>
    <w:p>
      <w:pPr/>
      <w:r>
        <w:rPr>
          <w:b/>
        </w:rPr>
        <w:t>Navigating promotions.</w:t>
      </w:r>
      <w:r>
        <w:t xml:space="preserve"> With promotion rates as high as </w:t>
      </w:r>
      <w:r>
        <w:rPr>
          <w:b/>
        </w:rPr>
        <w:t>92.7% in categories like Dairy</w:t>
      </w:r>
      <w:r>
        <w:t>, discounts are arguably the norm rather than the exception. Understanding which premiums survive this regime helps everyday shoppers evaluate whether a “sale” price is a genuine saving or simply the normal price dressed in promotional framing.</w:t>
      </w:r>
    </w:p>
    <w:p>
      <w:pPr/>
      <w:r>
        <w:rPr>
          <w:b/>
        </w:rPr>
        <w:t>Budget allocation.</w:t>
      </w:r>
      <w:r>
        <w:t xml:space="preserve"> If price-tier positioning (budget vs. premium) persists through discounting while brand-name premiums are largely eroded, the single most consequential choice in a grocery basket may not be </w:t>
      </w:r>
      <w:r>
        <w:rPr>
          <w:b/>
          <w:i/>
        </w:rPr>
        <w:t>which brand</w:t>
      </w:r>
      <w:r>
        <w:t xml:space="preserve"> to buy, but </w:t>
      </w:r>
      <w:r>
        <w:rPr>
          <w:b/>
          <w:i/>
        </w:rPr>
        <w:t>which price tier</w:t>
      </w:r>
      <w:r>
        <w:t xml:space="preserve"> to shop in—a practical insight for household budgeting.</w:t>
      </w:r>
    </w:p>
    <w:p>
      <w:pPr>
        <w:pStyle w:val="Heading2"/>
      </w:pPr>
      <w:r>
        <w:t>1.2  Research Subject and Scope</w:t>
      </w:r>
    </w:p>
    <w:p>
      <w:pPr>
        <w:pStyle w:val="NoIndent"/>
      </w:pPr>
      <w:r>
        <w:t xml:space="preserve">This thesis examines </w:t>
      </w:r>
      <w:r>
        <w:rPr>
          <w:b/>
        </w:rPr>
        <w:t>attribute-based price premiums in Vietnamese online grocery retail</w:t>
      </w:r>
      <w:r>
        <w:t xml:space="preserve">, using </w:t>
      </w:r>
      <w:r>
        <w:rPr>
          <w:b/>
        </w:rPr>
        <w:t>88 days of web-scraped dual-price data</w:t>
      </w:r>
      <w:r>
        <w:t xml:space="preserve"> (December 18, 2025 to mid-March 2026) from </w:t>
      </w:r>
      <w:r>
        <w:rPr>
          <w:b/>
        </w:rPr>
        <w:t>Winmart</w:t>
      </w:r>
      <w:r>
        <w:t xml:space="preserve">, Vietnam’s largest modern grocery chain by store count (WinCommerce, 2025). The dataset covers </w:t>
      </w:r>
      <w:r>
        <w:rPr>
          <w:b/>
        </w:rPr>
        <w:t>10 food categories</w:t>
      </w:r>
      <w:r>
        <w:t xml:space="preserve"> and approximately </w:t>
      </w:r>
      <w:r>
        <w:rPr>
          <w:b/>
        </w:rPr>
        <w:t>2,280 unique products</w:t>
      </w:r>
      <w:r>
        <w:t>.</w:t>
      </w:r>
    </w:p>
    <w:p>
      <w:pPr/>
      <w:r>
        <w:t xml:space="preserve">A distinctive feature of the data is that most products display two prices: a </w:t>
      </w:r>
      <w:r>
        <w:rPr>
          <w:b/>
        </w:rPr>
        <w:t>marked price</w:t>
      </w:r>
      <w:r>
        <w:t xml:space="preserve"> (the sticker or original price displayed on the virtual shelf) and a </w:t>
      </w:r>
      <w:r>
        <w:rPr>
          <w:b/>
        </w:rPr>
        <w:t>final price</w:t>
      </w:r>
      <w:r>
        <w:t xml:space="preserve"> (the actual checkout price after all applied promotions). </w:t>
      </w:r>
      <w:r>
        <w:rPr>
          <w:b/>
        </w:rPr>
        <w:t>Promotion penetration varies dramatically across categories</w:t>
      </w:r>
      <w:r>
        <w:t xml:space="preserve">, from 36.1% in spices to 0% in eggs and tofu. This </w:t>
      </w:r>
      <w:r>
        <w:rPr>
          <w:b/>
        </w:rPr>
        <w:t>dual-price structure</w:t>
      </w:r>
      <w:r>
        <w:t xml:space="preserve"> creates a natural opportunity to examine whether attribute premiums observed in sticker prices survive at the point of sale.</w:t>
      </w:r>
    </w:p>
    <w:p>
      <w:pPr/>
      <w:r>
        <w:t xml:space="preserve">The 88-day observation window spans </w:t>
      </w:r>
      <w:r>
        <w:rPr>
          <w:b/>
        </w:rPr>
        <w:t>Tết Nguyên Đán 2026 (February 17)</w:t>
      </w:r>
      <w:r>
        <w:t xml:space="preserve">, Vietnam’s most significant consumption event and a period of peak promotional activity. Rather than constituting a limitation, the inclusion of the Tết period provides </w:t>
      </w:r>
      <w:r>
        <w:rPr>
          <w:b/>
        </w:rPr>
        <w:t>maximum promotional variance</w:t>
      </w:r>
      <w:r>
        <w:t xml:space="preserve">—analytically useful for observing the full range of pricing behaviour. The cross-sectional hedonic design, which averages prices over each product’s observed days, dampens short-term seasonal noise, while subcategory fixed effects absorb category-level seasonality. A </w:t>
      </w:r>
      <w:r>
        <w:rPr>
          <w:b/>
        </w:rPr>
        <w:t>three-snapshot robustness check</w:t>
      </w:r>
      <w:r>
        <w:t xml:space="preserve"> (December, January, February) confirms the stability of coefficient estimates across the observation window.</w:t>
      </w:r>
    </w:p>
    <w:p>
      <w:pPr/>
      <w:r>
        <w:t xml:space="preserve">Vietnam’s online grocery sector is growing rapidly—food e-commerce revenue grew by an estimated 29% in 2024 (USDA, 2025)—yet there is </w:t>
      </w:r>
      <w:r>
        <w:rPr>
          <w:b/>
        </w:rPr>
        <w:t>almost no empirical evidence</w:t>
      </w:r>
      <w:r>
        <w:t xml:space="preserve"> on how product attributes translate into price premiums in this channel. The modern trade segment—supermarkets and their online extensions—increasingly dominates urban food retail, but academic research on Vietnamese food pricing has relied primarily on stated-preference surveys (Mergenthaler et al., 2009; Xuan, 2021) and single-commodity analyses (Nguyen et al., 2015). This thesis addresses that gap with a </w:t>
      </w:r>
      <w:r>
        <w:rPr>
          <w:b/>
        </w:rPr>
        <w:t>revealed-preference, multi-category hedonic approach</w:t>
      </w:r>
      <w:r>
        <w:t xml:space="preserve"> using actual transaction prices.</w:t>
      </w:r>
    </w:p>
    <w:p>
      <w:pPr>
        <w:pStyle w:val="Heading2"/>
      </w:pPr>
      <w:r>
        <w:t>1.3  Research Objectives</w:t>
      </w:r>
    </w:p>
    <w:p>
      <w:pPr>
        <w:pStyle w:val="NoIndent"/>
      </w:pPr>
      <w:r>
        <w:t>The overarching research question guiding this thesis is:</w:t>
      </w:r>
    </w:p>
    <w:p>
      <w:pPr>
        <w:spacing w:before="120" w:after="120"/>
        <w:ind w:firstLine="0" w:left="720" w:right="720"/>
      </w:pPr>
      <w:r>
        <w:rPr>
          <w:b/>
          <w:i/>
        </w:rPr>
        <w:t>“What product attributes generate price premiums in Vietnamese online grocery, and to what extent do promotional pricing strategies erode those premiums?”</w:t>
      </w:r>
    </w:p>
    <w:p>
      <w:pPr/>
      <w:r>
        <w:t>This research question is pursued through three specific objectives:</w:t>
      </w:r>
    </w:p>
    <w:p>
      <w:pPr>
        <w:pStyle w:val="NoIndent"/>
      </w:pPr>
      <w:r>
        <w:rPr>
          <w:b/>
        </w:rPr>
        <w:t xml:space="preserve">Primary objective: </w:t>
      </w:r>
      <w:r>
        <w:t>Identify which product attributes (</w:t>
      </w:r>
      <w:r>
        <w:rPr>
          <w:b/>
        </w:rPr>
        <w:t>brand positioning, import origin, health claims, pack size, freshness signals</w:t>
      </w:r>
      <w:r>
        <w:t>) generate statistically significant price premiums in Vietnamese online grocery retail.</w:t>
      </w:r>
    </w:p>
    <w:p>
      <w:pPr/>
      <w:r>
        <w:rPr>
          <w:b/>
        </w:rPr>
        <w:t xml:space="preserve">Secondary objective: </w:t>
      </w:r>
      <w:r>
        <w:t xml:space="preserve">Exploit the dual-price structure to examine whether </w:t>
      </w:r>
      <w:r>
        <w:rPr>
          <w:b/>
        </w:rPr>
        <w:t>promotional discounts erode those attribute premiums differentially</w:t>
      </w:r>
      <w:r>
        <w:t xml:space="preserve"> at checkout. The term “examine” is used deliberately: the promotional erosion analysis is </w:t>
      </w:r>
      <w:r>
        <w:rPr>
          <w:b/>
        </w:rPr>
        <w:t>descriptive</w:t>
      </w:r>
      <w:r>
        <w:t xml:space="preserve"> in nature—documenting the observable relationship between attributes and prices at two stages of the pricing pipeline, rather than identifying a causal mechanism behind the retailer’s promotional decisions (cf. Ekeland, Heckman &amp; Nesheim, 2001, on the identification limits of first-stage hedonic estimates).</w:t>
      </w:r>
    </w:p>
    <w:p>
      <w:pPr/>
      <w:r>
        <w:rPr>
          <w:b/>
        </w:rPr>
        <w:t xml:space="preserve">Tertiary objective: </w:t>
      </w:r>
      <w:r>
        <w:t xml:space="preserve">Examine how </w:t>
      </w:r>
      <w:r>
        <w:rPr>
          <w:b/>
        </w:rPr>
        <w:t>attribute premium structures vary across product categories</w:t>
      </w:r>
      <w:r>
        <w:t>, recognizing that the implicit market value of a given attribute may differ substantially between, for example, dairy products and fresh produce.</w:t>
      </w:r>
    </w:p>
    <w:p>
      <w:pPr>
        <w:pStyle w:val="Heading2"/>
      </w:pPr>
      <w:r>
        <w:t>1.4  Overview of Research Methods</w:t>
      </w:r>
    </w:p>
    <w:p>
      <w:pPr>
        <w:pStyle w:val="NoIndent"/>
      </w:pPr>
      <w:r>
        <w:t xml:space="preserve">The analytical approach proceeds in four stages: </w:t>
      </w:r>
      <w:r>
        <w:rPr>
          <w:b/>
        </w:rPr>
        <w:t>data collection</w:t>
      </w:r>
      <w:r>
        <w:t xml:space="preserve">, </w:t>
      </w:r>
      <w:r>
        <w:rPr>
          <w:b/>
        </w:rPr>
        <w:t>feature extraction</w:t>
      </w:r>
      <w:r>
        <w:t xml:space="preserve">, </w:t>
      </w:r>
      <w:r>
        <w:rPr>
          <w:b/>
        </w:rPr>
        <w:t>brand classification</w:t>
      </w:r>
      <w:r>
        <w:t xml:space="preserve">, and </w:t>
      </w:r>
      <w:r>
        <w:rPr>
          <w:b/>
        </w:rPr>
        <w:t>hedonic estimation</w:t>
      </w:r>
      <w:r>
        <w:t>.</w:t>
      </w:r>
    </w:p>
    <w:p>
      <w:pPr/>
      <w:r>
        <w:rPr>
          <w:b/>
        </w:rPr>
        <w:t xml:space="preserve">Data collection </w:t>
      </w:r>
      <w:r>
        <w:t xml:space="preserve">relies on </w:t>
      </w:r>
      <w:r>
        <w:rPr>
          <w:b/>
        </w:rPr>
        <w:t>automated daily web scraping</w:t>
      </w:r>
      <w:r>
        <w:t xml:space="preserve"> of Winmart’s online platform, yielding matched </w:t>
      </w:r>
      <w:r>
        <w:rPr>
          <w:b/>
        </w:rPr>
        <w:t>marked-price</w:t>
      </w:r>
      <w:r>
        <w:t xml:space="preserve"> and </w:t>
      </w:r>
      <w:r>
        <w:rPr>
          <w:b/>
        </w:rPr>
        <w:t>final-price</w:t>
      </w:r>
      <w:r>
        <w:t xml:space="preserve"> observations for each product on each day. Fifteen scraping robots, triggered daily via an orchestration server, capture the full product listing across 10 food categories. Raw data passes through a pipeline of deduplication, standardization, and quality filtering before analysis.</w:t>
      </w:r>
    </w:p>
    <w:p>
      <w:pPr/>
      <w:r>
        <w:rPr>
          <w:b/>
        </w:rPr>
        <w:t xml:space="preserve">Feature extraction </w:t>
      </w:r>
      <w:r>
        <w:t xml:space="preserve">employs </w:t>
      </w:r>
      <w:r>
        <w:rPr>
          <w:b/>
        </w:rPr>
        <w:t>natural language processing (NLP)</w:t>
      </w:r>
      <w:r>
        <w:t xml:space="preserve"> techniques to derive </w:t>
      </w:r>
      <w:r>
        <w:rPr>
          <w:b/>
        </w:rPr>
        <w:t>9 product-level attributes</w:t>
      </w:r>
      <w:r>
        <w:t xml:space="preserve"> from Vietnamese product name strings. These include brand identification (via substring matching against a curated dictionary of over 310 brand keywords), import origin detection (country-of-origin keywords in Vietnamese), health and freshness claim identification, and pack size extraction via regular expressions. The NLP pipeline has been validated against manual coding on a subset of products (see Chapter 3).</w:t>
      </w:r>
    </w:p>
    <w:p>
      <w:pPr/>
      <w:r>
        <w:rPr>
          <w:b/>
        </w:rPr>
        <w:t xml:space="preserve">Brand classification </w:t>
      </w:r>
      <w:r>
        <w:t xml:space="preserve">follows a </w:t>
      </w:r>
      <w:r>
        <w:rPr>
          <w:b/>
        </w:rPr>
        <w:t>four-quadrant positioning typology</w:t>
      </w:r>
      <w:r>
        <w:t xml:space="preserve"> grounded in the brand equity literature. Products are classified along two dimensions: </w:t>
      </w:r>
      <w:r>
        <w:rPr>
          <w:b/>
        </w:rPr>
        <w:t>brand recognition</w:t>
      </w:r>
      <w:r>
        <w:t xml:space="preserve"> (high versus low, operationalized via a curated list of approximately 30 nationally distributed brands, anchored in Keller’s (1993) brand awareness dimension) and </w:t>
      </w:r>
      <w:r>
        <w:rPr>
          <w:b/>
        </w:rPr>
        <w:t>price tier</w:t>
      </w:r>
      <w:r>
        <w:t xml:space="preserve"> (premium versus non-premium, defined as above or below the subcategory median price, drawing on Aaker’s (1991) perceived quality dimension). This produces five groups—Generic, Local &amp; Value, Household Giant, Niche Professional, and Prestige Leader—encoded as </w:t>
      </w:r>
      <w:r>
        <w:rPr>
          <w:b/>
        </w:rPr>
        <w:t>hierarchical dummy variables</w:t>
      </w:r>
      <w:r>
        <w:t xml:space="preserve"> in the regression.</w:t>
      </w:r>
    </w:p>
    <w:p>
      <w:pPr/>
      <w:r>
        <w:t xml:space="preserve">The core analytical framework is a </w:t>
      </w:r>
      <w:r>
        <w:rPr>
          <w:b/>
        </w:rPr>
        <w:t>dual-price hedonic regression</w:t>
      </w:r>
      <w:r>
        <w:t xml:space="preserve">. A </w:t>
      </w:r>
      <w:r>
        <w:rPr>
          <w:b/>
        </w:rPr>
        <w:t>pooled ordinary least squares (OLS) model</w:t>
      </w:r>
      <w:r>
        <w:t xml:space="preserve"> with </w:t>
      </w:r>
      <w:r>
        <w:rPr>
          <w:b/>
        </w:rPr>
        <w:t>subcategory fixed effects</w:t>
      </w:r>
      <w:r>
        <w:t xml:space="preserve"> and </w:t>
      </w:r>
      <w:r>
        <w:rPr>
          <w:b/>
        </w:rPr>
        <w:t>cluster-robust standard errors</w:t>
      </w:r>
      <w:r>
        <w:t xml:space="preserve"> is estimated twice using the same specification: once with the log of the marked price per standardized unit as the dependent variable, and once with the log of the final price. The log-linear functional form follows standard practice in hedonic price analysis (Rosen, 1974; Malpezzi, 2002). By comparing coefficients across the two specifications, the analysis reveals which attribute premiums are </w:t>
      </w:r>
      <w:r>
        <w:rPr>
          <w:b/>
        </w:rPr>
        <w:t>eroded by promotional pricing</w:t>
      </w:r>
      <w:r>
        <w:t xml:space="preserve"> and which survive intact to the checkout stage.</w:t>
      </w:r>
    </w:p>
    <w:p>
      <w:pPr/>
      <w:r>
        <w:t xml:space="preserve">The study employs a </w:t>
      </w:r>
      <w:r>
        <w:rPr>
          <w:b/>
        </w:rPr>
        <w:t>single-retailer research design</w:t>
      </w:r>
      <w:r>
        <w:t xml:space="preserve">, drawing all price observations from Winmart’s online platform. This design choice is deliberate: by restricting data to one retailer, all products face the same platform-level pricing strategy, promotional calendar, and supply chain logistics. This </w:t>
      </w:r>
      <w:r>
        <w:rPr>
          <w:b/>
        </w:rPr>
        <w:t>controls for retailer-level confounds</w:t>
      </w:r>
      <w:r>
        <w:t xml:space="preserve"> that would complicate a multi-retailer hedonic analysis, where observed price differences might reflect retailer positioning rather than product attributes (Schipmann &amp; Qaim, 2011). The external validity implications of this design choice are discussed in Chapter 4.</w:t>
      </w:r>
    </w:p>
    <w:p>
      <w:pPr>
        <w:pStyle w:val="Heading2"/>
      </w:pPr>
      <w:r>
        <w:t>1.5  Contribution and Thesis Structure</w:t>
      </w:r>
    </w:p>
    <w:p>
      <w:pPr>
        <w:pStyle w:val="NoIndent"/>
      </w:pPr>
      <w:r>
        <w:t>This thesis makes three contributions to the literature on food pricing and hedonic analysis.</w:t>
      </w:r>
    </w:p>
    <w:p>
      <w:pPr/>
      <w:r>
        <w:rPr>
          <w:b/>
        </w:rPr>
        <w:t>First</w:t>
      </w:r>
      <w:r>
        <w:t xml:space="preserve">, to the author’s knowledge, this is the </w:t>
      </w:r>
      <w:r>
        <w:rPr>
          <w:b/>
        </w:rPr>
        <w:t>first hedonic analysis of brand, import, and health claim premiums using web-scraped daily data from Vietnamese online grocery retail</w:t>
      </w:r>
      <w:r>
        <w:t xml:space="preserve">. Existing Vietnamese food pricing studies have relied on stated-preference methods (willingness-to-pay surveys) or examined single commodities (rice, organic vegetables). This thesis provides a revealed-preference, multi-category decomposition of the </w:t>
      </w:r>
      <w:r>
        <w:rPr>
          <w:b/>
        </w:rPr>
        <w:t>price architecture</w:t>
      </w:r>
      <w:r>
        <w:t xml:space="preserve"> of Vietnam’s largest online grocery platform.</w:t>
      </w:r>
    </w:p>
    <w:p>
      <w:pPr/>
      <w:r>
        <w:rPr>
          <w:b/>
        </w:rPr>
        <w:t>Second</w:t>
      </w:r>
      <w:r>
        <w:t xml:space="preserve">, the </w:t>
      </w:r>
      <w:r>
        <w:rPr>
          <w:b/>
        </w:rPr>
        <w:t>dual-price design</w:t>
      </w:r>
      <w:r>
        <w:t xml:space="preserve">—estimating the same hedonic specification on both marked and final prices—is, to the author’s knowledge, novel in the food hedonic literature. While dual pricing (list price versus transaction price) has been studied in housing markets (Haurin et al., 2010; Knight, 2002) and automobile markets (Court, 1939), no prior food hedonic study exploits the sticker-versus-checkout price gap to measure </w:t>
      </w:r>
      <w:r>
        <w:rPr>
          <w:b/>
        </w:rPr>
        <w:t>promotional erosion of attribute premiums</w:t>
      </w:r>
      <w:r>
        <w:t>.</w:t>
      </w:r>
    </w:p>
    <w:p>
      <w:pPr/>
      <w:r>
        <w:rPr>
          <w:b/>
        </w:rPr>
        <w:t>Third</w:t>
      </w:r>
      <w:r>
        <w:t xml:space="preserve">, the </w:t>
      </w:r>
      <w:r>
        <w:rPr>
          <w:b/>
        </w:rPr>
        <w:t>four-quadrant brand positioning typology</w:t>
      </w:r>
      <w:r>
        <w:t xml:space="preserve"> operationalizes established brand equity dimensions (Keller 1993; Aaker 1991) in a way that decomposes the conventional single “brand premium” into three separable questions: does having any brand name generate a premium? Does premium price-tier positioning add an additional premium? Does high consumer recognition add an additional premium? The finding that </w:t>
      </w:r>
      <w:r>
        <w:rPr>
          <w:b/>
        </w:rPr>
        <w:t>brand-name premiums are statistically insignificant while price-tier premiums are large and robust</w:t>
      </w:r>
      <w:r>
        <w:t xml:space="preserve"> challenges the common assumption in the brand equity literature that branding, as such, commands a price premium in grocery markets (Aaker, 1991).</w:t>
      </w:r>
    </w:p>
    <w:p>
      <w:pPr/>
      <w:r>
        <w:t xml:space="preserve">The remainder of this thesis is organized as follows. </w:t>
      </w:r>
      <w:r>
        <w:rPr>
          <w:b/>
        </w:rPr>
        <w:t>Chapter 2</w:t>
      </w:r>
      <w:r>
        <w:t xml:space="preserve"> reviews the theoretical foundations of hedonic pricing, brand equity, and online retail pricing, and identifies the specific research gaps this study addresses. </w:t>
      </w:r>
      <w:r>
        <w:rPr>
          <w:b/>
        </w:rPr>
        <w:t>Chapter 3</w:t>
      </w:r>
      <w:r>
        <w:t xml:space="preserve"> describes the data collection pipeline, NLP-based feature extraction, brand positioning typology, and the dual-price hedonic specification in detail. </w:t>
      </w:r>
      <w:r>
        <w:rPr>
          <w:b/>
        </w:rPr>
        <w:t>Chapter 4</w:t>
      </w:r>
      <w:r>
        <w:t xml:space="preserve"> presents the empirical results—descriptive statistics on promotion patterns, pooled and per-category hedonic regressions, the promotional erosion analysis—and discusses their implications, contextualizes them within the Tết holiday period, and addresses limitations. </w:t>
      </w:r>
      <w:r>
        <w:rPr>
          <w:b/>
        </w:rPr>
        <w:t>Chapter 5</w:t>
      </w:r>
      <w:r>
        <w:t xml:space="preserve"> concludes.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ind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