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w:t>
      </w:r>
    </w:p>
    <w:p>
      <w:pPr>
        <w:pStyle w:val="Heading1"/>
        <w:spacing w:before="0"/>
      </w:pPr>
      <w:r>
        <w:t>LITERATURE REVIEW</w:t>
      </w:r>
    </w:p>
    <w:p>
      <w:pPr>
        <w:pStyle w:val="NoIndent"/>
      </w:pPr>
      <w:r>
        <w:t xml:space="preserve">This chapter reviews the theoretical and empirical literature that underpins the present study. Three research streams converge in the design of a dual-price hedonic analysis of Vietnamese online grocery: </w:t>
      </w:r>
      <w:r>
        <w:rPr>
          <w:b/>
        </w:rPr>
        <w:t>hedonic pricing theory</w:t>
      </w:r>
      <w:r>
        <w:t xml:space="preserve">, which provides the conceptual and econometric foundation for decomposing observed prices into attribute-level implicit values; </w:t>
      </w:r>
      <w:r>
        <w:rPr>
          <w:b/>
        </w:rPr>
        <w:t>brand equity and product differentiation</w:t>
      </w:r>
      <w:r>
        <w:t xml:space="preserve">, which identifies the specific attributes expected to generate price premiums; and </w:t>
      </w:r>
      <w:r>
        <w:rPr>
          <w:b/>
        </w:rPr>
        <w:t>online retail pricing research</w:t>
      </w:r>
      <w:r>
        <w:t>, which validates the use of web-scraped data as a reliable reflection of market pricing behaviour. A fourth strand—</w:t>
      </w:r>
      <w:r>
        <w:rPr>
          <w:b/>
        </w:rPr>
        <w:t>Vietnamese food market studies</w:t>
      </w:r>
      <w:r>
        <w:t>—establishes the empirical context and identifies the research gaps this thesis addresses.</w:t>
      </w:r>
    </w:p>
    <w:p>
      <w:pPr/>
      <w:r>
        <w:t>Section 2.1 establishes the theoretical foundation by tracing the development of hedonic pricing from Lancaster’s (1966) consumer theory through Rosen’s (1974) equilibrium framework to the identification caveats raised by Ekeland, Heckman, and Nesheim (2001). Section 2.2 reviews empirical applications of hedonic methods in food and agricultural markets, extracting methodological lessons for the present study. Section 2.3 examines the brand equity literature and develops the theoretical basis for the four-quadrant brand positioning typology used in the regression. Section 2.4 discusses the validity of web-scraped online prices as economic data. Section 2.5 synthesizes the Vietnamese food market context and identifies three specific research gaps that motivate the thesis.</w:t>
      </w:r>
    </w:p>
    <w:p>
      <w:pPr>
        <w:pStyle w:val="Heading2"/>
      </w:pPr>
      <w:r>
        <w:t>2.1  Hedonic Pricing Theory: Goods as Attribute Bundles</w:t>
      </w:r>
    </w:p>
    <w:p>
      <w:pPr>
        <w:pStyle w:val="NoIndent"/>
      </w:pPr>
      <w:r>
        <w:t xml:space="preserve">The intellectual origin of hedonic price analysis lies in Lancaster’s (1966) </w:t>
      </w:r>
      <w:r>
        <w:rPr>
          <w:b/>
        </w:rPr>
        <w:t>new approach to consumer theory</w:t>
      </w:r>
      <w:r>
        <w:t xml:space="preserve">. In the classical microeconomic framework, consumers derive utility directly from goods: a consumer’s preference ordering is defined over quantities of products. Lancaster challenged this view by arguing that </w:t>
      </w:r>
      <w:r>
        <w:rPr>
          <w:b/>
        </w:rPr>
        <w:t>consumers derive utility not from goods per se, but from the characteristics that goods possess</w:t>
      </w:r>
      <w:r>
        <w:t>. A carton of milk, in this framework, is not valued as “milk” but as a bundle of attributes—protein content, calcium level, brand reputation, origin, shelf life—each contributing independently to the consumer’s utility. Different varieties of the same product category are simply different combinations of these characteristics, and consumers choose among them by evaluating the attribute bundle each offers.</w:t>
      </w:r>
    </w:p>
    <w:p>
      <w:pPr/>
      <w:r>
        <w:t xml:space="preserve">Lancaster’s insight has a direct empirical implication: if products are bundles of attributes, and consumers evaluate those attributes rather than the goods themselves, then </w:t>
      </w:r>
      <w:r>
        <w:rPr>
          <w:b/>
        </w:rPr>
        <w:t>variation in prices across products within a category should be explainable by variation in their attribute compositions</w:t>
      </w:r>
      <w:r>
        <w:t>. A premium-priced milk should differ from a budget milk not arbitrarily, but along identifiable dimensions—brand positioning, import origin, health certifications, packaging format—that the market implicitly values. This reasoning provides the conceptual foundation for the cross-sectional hedonic approach adopted in this thesis: by regressing observed prices on product attributes across a heterogeneous product catalogue, the analysis recovers the market’s implicit valuation of each attribute.</w:t>
      </w:r>
    </w:p>
    <w:p>
      <w:pPr/>
      <w:r>
        <w:t xml:space="preserve">While Lancaster provided the theoretical motivation, it was Rosen (1974) who formalized the </w:t>
      </w:r>
      <w:r>
        <w:rPr>
          <w:b/>
        </w:rPr>
        <w:t>equilibrium hedonic price model</w:t>
      </w:r>
      <w:r>
        <w:t xml:space="preserve"> that remains the standard framework for empirical hedonic analysis. Rosen proposed that in a market with </w:t>
      </w:r>
      <w:r>
        <w:rPr>
          <w:b/>
        </w:rPr>
        <w:t>differentiated products</w:t>
      </w:r>
      <w:r>
        <w:t xml:space="preserve">, where both buyers and sellers are heterogeneous, an equilibrium price function emerges that maps product characteristics to market prices. Formally, if a product is described by a vector of attributes </w:t>
      </w:r>
      <w:r>
        <w:rPr>
          <w:i/>
        </w:rPr>
        <w:t>z = (z₁, z₂, …, zₖ)</w:t>
      </w:r>
      <w:r>
        <w:t xml:space="preserve">, then the market price function </w:t>
      </w:r>
      <w:r>
        <w:rPr>
          <w:i/>
        </w:rPr>
        <w:t>P(z)</w:t>
      </w:r>
      <w:r>
        <w:t xml:space="preserve"> assigns a price to each possible attribute combination. In equilibrium, this function represents the locus of tangency points between buyers’ bid functions (reflecting willingness to pay) and sellers’ offer functions (reflecting production costs).</w:t>
      </w:r>
    </w:p>
    <w:p>
      <w:pPr/>
      <w:r>
        <w:t xml:space="preserve">The central construct in Rosen’s framework is the </w:t>
      </w:r>
      <w:r>
        <w:rPr>
          <w:b/>
        </w:rPr>
        <w:t>implicit (hedonic) price</w:t>
      </w:r>
      <w:r>
        <w:t xml:space="preserve"> of an attribute: the partial derivative </w:t>
      </w:r>
      <w:r>
        <w:rPr>
          <w:i/>
        </w:rPr>
        <w:t>∂P/∂zᵢ</w:t>
      </w:r>
      <w:r>
        <w:t xml:space="preserve"> measures the marginal change in the market price associated with a unit change in attribute </w:t>
      </w:r>
      <w:r>
        <w:rPr>
          <w:i/>
        </w:rPr>
        <w:t>zᵢ</w:t>
      </w:r>
      <w:r>
        <w:t>, holding all other attributes constant. In practical terms, if the hedonic price function is estimated as a regression of product prices on attribute indicators, the regression coefficients represent these implicit prices—the market’s revealed marginal valuation of each attribute at the equilibrium margin.</w:t>
      </w:r>
    </w:p>
    <w:p>
      <w:pPr/>
      <w:r>
        <w:t xml:space="preserve">Rosen’s framework distinguishes between </w:t>
      </w:r>
      <w:r>
        <w:rPr>
          <w:b/>
        </w:rPr>
        <w:t>two stages of hedonic analysis</w:t>
      </w:r>
      <w:r>
        <w:t xml:space="preserve">. The </w:t>
      </w:r>
      <w:r>
        <w:rPr>
          <w:b/>
        </w:rPr>
        <w:t>first stage</w:t>
      </w:r>
      <w:r>
        <w:t xml:space="preserve"> involves estimating the hedonic price function P(z) from observed market data—recovering the relationship between attributes and prices. The </w:t>
      </w:r>
      <w:r>
        <w:rPr>
          <w:b/>
        </w:rPr>
        <w:t>second stage</w:t>
      </w:r>
      <w:r>
        <w:t xml:space="preserve"> uses the estimated implicit prices as inputs to identify the underlying demand and supply functions for individual attributes. The present thesis confines itself to the first stage: estimating how product attributes map to market prices across 10 food categories. No attempt is made to recover structural demand or supply parameters, and the results are interpreted accordingly—as descriptions of the equilibrium price surface, not as causal estimates of consumer willingness to pay.</w:t>
      </w:r>
    </w:p>
    <w:p>
      <w:pPr/>
      <w:r>
        <w:t xml:space="preserve">This interpretive restraint is not merely a matter of convenience. Ekeland, Heckman, and Nesheim (2001) demonstrated that the </w:t>
      </w:r>
      <w:r>
        <w:rPr>
          <w:b/>
        </w:rPr>
        <w:t>identification of structural parameters from hedonic estimates</w:t>
      </w:r>
      <w:r>
        <w:t xml:space="preserve"> is considerably more challenging than Rosen’s original framework suggested. The estimated hedonic price function reflects the </w:t>
      </w:r>
      <w:r>
        <w:rPr>
          <w:b/>
        </w:rPr>
        <w:t>joint outcome of demand and supply</w:t>
      </w:r>
      <w:r>
        <w:t xml:space="preserve"> in the market for differentiated products. Without exogenous variation that shifts one side of the market independently of the other, the first-stage hedonic coefficients cannot be decomposed into demand-side (willingness to pay) and supply-side (marginal cost) components. As Ekeland et al. (2001) show, the hedonic price function is a </w:t>
      </w:r>
      <w:r>
        <w:rPr>
          <w:b/>
        </w:rPr>
        <w:t>reduced-form equilibrium relationship</w:t>
      </w:r>
      <w:r>
        <w:t>—a description of what the market collectively pays for each attribute, not an estimate of what any individual consumer would pay in isolation.</w:t>
      </w:r>
    </w:p>
    <w:p>
      <w:pPr/>
      <w:r>
        <w:t xml:space="preserve">Lucas (1975) reinforced this point by demonstrating that in a </w:t>
      </w:r>
      <w:r>
        <w:rPr>
          <w:b/>
        </w:rPr>
        <w:t>single-market setting</w:t>
      </w:r>
      <w:r>
        <w:t xml:space="preserve">, the hedonic function simultaneously reflects both demand and supply. There is no purely demand-side or supply-side interpretation available. For the present study, however, this identification constraint is mitigated by the </w:t>
      </w:r>
      <w:r>
        <w:rPr>
          <w:b/>
        </w:rPr>
        <w:t>single-retailer research design</w:t>
      </w:r>
      <w:r>
        <w:t>. Because all products are drawn from a single retailer (Winmart), supply-side factors—procurement costs, logistics, platform fees, promotional budgets—are held roughly constant across products. While this does not fully resolve the identification problem in the sense of Ekeland et al. (2001), it narrows the range of supply-side confounds and allows the hedonic coefficients to be interpreted with greater confidence as reflections of market-level attribute valuations within a single retail environment.</w:t>
      </w:r>
    </w:p>
    <w:p>
      <w:pPr/>
      <w:r>
        <w:t xml:space="preserve">To summarize the theoretical position of this thesis: following Lancaster (1966), products are treated as attribute bundles; following Rosen (1974), the observed price function is estimated as a first-stage hedonic regression; and following Ekeland et al. (2001), the resulting coefficients are interpreted as </w:t>
      </w:r>
      <w:r>
        <w:rPr>
          <w:b/>
        </w:rPr>
        <w:t>equilibrium implicit prices</w:t>
      </w:r>
      <w:r>
        <w:t>—what the market collectively pays for each attribute—rather than as causal estimates of consumer demand. This interpretive framework governs all empirical claims made in Chapters 4 and 5.</w:t>
      </w:r>
    </w:p>
    <w:p>
      <w:pPr>
        <w:pStyle w:val="Heading2"/>
      </w:pPr>
      <w:r>
        <w:t>2.2  Hedonic Methods in Food and Agricultural Markets</w:t>
      </w:r>
    </w:p>
    <w:p>
      <w:pPr>
        <w:pStyle w:val="NoIndent"/>
      </w:pPr>
      <w:r>
        <w:t xml:space="preserve">The hedonic approach developed in the housing and labour economics literatures has been widely applied to food and agricultural markets over the past three decades. This section reviews key empirical studies, focusing on the </w:t>
      </w:r>
      <w:r>
        <w:rPr>
          <w:b/>
        </w:rPr>
        <w:t>methodological lessons</w:t>
      </w:r>
      <w:r>
        <w:t xml:space="preserve"> they provide for the present analysis rather than on their substantive findings per se.</w:t>
      </w:r>
    </w:p>
    <w:p>
      <w:pPr/>
      <w:r>
        <w:t xml:space="preserve">Costanigro and McCluskey (2011) provide the most comprehensive </w:t>
      </w:r>
      <w:r>
        <w:rPr>
          <w:b/>
        </w:rPr>
        <w:t>methodological review of hedonic methods in food economics</w:t>
      </w:r>
      <w:r>
        <w:t xml:space="preserve">. Their survey of the literature identifies several recurring themes that directly inform the design of this thesis. First, the </w:t>
      </w:r>
      <w:r>
        <w:rPr>
          <w:b/>
        </w:rPr>
        <w:t>log-linear specification</w:t>
      </w:r>
      <w:r>
        <w:t xml:space="preserve">—regressing the natural log of price on attribute indicators—is the dominant functional form in food hedonics, consistent with Rosen’s (1974) original framework and Malpezzi’s (2002) applied guidance. The log transformation ensures that coefficients are interpretable as </w:t>
      </w:r>
      <w:r>
        <w:rPr>
          <w:b/>
        </w:rPr>
        <w:t>approximate percentage premiums</w:t>
      </w:r>
      <w:r>
        <w:t xml:space="preserve"> and that the model accommodates the right-skewed distribution typical of food prices. This thesis adopts the log-linear form for both the marked-price and final-price specifications.</w:t>
      </w:r>
    </w:p>
    <w:p>
      <w:pPr/>
      <w:r>
        <w:t xml:space="preserve">Second, Costanigro and McCluskey (2011) emphasize that </w:t>
      </w:r>
      <w:r>
        <w:rPr>
          <w:b/>
        </w:rPr>
        <w:t>subcategory controls are essential</w:t>
      </w:r>
      <w:r>
        <w:t xml:space="preserve"> in food hedonic analysis. Within-category price variation—not cross-category comparisons—is the identification source for attribute premiums. The price difference between a premium yoghurt and a budget yoghurt within the dairy category is informative; the price difference between yoghurt and cooking oil is not. The present study addresses this through </w:t>
      </w:r>
      <w:r>
        <w:rPr>
          <w:b/>
        </w:rPr>
        <w:t>subcategory fixed effects</w:t>
      </w:r>
      <w:r>
        <w:t>, which absorb all level differences between subcategories (e.g., fresh milk versus powdered milk) and ensure that attribute premiums are identified from within-subcategory variation only. Third, sample heterogeneity matters: food products span enormous quality ranges, and without adequate controls, omitted quality variation biases hedonic estimates. The subcategory fixed effects in this thesis serve double duty—controlling for both price-level differences and unobserved quality dimensions that vary across but not within subcategories.</w:t>
      </w:r>
    </w:p>
    <w:p>
      <w:pPr>
        <w:pStyle w:val="Heading3"/>
      </w:pPr>
      <w:r>
        <w:t>Search, Experience, and Credence Attributes</w:t>
      </w:r>
    </w:p>
    <w:p>
      <w:pPr>
        <w:pStyle w:val="NoIndent"/>
      </w:pPr>
      <w:r>
        <w:t xml:space="preserve">A foundational distinction in the economics of product quality is Nelson’s (1970) classification of product attributes into </w:t>
      </w:r>
      <w:r>
        <w:rPr>
          <w:b/>
        </w:rPr>
        <w:t>search goods</w:t>
      </w:r>
      <w:r>
        <w:t xml:space="preserve"> and </w:t>
      </w:r>
      <w:r>
        <w:rPr>
          <w:b/>
        </w:rPr>
        <w:t>experience goods</w:t>
      </w:r>
      <w:r>
        <w:t xml:space="preserve">. Search attributes are those that consumers can evaluate </w:t>
      </w:r>
      <w:r>
        <w:rPr>
          <w:b/>
        </w:rPr>
        <w:t>before purchase</w:t>
      </w:r>
      <w:r>
        <w:t xml:space="preserve">—pack size, brand name, country-of-origin label, price. Experience attributes require </w:t>
      </w:r>
      <w:r>
        <w:rPr>
          <w:b/>
        </w:rPr>
        <w:t>actual consumption</w:t>
      </w:r>
      <w:r>
        <w:t xml:space="preserve"> to assess—taste, texture, freshness. Darby and Karni (1973) extended this taxonomy by introducing a third category: </w:t>
      </w:r>
      <w:r>
        <w:rPr>
          <w:b/>
        </w:rPr>
        <w:t>credence attributes</w:t>
      </w:r>
      <w:r>
        <w:t xml:space="preserve">, which consumers </w:t>
      </w:r>
      <w:r>
        <w:rPr>
          <w:b/>
        </w:rPr>
        <w:t>cannot verify even after consumption</w:t>
      </w:r>
      <w:r>
        <w:t>. Organic certification, pesticide-free claims, and nutritional health claims fall into this category: a consumer who eats an organic apple cannot determine from the experience alone whether the apple was genuinely organic.</w:t>
      </w:r>
    </w:p>
    <w:p>
      <w:pPr/>
      <w:r>
        <w:t xml:space="preserve">This tripartite classification is directly relevant to the design of the present study. The attributes extracted via natural language processing from product names—brand name, import origin, pack size, health claim keywords, freshness claim keywords—are predominantly </w:t>
      </w:r>
      <w:r>
        <w:rPr>
          <w:b/>
        </w:rPr>
        <w:t>search attributes</w:t>
      </w:r>
      <w:r>
        <w:t>: they are visible on the product listing before purchase. However, two of the extracted features—</w:t>
      </w:r>
      <w:r>
        <w:rPr>
          <w:b/>
        </w:rPr>
        <w:t>has_health_claim</w:t>
      </w:r>
      <w:r>
        <w:t xml:space="preserve"> and </w:t>
      </w:r>
      <w:r>
        <w:rPr>
          <w:b/>
        </w:rPr>
        <w:t>has_freshness_claim</w:t>
      </w:r>
      <w:r>
        <w:t xml:space="preserve">—capture what are substantively </w:t>
      </w:r>
      <w:r>
        <w:rPr>
          <w:b/>
        </w:rPr>
        <w:t>credence attributes</w:t>
      </w:r>
      <w:r>
        <w:t xml:space="preserve">. A label claiming “organic,” “sugar-free,” or “pesticide-free” is a search-visible signal of an underlying credence property. The premium associated with such claims reflects the consumer’s </w:t>
      </w:r>
      <w:r>
        <w:rPr>
          <w:b/>
        </w:rPr>
        <w:t>trust in the label</w:t>
      </w:r>
      <w:r>
        <w:t xml:space="preserve"> rather than any verifiable experience of the attribute itself.</w:t>
      </w:r>
    </w:p>
    <w:p>
      <w:pPr/>
      <w:r>
        <w:t xml:space="preserve">This distinction generates a testable prediction for the promotional erosion analysis. If credence premiums are sustained by trust and labelling rather than by directly verifiable experience, they should be relatively </w:t>
      </w:r>
      <w:r>
        <w:rPr>
          <w:b/>
        </w:rPr>
        <w:t>resilient to promotional discounting</w:t>
      </w:r>
      <w:r>
        <w:t>: a retailer may discount a branded product to attract traffic, but has less incentive to discount a health-certified product whose premium rests on regulatory trust rather than brand competition. The dual-price design of this thesis—comparing hedonic coefficients from marked-price and final-price regressions—provides a framework for testing whether this prediction holds empirically.</w:t>
      </w:r>
    </w:p>
    <w:p>
      <w:pPr>
        <w:pStyle w:val="Heading3"/>
      </w:pPr>
      <w:r>
        <w:t>Methodological Precedents in Food Hedonics</w:t>
      </w:r>
    </w:p>
    <w:p>
      <w:pPr>
        <w:pStyle w:val="NoIndent"/>
      </w:pPr>
      <w:r>
        <w:t xml:space="preserve">Among applied food hedonic studies, the wine market has served as a particularly rich testing ground. Nerlove (1995) estimated hedonic price functions for Swedish wines and found that </w:t>
      </w:r>
      <w:r>
        <w:rPr>
          <w:b/>
        </w:rPr>
        <w:t>brand reputation and geographic origin generate independent, statistically separable price premiums</w:t>
      </w:r>
      <w:r>
        <w:t>. Schamel (2006) extended this work to multiple wine regions and confirmed that origin premiums exist above and beyond brand effects—a finding that provides direct precedent for including both brand indicators (</w:t>
      </w:r>
      <w:r>
        <w:rPr>
          <w:b/>
        </w:rPr>
        <w:t>is_branded</w:t>
      </w:r>
      <w:r>
        <w:t xml:space="preserve">, </w:t>
      </w:r>
      <w:r>
        <w:rPr>
          <w:b/>
        </w:rPr>
        <w:t>is_premium</w:t>
      </w:r>
      <w:r>
        <w:t>) and an origin indicator (</w:t>
      </w:r>
      <w:r>
        <w:rPr>
          <w:b/>
        </w:rPr>
        <w:t>is_import</w:t>
      </w:r>
      <w:r>
        <w:t>) as separate regressors in the present model. If origin and brand generate independent premiums in wine markets, there is no reason to assume they collapse into a single dimension in grocery markets.</w:t>
      </w:r>
    </w:p>
    <w:p>
      <w:pPr/>
      <w:r>
        <w:t xml:space="preserve">Malpezzi (2002) provides applied guidance on </w:t>
      </w:r>
      <w:r>
        <w:rPr>
          <w:b/>
        </w:rPr>
        <w:t>functional form selection</w:t>
      </w:r>
      <w:r>
        <w:t xml:space="preserve"> in hedonic price analysis. His review favours the log-linear specification for price data on both theoretical and practical grounds: it accommodates heteroskedasticity, produces scale-free percentage coefficients, and is consistent with the multiplicative structure of attribute-based pricing. The present thesis follows this recommendation, estimating ln(price per standardized unit) as the dependent variable.</w:t>
      </w:r>
    </w:p>
    <w:p>
      <w:pPr/>
      <w:r>
        <w:t xml:space="preserve">Ballco and Gracia (2020) contribute an important methodological caution: </w:t>
      </w:r>
      <w:r>
        <w:rPr>
          <w:b/>
        </w:rPr>
        <w:t>market-observed hedonic prices do not correspond directly to consumer willingness to pay</w:t>
      </w:r>
      <w:r>
        <w:t xml:space="preserve">. Their comparison of hedonic estimates from scanner data with experimental willingness-to-pay estimates for food quality attributes reveals systematic divergences. Hedonic prices reflect equilibrium outcomes—the joint product of demand and supply—while experimental WTP measures isolated demand preferences. This finding reinforces the interpretive stance adopted in Section 2.1: the hedonic coefficients estimated in this thesis represent </w:t>
      </w:r>
      <w:r>
        <w:rPr>
          <w:b/>
        </w:rPr>
        <w:t>equilibrium implicit prices</w:t>
      </w:r>
      <w:r>
        <w:t>, not consumer demand parameters.</w:t>
      </w:r>
    </w:p>
    <w:p>
      <w:pPr/>
      <w:r>
        <w:t xml:space="preserve">For the Vietnamese context specifically, Xuan (2021) investigated consumer willingness to pay for </w:t>
      </w:r>
      <w:r>
        <w:rPr>
          <w:b/>
        </w:rPr>
        <w:t>credence attributes</w:t>
      </w:r>
      <w:r>
        <w:t xml:space="preserve"> in safe vegetables, finding stated premiums of 30–60 percent for organic and pesticide-free certifications. However, as Lusk (2002) demonstrated, stated-preference methods suffer from </w:t>
      </w:r>
      <w:r>
        <w:rPr>
          <w:b/>
        </w:rPr>
        <w:t>hypothetical bias</w:t>
      </w:r>
      <w:r>
        <w:t xml:space="preserve">—respondents systematically overstate their willingness to pay in hypothetical scenarios relative to actual market behaviour. The present thesis avoids this problem entirely by using </w:t>
      </w:r>
      <w:r>
        <w:rPr>
          <w:b/>
        </w:rPr>
        <w:t>revealed-preference data</w:t>
      </w:r>
      <w:r>
        <w:t>: actual transaction prices observed at the point of sale, not hypothetical survey responses.</w:t>
      </w:r>
    </w:p>
    <w:p>
      <w:pPr/>
      <w:r>
        <w:t xml:space="preserve">A notable gap in the food hedonic literature is that virtually all existing studies examine </w:t>
      </w:r>
      <w:r>
        <w:rPr>
          <w:b/>
        </w:rPr>
        <w:t>single commodities</w:t>
      </w:r>
      <w:r>
        <w:t xml:space="preserve">: wine (Nerlove, 1995; Schamel, 2006), rice (Bairagi et al., 2020), milk (Mergenthaler et al., 2009), or organic vegetables (Xuan, 2021). No prior study applies hedonic decomposition </w:t>
      </w:r>
      <w:r>
        <w:rPr>
          <w:b/>
        </w:rPr>
        <w:t>across multiple food categories simultaneously</w:t>
      </w:r>
      <w:r>
        <w:t>. The 10-category design of this thesis is, to the author’s knowledge, novel in the food hedonic literature and enables direct comparison of how attribute premiums vary across structurally different product types.</w:t>
      </w:r>
    </w:p>
    <w:p>
      <w:pPr>
        <w:pStyle w:val="Heading2"/>
      </w:pPr>
      <w:r>
        <w:t>2.3  Brand Equity, Product Differentiation, and Price Premiums</w:t>
      </w:r>
    </w:p>
    <w:p>
      <w:pPr>
        <w:pStyle w:val="NoIndent"/>
      </w:pPr>
      <w:r>
        <w:t xml:space="preserve">The brand equity literature provides the theoretical basis for the </w:t>
      </w:r>
      <w:r>
        <w:rPr>
          <w:b/>
        </w:rPr>
        <w:t>four-quadrant brand positioning typology</w:t>
      </w:r>
      <w:r>
        <w:t xml:space="preserve"> used in this thesis. Rather than entering a single binary “branded versus unbranded” variable into the hedonic regression—as is common in the food pricing literature—this study decomposes the brand dimension into two theoretically grounded components: </w:t>
      </w:r>
      <w:r>
        <w:rPr>
          <w:b/>
        </w:rPr>
        <w:t>brand awareness</w:t>
      </w:r>
      <w:r>
        <w:t xml:space="preserve"> and </w:t>
      </w:r>
      <w:r>
        <w:rPr>
          <w:b/>
        </w:rPr>
        <w:t>perceived quality positioning</w:t>
      </w:r>
      <w:r>
        <w:t>. The theoretical foundations for this decomposition are drawn from Keller’s (1993) customer-based brand equity model and Aaker’s (1991) brand equity framework.</w:t>
      </w:r>
    </w:p>
    <w:p>
      <w:pPr>
        <w:pStyle w:val="Heading3"/>
      </w:pPr>
      <w:r>
        <w:t>Customer-Based Brand Equity: Keller (1993)</w:t>
      </w:r>
    </w:p>
    <w:p>
      <w:pPr>
        <w:pStyle w:val="NoIndent"/>
      </w:pPr>
      <w:r>
        <w:t xml:space="preserve">Keller’s (1993) </w:t>
      </w:r>
      <w:r>
        <w:rPr>
          <w:b/>
        </w:rPr>
        <w:t>Customer-Based Brand Equity (CBBE)</w:t>
      </w:r>
      <w:r>
        <w:t xml:space="preserve"> model defines brand equity as the differential effect that </w:t>
      </w:r>
      <w:r>
        <w:rPr>
          <w:b/>
        </w:rPr>
        <w:t>brand knowledge</w:t>
      </w:r>
      <w:r>
        <w:t xml:space="preserve"> has on consumer response to the marketing of a product. Brand knowledge, in Keller’s framework, consists of two components: </w:t>
      </w:r>
      <w:r>
        <w:rPr>
          <w:b/>
        </w:rPr>
        <w:t>brand awareness</w:t>
      </w:r>
      <w:r>
        <w:t xml:space="preserve"> and </w:t>
      </w:r>
      <w:r>
        <w:rPr>
          <w:b/>
        </w:rPr>
        <w:t>brand image</w:t>
      </w:r>
      <w:r>
        <w:t xml:space="preserve">. Brand awareness refers to the strength of the brand node in memory—the consumer’s ability to identify the brand under different conditions. Keller further decomposes awareness into </w:t>
      </w:r>
      <w:r>
        <w:rPr>
          <w:b/>
        </w:rPr>
        <w:t>brand recognition</w:t>
      </w:r>
      <w:r>
        <w:t xml:space="preserve"> (can the consumer identify the brand when exposed to it?) and </w:t>
      </w:r>
      <w:r>
        <w:rPr>
          <w:b/>
        </w:rPr>
        <w:t>brand recall</w:t>
      </w:r>
      <w:r>
        <w:t xml:space="preserve"> (can the consumer retrieve the brand from memory when given the product category as a cue?). Brand image, by contrast, refers to the set of associations linked to the brand in the consumer’s memory—their type, favourability, strength, and uniqueness.</w:t>
      </w:r>
    </w:p>
    <w:p>
      <w:pPr/>
      <w:r>
        <w:t xml:space="preserve">The CBBE model predicts that brand awareness alone can generate positive consumer response: a brand that is recognized on the shelf benefits from familiarity, reduced perceived risk, and inclusion in the consideration set. High awareness does not, however, guarantee a price premium—that depends on the favourability of the brand’s image associations. A nationally distributed brand that consumers readily recognize but associate with economy positioning (a </w:t>
      </w:r>
      <w:r>
        <w:rPr>
          <w:b/>
        </w:rPr>
        <w:t>“Household Giant”</w:t>
      </w:r>
      <w:r>
        <w:t xml:space="preserve"> in the typology of this thesis) may command volume through availability rather than a per-unit price premium.</w:t>
      </w:r>
    </w:p>
    <w:p>
      <w:pPr/>
      <w:r>
        <w:t xml:space="preserve">For the present study, Keller’s awareness dimension is operationalized through the </w:t>
      </w:r>
      <w:r>
        <w:rPr>
          <w:b/>
        </w:rPr>
        <w:t>is_high_recognition</w:t>
      </w:r>
      <w:r>
        <w:t xml:space="preserve"> variable, which identifies products belonging to approximately 30 nationally distributed brands. These brands are characterized by </w:t>
      </w:r>
      <w:r>
        <w:rPr>
          <w:b/>
        </w:rPr>
        <w:t>high shelf presence</w:t>
      </w:r>
      <w:r>
        <w:t xml:space="preserve"> across Vietnamese modern trade channels—a proxy consistent with Keller’s (1993) recognition construct. The brand list was curated through manual review of the product catalogue and cross-referenced with market share data where available (see Chapter 3 for the full operationalization).</w:t>
      </w:r>
    </w:p>
    <w:p>
      <w:pPr>
        <w:pStyle w:val="Heading3"/>
      </w:pPr>
      <w:r>
        <w:t>Perceived Quality as Brand Equity: Aaker (1991)</w:t>
      </w:r>
    </w:p>
    <w:p>
      <w:pPr>
        <w:pStyle w:val="NoIndent"/>
      </w:pPr>
      <w:r>
        <w:t xml:space="preserve">Aaker’s (1991) brand equity framework complements Keller’s awareness model by identifying </w:t>
      </w:r>
      <w:r>
        <w:rPr>
          <w:b/>
        </w:rPr>
        <w:t>perceived quality</w:t>
      </w:r>
      <w:r>
        <w:t xml:space="preserve"> as a core dimension of brand equity. In Aaker’s framework, perceived quality is defined as the consumer’s subjective judgement of a product’s overall excellence—a judgement that may or may not correspond to objective quality. Critically, perceived quality is not an intrinsic product attribute but a </w:t>
      </w:r>
      <w:r>
        <w:rPr>
          <w:b/>
        </w:rPr>
        <w:t>consumer perception</w:t>
      </w:r>
      <w:r>
        <w:t xml:space="preserve"> shaped by available cues: price, brand name, packaging, shelf placement, and marketing communication.</w:t>
      </w:r>
    </w:p>
    <w:p>
      <w:pPr/>
      <w:r>
        <w:t xml:space="preserve">Aaker (1991) argues that perceived quality drives willingness to pay through several mechanisms: it provides a </w:t>
      </w:r>
      <w:r>
        <w:rPr>
          <w:b/>
        </w:rPr>
        <w:t>reason to buy</w:t>
      </w:r>
      <w:r>
        <w:t xml:space="preserve">, it </w:t>
      </w:r>
      <w:r>
        <w:rPr>
          <w:b/>
        </w:rPr>
        <w:t>differentiates</w:t>
      </w:r>
      <w:r>
        <w:t xml:space="preserve"> the product from alternatives, it supports </w:t>
      </w:r>
      <w:r>
        <w:rPr>
          <w:b/>
        </w:rPr>
        <w:t>premium pricing</w:t>
      </w:r>
      <w:r>
        <w:t>, and it signals quality to consumers who lack the expertise or motivation to evaluate the product directly. In the context of grocery markets—where consumers face hundreds of products and make rapid, heuristic-driven decisions—price itself serves as one of the most powerful quality signals. A product positioned above the category median price is perceived as higher quality, regardless of whether the objective quality difference justifies the price gap.</w:t>
      </w:r>
    </w:p>
    <w:p>
      <w:pPr/>
      <w:r>
        <w:t xml:space="preserve">For the present study, Aaker’s perceived quality dimension is operationalized through the </w:t>
      </w:r>
      <w:r>
        <w:rPr>
          <w:b/>
        </w:rPr>
        <w:t>is_premium</w:t>
      </w:r>
      <w:r>
        <w:t xml:space="preserve"> variable, defined as whether a product’s average price exceeds its </w:t>
      </w:r>
      <w:r>
        <w:rPr>
          <w:b/>
        </w:rPr>
        <w:t>subcategory median price</w:t>
      </w:r>
      <w:r>
        <w:t xml:space="preserve">. This operationalization deliberately uses price positioning as a proxy for perceived quality, consistent with Aaker’s (1991) argument that price is both a signal of quality and a consequence of it. The circularity is acknowledged: using price to define a regressor in a price regression introduces a mechanical correlation. However, the variable captures </w:t>
      </w:r>
      <w:r>
        <w:rPr>
          <w:b/>
        </w:rPr>
        <w:t>price-tier positioning</w:t>
      </w:r>
      <w:r>
        <w:t>—a structural characteristic of the product’s market placement—rather than the dependent variable itself, and the subcategory median is computed across products, not across time. The econometric implications of this design choice are discussed in Chapter 3.</w:t>
      </w:r>
    </w:p>
    <w:p>
      <w:pPr>
        <w:pStyle w:val="Heading3"/>
      </w:pPr>
      <w:r>
        <w:t>The Four-Quadrant Brand Positioning Typology</w:t>
      </w:r>
    </w:p>
    <w:p>
      <w:pPr>
        <w:pStyle w:val="NoIndent"/>
      </w:pPr>
      <w:r>
        <w:t xml:space="preserve">By crossing Keller’s (1993) awareness dimension with Aaker’s (1991) perceived quality dimension, this thesis constructs a </w:t>
      </w:r>
      <w:r>
        <w:rPr>
          <w:b/>
        </w:rPr>
        <w:t>four-quadrant market positioning typology</w:t>
      </w:r>
      <w:r>
        <w:t xml:space="preserve"> that decomposes the conventional single “brand premium” into three separable empirical questions:</w:t>
      </w:r>
    </w:p>
    <w:p>
      <w:pPr>
        <w:pStyle w:val="NoIndent"/>
      </w:pPr>
      <w:r>
        <w:rPr>
          <w:b/>
        </w:rPr>
        <w:t xml:space="preserve">(1) Brand-name effect: </w:t>
      </w:r>
      <w:r>
        <w:t xml:space="preserve">Does having any identifiable brand name generate a price premium over generic (unbranded) products? This is captured by the </w:t>
      </w:r>
      <w:r>
        <w:rPr>
          <w:b/>
        </w:rPr>
        <w:t>is_branded</w:t>
      </w:r>
      <w:r>
        <w:t xml:space="preserve"> coefficient.</w:t>
      </w:r>
    </w:p>
    <w:p>
      <w:pPr>
        <w:pStyle w:val="NoIndent"/>
      </w:pPr>
      <w:r>
        <w:rPr>
          <w:b/>
        </w:rPr>
        <w:t xml:space="preserve">(2) Quality-tier effect: </w:t>
      </w:r>
      <w:r>
        <w:t xml:space="preserve">Conditional on being branded, does premium price-tier positioning add an additional premium? This is captured by the </w:t>
      </w:r>
      <w:r>
        <w:rPr>
          <w:b/>
        </w:rPr>
        <w:t>is_premium</w:t>
      </w:r>
      <w:r>
        <w:t xml:space="preserve"> coefficient.</w:t>
      </w:r>
    </w:p>
    <w:p>
      <w:pPr>
        <w:pStyle w:val="NoIndent"/>
      </w:pPr>
      <w:r>
        <w:rPr>
          <w:b/>
        </w:rPr>
        <w:t xml:space="preserve">(3) Recognition effect: </w:t>
      </w:r>
      <w:r>
        <w:t xml:space="preserve">Conditional on being branded, does high consumer recognition add an additional premium? This is captured by the </w:t>
      </w:r>
      <w:r>
        <w:rPr>
          <w:b/>
        </w:rPr>
        <w:t>is_high_recognition</w:t>
      </w:r>
      <w:r>
        <w:t xml:space="preserve"> coefficient.</w:t>
      </w:r>
    </w:p>
    <w:p>
      <w:pPr/>
      <w:r>
        <w:t>The resulting five product groups—</w:t>
      </w:r>
      <w:r>
        <w:rPr>
          <w:b/>
        </w:rPr>
        <w:t>Generic</w:t>
      </w:r>
      <w:r>
        <w:t xml:space="preserve"> (unbranded baseline), </w:t>
      </w:r>
      <w:r>
        <w:rPr>
          <w:b/>
        </w:rPr>
        <w:t>Local &amp; Value</w:t>
      </w:r>
      <w:r>
        <w:t xml:space="preserve"> (branded, low recognition, non-premium), </w:t>
      </w:r>
      <w:r>
        <w:rPr>
          <w:b/>
        </w:rPr>
        <w:t>Household Giant</w:t>
      </w:r>
      <w:r>
        <w:t xml:space="preserve"> (branded, high recognition, non-premium), </w:t>
      </w:r>
      <w:r>
        <w:rPr>
          <w:b/>
        </w:rPr>
        <w:t>Niche Professional</w:t>
      </w:r>
      <w:r>
        <w:t xml:space="preserve"> (branded, low recognition, premium), and </w:t>
      </w:r>
      <w:r>
        <w:rPr>
          <w:b/>
        </w:rPr>
        <w:t>Prestige Leader</w:t>
      </w:r>
      <w:r>
        <w:t xml:space="preserve"> (branded, high recognition, premium)—are encoded as </w:t>
      </w:r>
      <w:r>
        <w:rPr>
          <w:b/>
        </w:rPr>
        <w:t>hierarchical dummy variables</w:t>
      </w:r>
      <w:r>
        <w:t xml:space="preserve"> in the regression specification. The hierarchical encoding means that the total estimated premium for any brand group is the sum of the applicable coefficients: for a Prestige Leader product, the total premium over Generic equals β(is_branded) + β(is_premium) + β(is_high_recognition).</w:t>
      </w:r>
    </w:p>
    <w:p>
      <w:pPr/>
      <w:r>
        <w:t xml:space="preserve">This decomposition is theoretically motivated by Kapferer’s (2008) argument that brand identity is </w:t>
      </w:r>
      <w:r>
        <w:rPr>
          <w:b/>
        </w:rPr>
        <w:t>multidimensional</w:t>
      </w:r>
      <w:r>
        <w:t xml:space="preserve">—that brands differentiate along multiple facets simultaneously, and that a single brand premium coefficient conceals the distinct contributions of awareness, quality positioning, and image associations. The four-quadrant typology is not a measure of brand equity in the Keller or Aaker sense; rather, it is a </w:t>
      </w:r>
      <w:r>
        <w:rPr>
          <w:b/>
        </w:rPr>
        <w:t>market positioning classification</w:t>
      </w:r>
      <w:r>
        <w:t xml:space="preserve"> that operationalizes two dimensions of brand equity theory as observable product characteristics suitable for hedonic regression.</w:t>
      </w:r>
    </w:p>
    <w:p>
      <w:pPr>
        <w:pStyle w:val="Heading3"/>
      </w:pPr>
      <w:r>
        <w:t>Other Attribute Premiums: Origin, Quality Signals, and Versioning</w:t>
      </w:r>
    </w:p>
    <w:p>
      <w:pPr>
        <w:pStyle w:val="NoIndent"/>
      </w:pPr>
      <w:r>
        <w:t xml:space="preserve">Beyond brand equity, the hedonic model includes several additional attributes whose premiums are grounded in the product differentiation literature. </w:t>
      </w:r>
      <w:r>
        <w:rPr>
          <w:b/>
        </w:rPr>
        <w:t>Import origin</w:t>
      </w:r>
      <w:r>
        <w:t xml:space="preserve"> (captured by the </w:t>
      </w:r>
      <w:r>
        <w:rPr>
          <w:b/>
        </w:rPr>
        <w:t>is_import</w:t>
      </w:r>
      <w:r>
        <w:t xml:space="preserve"> variable) is expected to generate a premium through country-of-origin associations. Schamel (2006) demonstrated that geographic origin constitutes an independent premium source in wine markets, separable from brand effects. In the Vietnamese context, imported food products are associated with higher quality standards and food safety practices (Mergenthaler et al., 2009), which should translate into a positive import premium.</w:t>
      </w:r>
    </w:p>
    <w:p>
      <w:pPr/>
      <w:r>
        <w:rPr>
          <w:b/>
        </w:rPr>
        <w:t>Health claims</w:t>
      </w:r>
      <w:r>
        <w:t xml:space="preserve"> and </w:t>
      </w:r>
      <w:r>
        <w:rPr>
          <w:b/>
        </w:rPr>
        <w:t>freshness claims</w:t>
      </w:r>
      <w:r>
        <w:t xml:space="preserve"> are credence attributes in the sense of Darby and Karni (1973): consumers cannot verify “organic,” “sugar-free,” or “pesticide-free” claims even after consumption. The premiums associated with these claims are sustained by </w:t>
      </w:r>
      <w:r>
        <w:rPr>
          <w:b/>
        </w:rPr>
        <w:t>trust in the labelling system</w:t>
      </w:r>
      <w:r>
        <w:t xml:space="preserve"> and regulatory enforcement, not by direct experience. As argued in Section 2.2, this trust-based foundation generates a prediction for the promotional erosion analysis: credence premiums should be relatively sticky across the marked-price and final-price specifications.</w:t>
      </w:r>
    </w:p>
    <w:p>
      <w:pPr/>
      <w:r>
        <w:t xml:space="preserve">Finally, the role of </w:t>
      </w:r>
      <w:r>
        <w:rPr>
          <w:b/>
        </w:rPr>
        <w:t>promotional pricing</w:t>
      </w:r>
      <w:r>
        <w:t xml:space="preserve"> in this thesis draws on Varian’s (1997) framework of </w:t>
      </w:r>
      <w:r>
        <w:rPr>
          <w:b/>
        </w:rPr>
        <w:t>versioning and quality discrimination</w:t>
      </w:r>
      <w:r>
        <w:t xml:space="preserve">. Varian argues that firms offer different quality tiers of the same product to segment consumers by willingness to pay, and that temporal price variation (sales, promotions) serves as a form of intertemporal price discrimination. In this framework, promotional discounts are not random noise but a </w:t>
      </w:r>
      <w:r>
        <w:rPr>
          <w:b/>
        </w:rPr>
        <w:t>strategic tool</w:t>
      </w:r>
      <w:r>
        <w:t xml:space="preserve"> used by the retailer to attract price-sensitive consumers without permanently lowering the price for less price-sensitive buyers. The dual-price design of this thesis captures one dimension of this strategy: the gap between the marked price (signalling the product’s intended positioning) and the final price (reflecting the retailer’s competitive or promotional adjustment).</w:t>
      </w:r>
    </w:p>
    <w:p>
      <w:pPr/>
      <w:r>
        <w:t xml:space="preserve">MacDonald (2000) adds a temporal dimension by documenting </w:t>
      </w:r>
      <w:r>
        <w:rPr>
          <w:b/>
        </w:rPr>
        <w:t>counter-cyclical pricing patterns</w:t>
      </w:r>
      <w:r>
        <w:t xml:space="preserve"> in food retail: during high-demand periods, some retailers increase promotional intensity on traffic-driving categories while maintaining or raising prices on less elastic items. This pattern is potentially relevant to the Tết holiday period (February 17, 2026) that falls within the observation window of this thesis, and is revisited in the discussion of results in Chapter 4.</w:t>
      </w:r>
    </w:p>
    <w:p>
      <w:pPr>
        <w:pStyle w:val="Heading2"/>
      </w:pPr>
      <w:r>
        <w:t>2.4  Online Retail Pricing and Web-Scraped Price Data</w:t>
      </w:r>
    </w:p>
    <w:p>
      <w:pPr>
        <w:pStyle w:val="NoIndent"/>
      </w:pPr>
      <w:r>
        <w:t xml:space="preserve">The empirical validity of this thesis rests on a premise that warrants explicit justification: that </w:t>
      </w:r>
      <w:r>
        <w:rPr>
          <w:b/>
        </w:rPr>
        <w:t>prices observed on an online grocery platform are economically meaningful</w:t>
      </w:r>
      <w:r>
        <w:t xml:space="preserve"> and reflect the same pricing decisions that govern physical retail. This section reviews the evidence supporting this premise.</w:t>
      </w:r>
    </w:p>
    <w:p>
      <w:pPr/>
      <w:r>
        <w:t xml:space="preserve">Cavallo (2017) provides the most comprehensive evidence to date. In a large-scale comparison of online and offline prices across 56 countries and 10 major multi-channel retailers, Cavallo found that </w:t>
      </w:r>
      <w:r>
        <w:rPr>
          <w:b/>
        </w:rPr>
        <w:t>72 percent of identical products carry identical prices</w:t>
      </w:r>
      <w:r>
        <w:t xml:space="preserve"> in both channels. Online prices are not a distorted artefact of a separate digital market; they reflect the same underlying pricing strategy applied across channels. For multi-channel retailers like Winmart—which operates both physical stores and an online platform—this evidence suggests that the online prices scraped in this thesis are representative of the retailer’s overall pricing behaviour, not a channel-specific anomaly.</w:t>
      </w:r>
    </w:p>
    <w:p>
      <w:pPr/>
      <w:r>
        <w:t xml:space="preserve">From a measurement perspective, Hülten (2002) argues that </w:t>
      </w:r>
      <w:r>
        <w:rPr>
          <w:b/>
        </w:rPr>
        <w:t>daily price data</w:t>
      </w:r>
      <w:r>
        <w:t xml:space="preserve"> avoids the temporal aggregation bias inherent in monthly or quarterly price statistics. Survey-based consumer price indices, for instance, aggregate prices over reporting periods and across outlets, smoothing out the within-period promotional dynamics that are central to this thesis. The 88-day daily panel used here captures the full trajectory of promotional pricing—the introduction, duration, and removal of discounts—that monthly data would average away.</w:t>
      </w:r>
    </w:p>
    <w:p>
      <w:pPr/>
      <w:r>
        <w:t xml:space="preserve">In the Vietnamese context, Tran et al. (2025) document that Vietnamese online grocery shoppers are </w:t>
      </w:r>
      <w:r>
        <w:rPr>
          <w:b/>
        </w:rPr>
        <w:t>price-aware and comparison-oriented</w:t>
      </w:r>
      <w:r>
        <w:t xml:space="preserve">, actively using platform features to compare prices across products. This suggests that the dual-price display observed on Winmart (marked price alongside final price) is not merely decorative but serves a genuine informational function for consumers. Singh et al. (2020) further find that </w:t>
      </w:r>
      <w:r>
        <w:rPr>
          <w:b/>
        </w:rPr>
        <w:t>price transparency</w:t>
      </w:r>
      <w:r>
        <w:t xml:space="preserve"> is a key driver of digital grocery store adoption in Vietnam, implying that the prices displayed on the platform are taken seriously by consumers as decision inputs.</w:t>
      </w:r>
    </w:p>
    <w:p>
      <w:pPr/>
      <w:r>
        <w:t xml:space="preserve">Finally, the </w:t>
      </w:r>
      <w:r>
        <w:rPr>
          <w:b/>
        </w:rPr>
        <w:t>single-retailer design</w:t>
      </w:r>
      <w:r>
        <w:t xml:space="preserve"> choice is supported by Schipmann and Qaim’s (2011) finding that retail format creates systematic price variation in Southeast Asian food markets. Different retail formats—wet markets, modern supermarkets, premium specialty stores—have structurally different price levels that reflect format-level factors (rent, branding, customer base) rather than product attributes. Mixing retail formats in a single hedonic analysis would confound format premiums with attribute premiums. The single-retailer design eliminates this source of bias, at the cost of limiting external validity to the modern trade segment—a trade-off discussed further in Chapter 4.</w:t>
      </w:r>
    </w:p>
    <w:p>
      <w:pPr>
        <w:pStyle w:val="Heading2"/>
      </w:pPr>
      <w:r>
        <w:t>2.5  Vietnamese Food Market Context and Research Gap</w:t>
      </w:r>
    </w:p>
    <w:p>
      <w:pPr>
        <w:pStyle w:val="NoIndent"/>
      </w:pPr>
      <w:r>
        <w:t xml:space="preserve">Vietnam’s food retail landscape has undergone a structural transformation over the past two decades. The traditional wet market, which once accounted for the vast majority of food purchases, is being progressively supplemented by modern trade channels—supermarkets, convenience stores, and their online extensions—particularly in urban areas (Bairagi et al., 2020). This transition has been accompanied by a shift from commodity-based pricing, where products are largely undifferentiated, to </w:t>
      </w:r>
      <w:r>
        <w:rPr>
          <w:b/>
        </w:rPr>
        <w:t>attribute-based pricing</w:t>
      </w:r>
      <w:r>
        <w:t>, where brand identity, origin labelling, and quality certifications increasingly determine what consumers pay. It is precisely this environment—where product differentiation and attribute-based premiums are actively emerging—that makes hedonic price decomposition most analytically informative.</w:t>
      </w:r>
    </w:p>
    <w:p>
      <w:pPr/>
      <w:r>
        <w:t xml:space="preserve">Several studies provide context for consumer behaviour in Vietnamese food markets. Mergenthaler, Weinberger, and Qaim (2009) found that consumers in Hanoi are willing to pay premiums of up to </w:t>
      </w:r>
      <w:r>
        <w:rPr>
          <w:b/>
        </w:rPr>
        <w:t>60 percent for food safety attributes</w:t>
      </w:r>
      <w:r>
        <w:t xml:space="preserve">, particularly low pesticide residues and traceable origin. Food safety is consistently identified as the </w:t>
      </w:r>
      <w:r>
        <w:rPr>
          <w:b/>
        </w:rPr>
        <w:t>single most valued quality dimension</w:t>
      </w:r>
      <w:r>
        <w:t xml:space="preserve"> in Vietnamese food markets, reflecting widespread public concern about pesticide contamination and food adulteration. Bell et al. (2021) further demonstrated that food values in peri-urban Hanoi vary systematically by product category: safety concerns are strongest for primary ingredients (rice, vegetables, meat) and weaker for processed convenience foods. This category-level heterogeneity motivates the per-category regression analysis in Chapter 4.</w:t>
      </w:r>
    </w:p>
    <w:p>
      <w:pPr/>
      <w:r>
        <w:t xml:space="preserve">Nguyen et al. (2015) examined supermarket purchasing behaviour and found that quality perception dominates price sensitivity in Vietnamese consumers’ food choices. Consumers use </w:t>
      </w:r>
      <w:r>
        <w:rPr>
          <w:b/>
        </w:rPr>
        <w:t>brand and origin signals as quality proxies</w:t>
      </w:r>
      <w:r>
        <w:t>—a finding consistent with the theoretical predictions of Aaker’s (1991) perceived quality framework and with the inclusion of brand and import variables in the hedonic specification of this thesis.</w:t>
      </w:r>
    </w:p>
    <w:p>
      <w:pPr>
        <w:pStyle w:val="Heading3"/>
      </w:pPr>
      <w:r>
        <w:t>Research Gaps</w:t>
      </w:r>
    </w:p>
    <w:p>
      <w:pPr>
        <w:pStyle w:val="NoIndent"/>
      </w:pPr>
      <w:r>
        <w:t>Despite this growing body of work on Vietnamese food markets, three specific research gaps remain unaddressed.</w:t>
      </w:r>
    </w:p>
    <w:p>
      <w:pPr>
        <w:pStyle w:val="NoIndent"/>
      </w:pPr>
      <w:r>
        <w:rPr>
          <w:b/>
        </w:rPr>
        <w:t xml:space="preserve">Gap 1: No hedonic decomposition of Vietnamese grocery prices. </w:t>
      </w:r>
      <w:r>
        <w:t xml:space="preserve">Existing Vietnamese food pricing studies rely on </w:t>
      </w:r>
      <w:r>
        <w:rPr>
          <w:b/>
        </w:rPr>
        <w:t>stated-preference methods</w:t>
      </w:r>
      <w:r>
        <w:t xml:space="preserve"> (willingness-to-pay surveys, choice experiments) or examine single commodities at the farm-gate level. No published study applies a revealed-preference hedonic framework to actual retail prices across multiple food categories in Vietnamese markets.</w:t>
      </w:r>
    </w:p>
    <w:p>
      <w:pPr>
        <w:pStyle w:val="NoIndent"/>
      </w:pPr>
      <w:r>
        <w:rPr>
          <w:b/>
        </w:rPr>
        <w:t xml:space="preserve">Gap 2: No multi-category food hedonic study. </w:t>
      </w:r>
      <w:r>
        <w:t xml:space="preserve">The broader food hedonic literature is dominated by single-commodity analyses: wine, rice, milk, organic vegetables. No prior study estimates hedonic price functions across </w:t>
      </w:r>
      <w:r>
        <w:rPr>
          <w:b/>
        </w:rPr>
        <w:t>multiple food categories simultaneously</w:t>
      </w:r>
      <w:r>
        <w:t>, which prevents researchers from comparing how the implicit market value of a given attribute varies across structurally different product types.</w:t>
      </w:r>
    </w:p>
    <w:p>
      <w:pPr>
        <w:pStyle w:val="NoIndent"/>
      </w:pPr>
      <w:r>
        <w:rPr>
          <w:b/>
        </w:rPr>
        <w:t xml:space="preserve">Gap 3: No dual-price design in food hedonics. </w:t>
      </w:r>
      <w:r>
        <w:t xml:space="preserve">While the distinction between list (sticker) prices and transaction (checkout) prices has been exploited in housing markets (Haurin et al., 2010; Knight, 2002) and automobile markets (Court, 1939), </w:t>
      </w:r>
      <w:r>
        <w:rPr>
          <w:b/>
        </w:rPr>
        <w:t>no prior food hedonic study uses the dual-price structure</w:t>
      </w:r>
      <w:r>
        <w:t xml:space="preserve"> to measure the extent to which promotional pricing erodes attribute premiums at the point of sale. The present thesis addresses all three gaps by combining a multi-category hedonic design with a dual-price estimation strategy on web-scraped Vietnamese online grocery data.</w:t>
      </w:r>
    </w:p>
    <w:p>
      <w:pPr/>
      <w:r>
        <w:t>These gaps define the contribution of this thesis. The following chapter describes the data collection pipeline, feature extraction methods, brand positioning typology, and econometric specification in detail.</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pPr>
      <w:ind w:firstLin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