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color w:val="1F3864"/>
          <w:sz w:val="32"/>
          <w:szCs w:val="32"/>
        </w:rPr>
        <w:t xml:space="preserve">BACHELOR THESIS DEFENSE — PREPARATION GUIDE</w:t>
      </w:r>
    </w:p>
    <w:p>
      <w:pPr>
        <w:spacing w:after="80"/>
        <w:jc w:val="center"/>
      </w:pPr>
      <w:r>
        <w:rPr>
          <w:i/>
          <w:iCs/>
          <w:sz w:val="26"/>
          <w:szCs w:val="26"/>
        </w:rPr>
        <w:t xml:space="preserve">Do · Don't · Expected Questions</w:t>
      </w:r>
    </w:p>
    <w:p>
      <w:pPr>
        <w:spacing w:after="240"/>
        <w:jc w:val="center"/>
      </w:pPr>
      <w:r>
        <w:rPr>
          <w:sz w:val="20"/>
          <w:szCs w:val="20"/>
        </w:rPr>
        <w:t xml:space="preserve">Trần Hiếu My  |  Business Analytics 64  |  NEU Advanced Education Programs</w:t>
      </w:r>
    </w:p>
    <w:p>
      <w:pPr>
        <w:pStyle w:val="Heading1"/>
      </w:pPr>
      <w:r>
        <w:t xml:space="preserve">Defense Format at NEU (Advanced Education Programs)</w:t>
      </w:r>
    </w:p>
    <w:p>
      <w:pPr>
        <w:spacing w:after="120"/>
      </w:pPr>
      <w:r>
        <w:t xml:space="preserve">Defenses in the Advanced Education Programs track at NEU are conducted </w:t>
      </w:r>
      <w:r>
        <w:rPr>
          <w:b/>
          <w:bCs/>
        </w:rPr>
        <w:t xml:space="preserve">in English</w:t>
      </w:r>
      <w:r>
        <w:t xml:space="preserve"> before a council of three to five lecturers, with one designated reviewer (phản biện) who has read the draft in advance. Standard format:</w:t>
      </w:r>
    </w:p>
    <w:p>
      <w:pPr>
        <w:pStyle w:val="ListParagraph"/>
        <w:numPr>
          <w:ilvl w:val="0"/>
          <w:numId w:val="2"/>
        </w:numPr>
        <w:spacing w:after="60"/>
      </w:pPr>
      <w:r>
        <w:t xml:space="preserve">Presentation: </w:t>
      </w:r>
      <w:r>
        <w:rPr>
          <w:b/>
          <w:bCs/>
        </w:rPr>
        <w:t xml:space="preserve">10–15 minutes</w:t>
      </w:r>
      <w:r>
        <w:t xml:space="preserve"> (target 15:00).</w:t>
      </w:r>
    </w:p>
    <w:p>
      <w:pPr>
        <w:pStyle w:val="ListParagraph"/>
        <w:numPr>
          <w:ilvl w:val="0"/>
          <w:numId w:val="2"/>
        </w:numPr>
        <w:spacing w:after="60"/>
      </w:pPr>
      <w:r>
        <w:t xml:space="preserve">Council questions: </w:t>
      </w:r>
      <w:r>
        <w:rPr>
          <w:b/>
          <w:bCs/>
        </w:rPr>
        <w:t xml:space="preserve">3–5 questions</w:t>
      </w:r>
      <w:r>
        <w:t xml:space="preserve">, typically opening with "why this topic?".</w:t>
      </w:r>
    </w:p>
    <w:p>
      <w:pPr>
        <w:pStyle w:val="ListParagraph"/>
        <w:numPr>
          <w:ilvl w:val="0"/>
          <w:numId w:val="2"/>
        </w:numPr>
        <w:spacing w:after="60"/>
      </w:pPr>
      <w:r>
        <w:t xml:space="preserve">Reviewer's pre-written critique is the single biggest source of questions on the day — pre-answer their concerns inside the slides where possible.</w:t>
      </w:r>
    </w:p>
    <w:p>
      <w:pPr>
        <w:pStyle w:val="ListParagraph"/>
        <w:numPr>
          <w:ilvl w:val="0"/>
          <w:numId w:val="2"/>
        </w:numPr>
        <w:spacing w:after="60"/>
      </w:pPr>
      <w:r>
        <w:t xml:space="preserve">Scoring covers four dimensions: research relevance, methodological soundness, depth of results, and defense performance (presentation + Q&amp;A).</w:t>
      </w:r>
    </w:p>
    <w:p>
      <w:pPr>
        <w:pStyle w:val="Heading1"/>
      </w:pPr>
      <w:r>
        <w:t xml:space="preserve">What to DO</w:t>
      </w:r>
    </w:p>
    <w:p>
      <w:pPr>
        <w:pStyle w:val="Heading3"/>
      </w:pPr>
      <w:r>
        <w:t xml:space="preserve">Open with the cover slide NEU expects.</w:t>
      </w:r>
    </w:p>
    <w:p>
      <w:pPr>
        <w:spacing w:after="120"/>
      </w:pPr>
      <w:r>
        <w:t xml:space="preserve">Title in full; "National Economics University — Board of Management of Advanced Education Programs"; Major (Business Administration), Program (Business Analytics 64), Student name + ID (Trần Hiếu My, 11224401), Supervisor (Dr. Nguyễn Mạnh Thế), Mentor (Dr. Đinh Thị Hồng Thêu), "Hanoi 2026". Signals respect for institutional formalism.</w:t>
      </w:r>
    </w:p>
    <w:p>
      <w:pPr>
        <w:pStyle w:val="Heading3"/>
      </w:pPr>
      <w:r>
        <w:t xml:space="preserve">Lead the substantive deck with research gap and dual-price contribution.</w:t>
      </w:r>
    </w:p>
    <w:p>
      <w:pPr>
        <w:spacing w:after="120"/>
      </w:pPr>
      <w:r>
        <w:t xml:space="preserve">That is where originality lives, and it answers the council's reflexive first question, "why this topic?". State the research question word-for-word from the thesis.</w:t>
      </w:r>
    </w:p>
    <w:p>
      <w:pPr>
        <w:pStyle w:val="Heading3"/>
      </w:pPr>
      <w:r>
        <w:t xml:space="preserve">Show, don't tell.</w:t>
      </w:r>
    </w:p>
    <w:p>
      <w:pPr>
        <w:spacing w:after="120"/>
      </w:pPr>
      <w:r>
        <w:t xml:space="preserve">Vietnamese economics defenses reward charts over text. Reuse Figure 1.1 (brand quadrant), Figure 3.1 (forest plot), Figure 3.2 (per-category heatmap), and Figure 3.3 (broken-axis erosion bar). The 4-quadrant typology and the marked-vs-final coefficient comparison are the two visuals to rehearse cold.</w:t>
      </w:r>
    </w:p>
    <w:p>
      <w:pPr>
        <w:pStyle w:val="Heading3"/>
      </w:pPr>
      <w:r>
        <w:t xml:space="preserve">Apply the 6×6 rule and 40/22pt typography.</w:t>
      </w:r>
    </w:p>
    <w:p>
      <w:pPr>
        <w:spacing w:after="120"/>
      </w:pPr>
      <w:r>
        <w:t xml:space="preserve">Maximum six bullet lines per slide, six words per line. Title ≥ 40pt, body ≥ 22pt. Aim for 15–18 slides total — roughly one per minute.</w:t>
      </w:r>
    </w:p>
    <w:p>
      <w:pPr>
        <w:pStyle w:val="Heading3"/>
      </w:pPr>
      <w:r>
        <w:t xml:space="preserve">Pre-answer methodology objections inside slides.</w:t>
      </w:r>
    </w:p>
    <w:p>
      <w:pPr>
        <w:spacing w:after="120"/>
      </w:pPr>
      <w:r>
        <w:t xml:space="preserve">Have a "why not" line on every methodological choice slide: why hedonic and not discrete choice / ML; why Jevons and not Laspeyres / Törnqvist; why log-linear and not Box-Cox; why 88 days; why single retailer. Getting there before the reviewer earns points.</w:t>
      </w:r>
    </w:p>
    <w:p>
      <w:pPr>
        <w:pStyle w:val="Heading3"/>
      </w:pPr>
      <w:r>
        <w:t xml:space="preserve">Hold a "limitations" slide that is honest but bounded.</w:t>
      </w:r>
    </w:p>
    <w:p>
      <w:pPr>
        <w:spacing w:after="120"/>
      </w:pPr>
      <w:r>
        <w:t xml:space="preserve">Single-retailer external validity, no transaction volumes, NLP proxy noise, is_premium partial endogeneity, no formal Tết event study. State each limitation, then the mitigation (cluster-robust SE; sparse-product filter; partial F-test on the brand block; temporal stability check across Dec/Jan/Feb).</w:t>
      </w:r>
    </w:p>
    <w:p>
      <w:pPr>
        <w:pStyle w:val="Heading3"/>
      </w:pPr>
      <w:r>
        <w:t xml:space="preserve">Rehearse the closing minute.</w:t>
      </w:r>
    </w:p>
    <w:p>
      <w:pPr>
        <w:spacing w:after="120"/>
      </w:pPr>
      <w:r>
        <w:t xml:space="preserve">Three principal findings: (1) price-tier dominance (43–44% premium, erosion −1.7%); (2) brand-name 50.6% erosion via traffic-driving logic; (3) category heterogeneity (import +100% in Fresh Produce vs −61% in Processed Food). Plus one sentence of contribution. The council remembers the last 60 seconds.</w:t>
      </w:r>
    </w:p>
    <w:p>
      <w:pPr>
        <w:pStyle w:val="Heading3"/>
      </w:pPr>
      <w:r>
        <w:t xml:space="preserve">Bring backup appendix slides.</w:t>
      </w:r>
    </w:p>
    <w:p>
      <w:pPr>
        <w:spacing w:after="120"/>
      </w:pPr>
      <w:r>
        <w:t xml:space="preserve">Prepare 5–10 hidden slides for likely Q&amp;A: VIF table, Breusch-Pagan, Cook's distance, the WinEco 476% explanation, per-category R² band, the keyword dictionary size, the Jevons formula, citation slide for Lancaster / Rosen / Keller / Aaker / Cavallo. Jumping to a relevant appendix on demand demonstrates depth.</w:t>
      </w:r>
    </w:p>
    <w:p>
      <w:pPr>
        <w:pStyle w:val="Heading3"/>
      </w:pPr>
      <w:r>
        <w:t xml:space="preserve">Bring printed copies on the day.</w:t>
      </w:r>
    </w:p>
    <w:p>
      <w:pPr>
        <w:spacing w:after="120"/>
      </w:pPr>
      <w:r>
        <w:t xml:space="preserve">One printed thesis, one printed slide deck. Council members occasionally ask you to point at a specific page.</w:t>
      </w:r>
    </w:p>
    <w:p>
      <w:pPr>
        <w:pStyle w:val="Heading3"/>
      </w:pPr>
      <w:r>
        <w:t xml:space="preserve">Speak in English, with Vietnamese technical anchors.</w:t>
      </w:r>
    </w:p>
    <w:p>
      <w:pPr>
        <w:spacing w:after="120"/>
      </w:pPr>
      <w:r>
        <w:t xml:space="preserve">Required by program. Keep Vietnamese category names (Sữa Tươi, Rau-Củ-Trái Cây, Thực Phẩm Khô, etc.) on slides as bilingual labels — your council members are Vietnamese economists and the bilingual labels build trust.</w:t>
      </w:r>
    </w:p>
    <w:p>
      <w:pPr>
        <w:pStyle w:val="Heading3"/>
      </w:pPr>
      <w:r>
        <w:t xml:space="preserve">Practice exactly the timing.</w:t>
      </w:r>
    </w:p>
    <w:p>
      <w:pPr>
        <w:spacing w:after="120"/>
      </w:pPr>
      <w:r>
        <w:t xml:space="preserve">Vietnamese defenses are strict on overrun. If the chair signals time, stop mid-slide and skip to conclusions. Three full dry runs minimum, including one with the supervisor and one with a peer.</w:t>
      </w:r>
    </w:p>
    <w:p>
      <w:pPr>
        <w:pStyle w:val="Heading3"/>
      </w:pPr>
      <w:r>
        <w:t xml:space="preserve">Acknowledge supervisor and council in closing.</w:t>
      </w:r>
    </w:p>
    <w:p>
      <w:pPr>
        <w:spacing w:after="120"/>
      </w:pPr>
      <w:r>
        <w:t xml:space="preserve">Single sentence each before the questions begin and again before sitting down.</w:t>
      </w:r>
    </w:p>
    <w:p>
      <w:pPr>
        <w:pStyle w:val="Heading1"/>
      </w:pPr>
      <w:r>
        <w:t xml:space="preserve">What NOT to Do</w:t>
      </w:r>
    </w:p>
    <w:p>
      <w:pPr>
        <w:pStyle w:val="Heading3"/>
      </w:pPr>
      <w:r>
        <w:t xml:space="preserve">Don't put a Table of Contents slide.</w:t>
      </w:r>
    </w:p>
    <w:p>
      <w:pPr>
        <w:spacing w:after="120"/>
      </w:pPr>
      <w:r>
        <w:t xml:space="preserve">Vietnamese defense decks often waste a slide on this; the council has the printed outline in the thesis. Skip it and reclaim the time for results.</w:t>
      </w:r>
    </w:p>
    <w:p>
      <w:pPr>
        <w:pStyle w:val="Heading3"/>
      </w:pPr>
      <w:r>
        <w:t xml:space="preserve">Don't paste prose directly from the thesis.</w:t>
      </w:r>
    </w:p>
    <w:p>
      <w:pPr>
        <w:spacing w:after="120"/>
      </w:pPr>
      <w:r>
        <w:t xml:space="preserve">Slides are signposts, not the document itself. Copy-pasted paragraphs are the most reliable way to lose presentation marks.</w:t>
      </w:r>
    </w:p>
    <w:p>
      <w:pPr>
        <w:pStyle w:val="Heading3"/>
      </w:pPr>
      <w:r>
        <w:t xml:space="preserve">Don't oversell causality.</w:t>
      </w:r>
    </w:p>
    <w:p>
      <w:pPr>
        <w:spacing w:after="120"/>
      </w:pPr>
      <w:r>
        <w:t xml:space="preserve">The design is descriptive — the dual-price erosion analysis documents a correlation between attributes and the marked-to-final gap; it does not identify a retailer pricing decision. Use words like "documents", "describes", "is consistent with". Saying "promotion causes erosion" invites pushback from the reviewer.</w:t>
      </w:r>
    </w:p>
    <w:p>
      <w:pPr>
        <w:pStyle w:val="Heading3"/>
      </w:pPr>
      <w:r>
        <w:t xml:space="preserve">Don't bury or hide the is_branded null result.</w:t>
      </w:r>
    </w:p>
    <w:p>
      <w:pPr>
        <w:spacing w:after="120"/>
      </w:pPr>
      <w:r>
        <w:t xml:space="preserve">It looks like a failed result, but it is actually the headline of the brand-name erosion finding (the premium is small and halved at checkout). Frame it as the dual-price design's payoff, not as a regression that "didn't work".</w:t>
      </w:r>
    </w:p>
    <w:p>
      <w:pPr>
        <w:pStyle w:val="Heading3"/>
      </w:pPr>
      <w:r>
        <w:t xml:space="preserve">Don't claim the WinEco 476% finding is generalizable.</w:t>
      </w:r>
    </w:p>
    <w:p>
      <w:pPr>
        <w:spacing w:after="120"/>
      </w:pPr>
      <w:r>
        <w:t xml:space="preserve">It rests on 21 products at a single retailer — say so explicitly when presenting. If you don't, the reviewer will, and worse.</w:t>
      </w:r>
    </w:p>
    <w:p>
      <w:pPr>
        <w:pStyle w:val="Heading3"/>
      </w:pPr>
      <w:r>
        <w:t xml:space="preserve">Don't use heavy animations, transitions, or sound effects.</w:t>
      </w:r>
    </w:p>
    <w:p>
      <w:pPr>
        <w:spacing w:after="120"/>
      </w:pPr>
      <w:r>
        <w:t xml:space="preserve">Vietnamese guidance is unanimous: animations look unprofessional in academic defenses. Plain fade-in at most.</w:t>
      </w:r>
    </w:p>
    <w:p>
      <w:pPr>
        <w:pStyle w:val="Heading3"/>
      </w:pPr>
      <w:r>
        <w:t xml:space="preserve">Don't argue with the council.</w:t>
      </w:r>
    </w:p>
    <w:p>
      <w:pPr>
        <w:spacing w:after="120"/>
      </w:pPr>
      <w:r>
        <w:t xml:space="preserve">Even when a question rests on a misreading. Acknowledge ("That is a fair concern, professor"), give the one-sentence response, and stop. Defending too long invites three more questions on the same topic.</w:t>
      </w:r>
    </w:p>
    <w:p>
      <w:pPr>
        <w:pStyle w:val="Heading3"/>
      </w:pPr>
      <w:r>
        <w:t xml:space="preserve">Don't say "I don't know" cold.</w:t>
      </w:r>
    </w:p>
    <w:p>
      <w:pPr>
        <w:spacing w:after="120"/>
      </w:pPr>
      <w:r>
        <w:t xml:space="preserve">Acceptable phrasings when stuck: "That is outside the scope of this study, but a sensible extension would be …" or "I did not test that explicitly, but the closest evidence I have is in the diagnostics on slide X." Honesty wins; bluffing loses.</w:t>
      </w:r>
    </w:p>
    <w:p>
      <w:pPr>
        <w:pStyle w:val="Heading3"/>
      </w:pPr>
      <w:r>
        <w:t xml:space="preserve">Don't apologize for limitations on the day.</w:t>
      </w:r>
    </w:p>
    <w:p>
      <w:pPr>
        <w:spacing w:after="120"/>
      </w:pPr>
      <w:r>
        <w:t xml:space="preserve">State them once on the limitations slide, then move on. Repeated apologies during Q&amp;A signal weakness; calm prepared mitigations signal mastery.</w:t>
      </w:r>
    </w:p>
    <w:p>
      <w:pPr>
        <w:pStyle w:val="Heading3"/>
      </w:pPr>
      <w:r>
        <w:t xml:space="preserve">Don't ignore Tết.</w:t>
      </w:r>
    </w:p>
    <w:p>
      <w:pPr>
        <w:spacing w:after="120"/>
      </w:pPr>
      <w:r>
        <w:t xml:space="preserve">It will come up because it falls inside the window. Be ready to say WHY no formal event study (Confectionary cold-start Feb 2; Instant_food gap) and what was done instead (descriptive Tết-vs-non-Tết gap comparison).</w:t>
      </w:r>
    </w:p>
    <w:p>
      <w:pPr>
        <w:pStyle w:val="Heading3"/>
      </w:pPr>
      <w:r>
        <w:t xml:space="preserve">Don't forget to thank council and supervisor.</w:t>
      </w:r>
    </w:p>
    <w:p>
      <w:pPr>
        <w:spacing w:after="120"/>
      </w:pPr>
      <w:r>
        <w:t xml:space="preserve">One sentence each, before questions begin and again before sitting down.</w:t>
      </w:r>
    </w:p>
    <w:p>
      <w:pPr>
        <w:pStyle w:val="Heading1"/>
      </w:pPr>
      <w:r>
        <w:t xml:space="preserve">Expected Council Questions — and 30-Second Answers</w:t>
      </w:r>
    </w:p>
    <w:p>
      <w:pPr>
        <w:spacing w:after="120"/>
      </w:pPr>
      <w:r>
        <w:t xml:space="preserve">Sorted by likelihood. Rehearse each answer aloud until the response is automatic. Each answer should fit in 30–45 seconds spoken.</w:t>
      </w:r>
    </w:p>
    <w:p>
      <w:pPr>
        <w:pStyle w:val="Heading3"/>
      </w:pPr>
      <w:r>
        <w:t xml:space="preserve">Q1. "Your is_premium variable is constructed from price rank — isn't that mechanical endogeneity?"</w:t>
      </w:r>
    </w:p>
    <w:p>
      <w:pPr>
        <w:spacing w:after="120"/>
      </w:pPr>
      <w:r>
        <w:t xml:space="preserve">"Three design features mitigate this. First, is_premium is </w:t>
      </w:r>
      <w:r>
        <w:rPr>
          <w:b/>
          <w:bCs/>
        </w:rPr>
        <w:t xml:space="preserve">ordinal</w:t>
      </w:r>
      <w:r>
        <w:t xml:space="preserve">, not cardinal — it captures rank, not price level. Second, the dependent variable is </w:t>
      </w:r>
      <w:r>
        <w:rPr>
          <w:b/>
          <w:bCs/>
        </w:rPr>
        <w:t xml:space="preserve">log price</w:t>
      </w:r>
      <w:r>
        <w:t xml:space="preserve"> rather than price itself, breaking the linear mechanical relationship. Third, </w:t>
      </w:r>
      <w:r>
        <w:rPr>
          <w:b/>
          <w:bCs/>
        </w:rPr>
        <w:t xml:space="preserve">subcategory fixed effects absorb level differences</w:t>
      </w:r>
      <w:r>
        <w:t xml:space="preserve">, so what is identified is within-subcategory deviation. The thesis flags this concern explicitly in Section 3.7. An instrumental-variable approach using third-party brand equity surveys is listed as the principal future-research extension."</w:t>
      </w:r>
    </w:p>
    <w:p>
      <w:pPr>
        <w:pStyle w:val="Heading3"/>
      </w:pPr>
      <w:r>
        <w:t xml:space="preserve">Q2. "Why do you trust an OLS coefficient on is_branded that isn't significant?"</w:t>
      </w:r>
    </w:p>
    <w:p>
      <w:pPr>
        <w:spacing w:after="120"/>
      </w:pPr>
      <w:r>
        <w:t xml:space="preserve">"What the dual-price design measures is not the level but the </w:t>
      </w:r>
      <w:r>
        <w:rPr>
          <w:b/>
          <w:bCs/>
        </w:rPr>
        <w:t xml:space="preserve">gap</w:t>
      </w:r>
      <w:r>
        <w:t xml:space="preserve"> between marked and final coefficients. Both is_branded estimates are individually insignificant, but the directional pattern — a 50.6% halving from sticker to checkout — is the substantive finding. The four-variable brand block (is_branded, is_premium, is_high_recognition, is_house_brand) is </w:t>
      </w:r>
      <w:r>
        <w:rPr>
          <w:b/>
          <w:bCs/>
        </w:rPr>
        <w:t xml:space="preserve">jointly significant: F = 58.02</w:t>
      </w:r>
      <w:r>
        <w:t xml:space="preserve">. The brand effect is decomposed across the three orthogonal dimensions; is_branded captures the residual generic-brand effect after the others are extracted."</w:t>
      </w:r>
    </w:p>
    <w:p>
      <w:pPr>
        <w:pStyle w:val="Heading3"/>
      </w:pPr>
      <w:r>
        <w:t xml:space="preserve">Q3. "Single retailer — how can you generalize?"</w:t>
      </w:r>
    </w:p>
    <w:p>
      <w:pPr>
        <w:spacing w:after="120"/>
      </w:pPr>
      <w:r>
        <w:t xml:space="preserve">"I do not generalize, and I say so explicitly. The single-retailer design is a deliberate methodological choice: it holds platform fee, logistics, and presentation control constant, isolating attribute pricing from cross-retailer noise (Cavallo 2017). The trade-off is external validity, which is the first limitation listed in Section 4.2. The principal future-research extension is a multi-retailer comparison (Annam Gourmet for premium, Bách Hóa Xanh for discount, traditional wet markets for the informal sector)."</w:t>
      </w:r>
    </w:p>
    <w:p>
      <w:pPr>
        <w:pStyle w:val="Heading3"/>
      </w:pPr>
      <w:r>
        <w:t xml:space="preserve">Q4. "Why Jevons, and not a weighted index like Laspeyres or Törnqvist?"</w:t>
      </w:r>
    </w:p>
    <w:p>
      <w:pPr>
        <w:spacing w:after="120"/>
      </w:pPr>
      <w:r>
        <w:t xml:space="preserve">"Both alternatives require expenditure shares — Laspeyres uses base-period shares, Törnqvist uses the geometric mean of base and current shares. </w:t>
      </w:r>
      <w:r>
        <w:rPr>
          <w:b/>
          <w:bCs/>
        </w:rPr>
        <w:t xml:space="preserve">Web scraping captures listed prices only</w:t>
      </w:r>
      <w:r>
        <w:t xml:space="preserve">, with no quantities sold, so neither weighted index is feasible. Jevons is the </w:t>
      </w:r>
      <w:r>
        <w:rPr>
          <w:b/>
          <w:bCs/>
        </w:rPr>
        <w:t xml:space="preserve">CPI manual's recommended elementary aggregation under matched-model assumption</w:t>
      </w:r>
      <w:r>
        <w:t xml:space="preserve"> when expenditure weights are unavailable. I acknowledge in Section 5.2 that a sales-weighted index would be theoretically superior — Diewert (1976) shows Törnqvist is superlative; Jevons is not."</w:t>
      </w:r>
    </w:p>
    <w:p>
      <w:pPr>
        <w:pStyle w:val="Heading3"/>
      </w:pPr>
      <w:r>
        <w:t xml:space="preserve">Q5. "Forty subcategory clusters — is that enough for cluster-robust standard errors?"</w:t>
      </w:r>
    </w:p>
    <w:p>
      <w:pPr>
        <w:spacing w:after="120"/>
      </w:pPr>
      <w:r>
        <w:t xml:space="preserve">"Forty clusters falls within the conventional 30–50 lower-bound recommendation in the cluster-robust inference literature. Two design features corroborate the inference: the </w:t>
      </w:r>
      <w:r>
        <w:rPr>
          <w:b/>
          <w:bCs/>
        </w:rPr>
        <w:t xml:space="preserve">partial F-test</w:t>
      </w:r>
      <w:r>
        <w:t xml:space="preserve"> on the brand block yields F = 58.02 — not driven by a single cluster — and the </w:t>
      </w:r>
      <w:r>
        <w:rPr>
          <w:b/>
          <w:bCs/>
        </w:rPr>
        <w:t xml:space="preserve">temporal stability check</w:t>
      </w:r>
      <w:r>
        <w:t xml:space="preserve"> on Dec / Jan / Feb monthly snapshots produces nearly identical R² (0.669, 0.669, 0.658). For an even more conservative inference, wild bootstrap or randomization inference would be a sensible extension."</w:t>
      </w:r>
    </w:p>
    <w:p>
      <w:pPr>
        <w:pStyle w:val="Heading3"/>
      </w:pPr>
      <w:r>
        <w:t xml:space="preserve">Q6. "How do you know the NLP brand dictionary is accurate?"</w:t>
      </w:r>
    </w:p>
    <w:p>
      <w:pPr>
        <w:spacing w:after="120"/>
      </w:pPr>
      <w:r>
        <w:t xml:space="preserve">"The dictionary is </w:t>
      </w:r>
      <w:r>
        <w:rPr>
          <w:b/>
          <w:bCs/>
        </w:rPr>
        <w:t xml:space="preserve">manually curated, with 310+ Vietnamese brand keywords</w:t>
      </w:r>
      <w:r>
        <w:t xml:space="preserve">. It is conservative by construction — when in doubt, a product is left in the unbranded baseline. Misclassification therefore </w:t>
      </w:r>
      <w:r>
        <w:rPr>
          <w:b/>
          <w:bCs/>
        </w:rPr>
        <w:t xml:space="preserve">attenuates coefficients toward zero</w:t>
      </w:r>
      <w:r>
        <w:t xml:space="preserve">, biasing against the brand findings rather than toward them. A spot-check on a stratified sample of products confirmed acceptable precision. Improvements such as fuzzy matching and brand-name embeddings are listed as a methodology extension."</w:t>
      </w:r>
    </w:p>
    <w:p>
      <w:pPr>
        <w:pStyle w:val="Heading3"/>
      </w:pPr>
      <w:r>
        <w:t xml:space="preserve">Q7. "Why log-linear, why not Box-Cox or another flexible form?"</w:t>
      </w:r>
    </w:p>
    <w:p>
      <w:pPr>
        <w:spacing w:after="120"/>
      </w:pPr>
      <w:r>
        <w:t xml:space="preserve">"Log-linear is the standard form in food hedonic analysis (</w:t>
      </w:r>
      <w:r>
        <w:rPr>
          <w:b/>
          <w:bCs/>
        </w:rPr>
        <w:t xml:space="preserve">Malpezzi 2002; Costanigro &amp; McCluskey 2011</w:t>
      </w:r>
      <w:r>
        <w:t xml:space="preserve">) for two reasons. First, it preserves the </w:t>
      </w:r>
      <w:r>
        <w:rPr>
          <w:b/>
          <w:bCs/>
        </w:rPr>
        <w:t xml:space="preserve">percentage-premium interpretation</w:t>
      </w:r>
      <w:r>
        <w:t xml:space="preserve"> that is the entire point of a hedonic decomposition. Second, the multiplicative structure of pricing (a brand premium is naturally proportional, not additive) is consistent with Rosen's original framework. A Box-Cox would optimize fit at the cost of interpretability, which would defeat the descriptive purpose of the analysis."</w:t>
      </w:r>
    </w:p>
    <w:p>
      <w:pPr>
        <w:pStyle w:val="Heading3"/>
      </w:pPr>
      <w:r>
        <w:t xml:space="preserve">Q8. "Tết is the largest consumption event in Vietnam, and it is inside your window. Why no event study?"</w:t>
      </w:r>
    </w:p>
    <w:p>
      <w:pPr>
        <w:spacing w:after="120"/>
      </w:pPr>
      <w:r>
        <w:t xml:space="preserve">"A formal Tết event study requires a clean pre-period and post-period in the </w:t>
      </w:r>
      <w:r>
        <w:rPr>
          <w:b/>
          <w:bCs/>
        </w:rPr>
        <w:t xml:space="preserve">Tết-sensitive categories</w:t>
      </w:r>
      <w:r>
        <w:t xml:space="preserve">. Two of the three most-affected categories have data limitations: </w:t>
      </w:r>
      <w:r>
        <w:rPr>
          <w:b/>
          <w:bCs/>
        </w:rPr>
        <w:t xml:space="preserve">Confectionary</w:t>
      </w:r>
      <w:r>
        <w:t xml:space="preserve"> was added on 2 February 2026 — only fifteen days before Tết — leaving no pre-period. </w:t>
      </w:r>
      <w:r>
        <w:rPr>
          <w:b/>
          <w:bCs/>
        </w:rPr>
        <w:t xml:space="preserve">Instant Food</w:t>
      </w:r>
      <w:r>
        <w:t xml:space="preserve"> has a multi-day Tết gap. Running the event study on those categories would mean dropping the very observations it most needs. What I do instead is descriptive: a </w:t>
      </w:r>
      <w:r>
        <w:rPr>
          <w:b/>
          <w:bCs/>
        </w:rPr>
        <w:t xml:space="preserve">Tết-window vs non-Tết-window brand-gap comparison</w:t>
      </w:r>
      <w:r>
        <w:t xml:space="preserve"> (Section 4.6 / output/brand_gap_summary.csv), which finds significant deltas in Fresh Produce (+42 pp, p=0.021) and Processed Food (−39 pp, p=0.048)."</w:t>
      </w:r>
    </w:p>
    <w:p>
      <w:pPr>
        <w:pStyle w:val="Heading3"/>
      </w:pPr>
      <w:r>
        <w:t xml:space="preserve">Q9. "What is the practical implication for an ordinary Vietnamese consumer?"</w:t>
      </w:r>
    </w:p>
    <w:p>
      <w:pPr>
        <w:spacing w:after="120"/>
      </w:pPr>
      <w:r>
        <w:t xml:space="preserve">"Three concrete behaviours. First, </w:t>
      </w:r>
      <w:r>
        <w:rPr>
          <w:b/>
          <w:bCs/>
        </w:rPr>
        <w:t xml:space="preserve">prioritize price tier over brand name</w:t>
      </w:r>
      <w:r>
        <w:t xml:space="preserve"> — the brand-name signal alone carries no statistically significant premium, while price tier is the dominant attribute. Second, </w:t>
      </w:r>
      <w:r>
        <w:rPr>
          <w:b/>
          <w:bCs/>
        </w:rPr>
        <w:t xml:space="preserve">prioritize larger pack sizes</w:t>
      </w:r>
      <w:r>
        <w:t xml:space="preserve"> when storage permits — pack-size economies (~3.8% per 10% pack increase) are the most discount-resistant unit-price savings (erosion only 2.8%). Third, </w:t>
      </w:r>
      <w:r>
        <w:rPr>
          <w:b/>
          <w:bCs/>
        </w:rPr>
        <w:t xml:space="preserve">expect deepest checkout discounts on Household Giant brands</w:t>
      </w:r>
      <w:r>
        <w:t xml:space="preserve"> (Vinamilk, Ajinomoto, Dutch Lady) and on WinEco — those are the products where the marked-to-final gap is widest."</w:t>
      </w:r>
    </w:p>
    <w:p>
      <w:pPr>
        <w:pStyle w:val="Heading3"/>
      </w:pPr>
      <w:r>
        <w:t xml:space="preserve">Q10. "What does the decision tree predictor add over OLS? Isn't it redundant?"</w:t>
      </w:r>
    </w:p>
    <w:p>
      <w:pPr>
        <w:spacing w:after="120"/>
      </w:pPr>
      <w:r>
        <w:t xml:space="preserve">"The decision tree is </w:t>
      </w:r>
      <w:r>
        <w:rPr>
          <w:b/>
          <w:bCs/>
        </w:rPr>
        <w:t xml:space="preserve">not a substitute</w:t>
      </w:r>
      <w:r>
        <w:t xml:space="preserve"> for the OLS hedonic — they answer different questions. OLS gives </w:t>
      </w:r>
      <w:r>
        <w:rPr>
          <w:b/>
          <w:bCs/>
        </w:rPr>
        <w:t xml:space="preserve">interpretable implicit prices</w:t>
      </w:r>
      <w:r>
        <w:t xml:space="preserve"> for each attribute, which is what the research question demands. The PercentileDecisionTree returns </w:t>
      </w:r>
      <w:r>
        <w:rPr>
          <w:b/>
          <w:bCs/>
        </w:rPr>
        <w:t xml:space="preserve">prediction intervals</w:t>
      </w:r>
      <w:r>
        <w:t xml:space="preserve"> (p5 / p25 / p50 / p75 / p95) per sample, which is what an inventory or pricing application would need. The two are complementary: OLS for explanation, the tree for prediction. The tree section in the thesis is brief by design and supports the OLS interpretation rather than competing with it."</w:t>
      </w:r>
    </w:p>
    <w:p>
      <w:pPr>
        <w:pStyle w:val="Heading3"/>
      </w:pPr>
      <w:r>
        <w:t xml:space="preserve">Q11. "Why do high-recognition brands have NEGATIVE coefficients? That seems counterintuitive."</w:t>
      </w:r>
    </w:p>
    <w:p>
      <w:pPr>
        <w:spacing w:after="120"/>
      </w:pPr>
      <w:r>
        <w:t xml:space="preserve">"It is counterintuitive only if one expects brand recognition and price-tier positioning to coincide — but the </w:t>
      </w:r>
      <w:r>
        <w:rPr>
          <w:b/>
          <w:bCs/>
        </w:rPr>
        <w:t xml:space="preserve">four-quadrant typology decomposes them deliberately</w:t>
      </w:r>
      <w:r>
        <w:t xml:space="preserve">. Household Giants — Vinamilk, Ajinomoto, Dutch Lady — are </w:t>
      </w:r>
      <w:r>
        <w:rPr>
          <w:b/>
          <w:bCs/>
        </w:rPr>
        <w:t xml:space="preserve">mass-market brands priced at or below the subcategory median</w:t>
      </w:r>
      <w:r>
        <w:t xml:space="preserve">. The negative coefficient (−0.255 marked, −0.266 final) means that conditional on being branded, the nationally recognized brands are cheaper than other branded products. This is consistent with </w:t>
      </w:r>
      <w:r>
        <w:rPr>
          <w:b/>
          <w:bCs/>
        </w:rPr>
        <w:t xml:space="preserve">Keller's 1993 awareness mechanism</w:t>
      </w:r>
      <w:r>
        <w:t xml:space="preserve">: high awareness facilitates retrieval at the point of purchase and makes these brands effective promotional anchors. The deeper checkout discount (erosion +4.3%) reinforces the traffic-driving interpretation."</w:t>
      </w:r>
    </w:p>
    <w:p>
      <w:pPr>
        <w:pStyle w:val="Heading3"/>
      </w:pPr>
      <w:r>
        <w:t xml:space="preserve">Q12. "Why 88 days specifically? Could a longer period have produced different results?"</w:t>
      </w:r>
    </w:p>
    <w:p>
      <w:pPr>
        <w:spacing w:after="120"/>
      </w:pPr>
      <w:r>
        <w:t xml:space="preserve">"The 88-day window from 18 December 2025 to 15 March 2026 was determined by </w:t>
      </w:r>
      <w:r>
        <w:rPr>
          <w:b/>
          <w:bCs/>
        </w:rPr>
        <w:t xml:space="preserve">data availability</w:t>
      </w:r>
      <w:r>
        <w:t xml:space="preserve"> — daily scraping began on 18 December 2025 and the analysis was cut off on 15 March 2026 to allow time for the analytical phase. The window is sufficient for a cross-sectional hedonic regression because each product's features are time-invariant and the regression uses a product's </w:t>
      </w:r>
      <w:r>
        <w:rPr>
          <w:b/>
          <w:bCs/>
        </w:rPr>
        <w:t xml:space="preserve">time-averaged price</w:t>
      </w:r>
      <w:r>
        <w:t xml:space="preserve">. The temporal stability check across the three monthly snapshots shows that coefficients are flat over the window. A longer window would strengthen the time-series component (the Jevons index trajectory) without materially changing the cross-sectional findings."</w:t>
      </w:r>
    </w:p>
    <w:p>
      <w:pPr>
        <w:pStyle w:val="Heading3"/>
      </w:pPr>
      <w:r>
        <w:t xml:space="preserve">Q13. "Do the results have managerial implications for Winmart specifically?"</w:t>
      </w:r>
    </w:p>
    <w:p>
      <w:pPr>
        <w:spacing w:after="120"/>
      </w:pPr>
      <w:r>
        <w:t xml:space="preserve">"Yes, three actionable implications. First, </w:t>
      </w:r>
      <w:r>
        <w:rPr>
          <w:b/>
          <w:bCs/>
        </w:rPr>
        <w:t xml:space="preserve">premium-tier positioning is protected through promotion</w:t>
      </w:r>
      <w:r>
        <w:t xml:space="preserve"> (erosion −1.7%) — launching a product above the subcategory median price secures a 43–44% markup that survives the discount cycle. Second, </w:t>
      </w:r>
      <w:r>
        <w:rPr>
          <w:b/>
          <w:bCs/>
        </w:rPr>
        <w:t xml:space="preserve">Household Giants are already discount targets</w:t>
      </w:r>
      <w:r>
        <w:t xml:space="preserve"> — pricing them 25–27% below other branded and discounting a further 4.3% at checkout suggests limited remaining margin from continued promotion of these brands. Third, the </w:t>
      </w:r>
      <w:r>
        <w:rPr>
          <w:b/>
          <w:bCs/>
        </w:rPr>
        <w:t xml:space="preserve">WinEco strategy of near-parity sticker / deep checkout discount</w:t>
      </w:r>
      <w:r>
        <w:t xml:space="preserve"> is highly effective at building house-brand traffic, but the 22-percentage-point sticker-to-checkout gap may attract regulatory scrutiny under emerging dual-pricing transparency norms."</w:t>
      </w:r>
    </w:p>
    <w:p>
      <w:pPr>
        <w:pStyle w:val="Heading3"/>
      </w:pPr>
      <w:r>
        <w:t xml:space="preserve">Q14. "What is your single most important contribution to the literature?"</w:t>
      </w:r>
    </w:p>
    <w:p>
      <w:pPr>
        <w:spacing w:after="120"/>
      </w:pPr>
      <w:r>
        <w:t xml:space="preserve">"The </w:t>
      </w:r>
      <w:r>
        <w:rPr>
          <w:b/>
          <w:bCs/>
        </w:rPr>
        <w:t xml:space="preserve">dual-price design</w:t>
      </w:r>
      <w:r>
        <w:t xml:space="preserve">. To my knowledge, this is the first hedonic study in food economics to estimate the same specification on both marked and final prices and to construct an explicit erosion metric. The contribution is methodological — the design generalizes to any retail context where a sticker price and a checkout price are both observable, which is most online retail today. The substantive finding that emerges from the design — that promotion erodes brand-name premiums but not price-tier premiums — is the empirical demonstration that the methodology yields results conventional single-price hedonic studies cannot recover."</w:t>
      </w:r>
    </w:p>
    <w:p>
      <w:pPr>
        <w:pStyle w:val="Heading3"/>
      </w:pPr>
      <w:r>
        <w:t xml:space="preserve">Q15. "If you had six more months on this thesis, what would you do?"</w:t>
      </w:r>
    </w:p>
    <w:p>
      <w:pPr>
        <w:spacing w:after="120"/>
      </w:pPr>
      <w:r>
        <w:t xml:space="preserve">"Three things in priority order. First, </w:t>
      </w:r>
      <w:r>
        <w:rPr>
          <w:b/>
          <w:bCs/>
        </w:rPr>
        <w:t xml:space="preserve">extend to multiple retailers</w:t>
      </w:r>
      <w:r>
        <w:t xml:space="preserve"> (Annam Gourmet for premium, Bách Hóa Xanh for discount, traditional wet markets for informal) to test external validity. Second, </w:t>
      </w:r>
      <w:r>
        <w:rPr>
          <w:b/>
          <w:bCs/>
        </w:rPr>
        <w:t xml:space="preserve">acquire transaction-volume data</w:t>
      </w:r>
      <w:r>
        <w:t xml:space="preserve"> through panel or loyalty-card records to move from describing pricing architecture to estimating consumer response. Third, an </w:t>
      </w:r>
      <w:r>
        <w:rPr>
          <w:b/>
          <w:bCs/>
        </w:rPr>
        <w:t xml:space="preserve">instrumental-variable specification</w:t>
      </w:r>
      <w:r>
        <w:t xml:space="preserve"> using third-party brand equity surveys (Nielsen Brand Health) to address the is_premium endogeneity concern. Together, these address the three principal limitations identified in Chapter 5."</w:t>
      </w:r>
    </w:p>
    <w:p>
      <w:pPr>
        <w:pStyle w:val="Heading1"/>
      </w:pPr>
      <w:r>
        <w:t xml:space="preserve">Day-Of Checklist</w:t>
      </w:r>
    </w:p>
    <w:p>
      <w:pPr>
        <w:pStyle w:val="ListParagraph"/>
        <w:numPr>
          <w:ilvl w:val="0"/>
          <w:numId w:val="2"/>
        </w:numPr>
        <w:spacing w:after="60"/>
      </w:pPr>
      <w:r>
        <w:t xml:space="preserve">Slides exported to PDF as a backup (in case the .pptx fails on the room's computer).</w:t>
      </w:r>
    </w:p>
    <w:p>
      <w:pPr>
        <w:pStyle w:val="ListParagraph"/>
        <w:numPr>
          <w:ilvl w:val="0"/>
          <w:numId w:val="2"/>
        </w:numPr>
        <w:spacing w:after="60"/>
      </w:pPr>
      <w:r>
        <w:t xml:space="preserve">Slides on a USB stick AND in cloud storage AND emailed to yourself.</w:t>
      </w:r>
    </w:p>
    <w:p>
      <w:pPr>
        <w:pStyle w:val="ListParagraph"/>
        <w:numPr>
          <w:ilvl w:val="0"/>
          <w:numId w:val="2"/>
        </w:numPr>
        <w:spacing w:after="60"/>
      </w:pPr>
      <w:r>
        <w:t xml:space="preserve">Printed copy of the full thesis (one).</w:t>
      </w:r>
    </w:p>
    <w:p>
      <w:pPr>
        <w:pStyle w:val="ListParagraph"/>
        <w:numPr>
          <w:ilvl w:val="0"/>
          <w:numId w:val="2"/>
        </w:numPr>
        <w:spacing w:after="60"/>
      </w:pPr>
      <w:r>
        <w:t xml:space="preserve">Printed copy of the slide deck (one).</w:t>
      </w:r>
    </w:p>
    <w:p>
      <w:pPr>
        <w:pStyle w:val="ListParagraph"/>
        <w:numPr>
          <w:ilvl w:val="0"/>
          <w:numId w:val="2"/>
        </w:numPr>
        <w:spacing w:after="60"/>
      </w:pPr>
      <w:r>
        <w:t xml:space="preserve">Laser pointer / clicker, with batteries checked the morning of.</w:t>
      </w:r>
    </w:p>
    <w:p>
      <w:pPr>
        <w:pStyle w:val="ListParagraph"/>
        <w:numPr>
          <w:ilvl w:val="0"/>
          <w:numId w:val="2"/>
        </w:numPr>
        <w:spacing w:after="60"/>
      </w:pPr>
      <w:r>
        <w:t xml:space="preserve">Bottle of water on the desk before starting.</w:t>
      </w:r>
    </w:p>
    <w:p>
      <w:pPr>
        <w:pStyle w:val="ListParagraph"/>
        <w:numPr>
          <w:ilvl w:val="0"/>
          <w:numId w:val="2"/>
        </w:numPr>
        <w:spacing w:after="60"/>
      </w:pPr>
      <w:r>
        <w:t xml:space="preserve">Phone on silent, fully charged, in your bag (not on the desk).</w:t>
      </w:r>
    </w:p>
    <w:p>
      <w:pPr>
        <w:pStyle w:val="ListParagraph"/>
        <w:numPr>
          <w:ilvl w:val="0"/>
          <w:numId w:val="2"/>
        </w:numPr>
        <w:spacing w:after="60"/>
      </w:pPr>
      <w:r>
        <w:t xml:space="preserve">Outfit decided and ironed the night before.</w:t>
      </w:r>
    </w:p>
    <w:p>
      <w:pPr>
        <w:pStyle w:val="ListParagraph"/>
        <w:numPr>
          <w:ilvl w:val="0"/>
          <w:numId w:val="2"/>
        </w:numPr>
        <w:spacing w:after="60"/>
      </w:pPr>
      <w:r>
        <w:t xml:space="preserve">Arrive 30 minutes early; load slides 15 minutes early.</w:t>
      </w:r>
    </w:p>
    <w:p>
      <w:pPr>
        <w:pStyle w:val="ListParagraph"/>
        <w:numPr>
          <w:ilvl w:val="0"/>
          <w:numId w:val="2"/>
        </w:numPr>
        <w:spacing w:after="60"/>
      </w:pPr>
      <w:r>
        <w:t xml:space="preserve">Verify font rendering for Vietnamese diacritics on the room's machine.</w:t>
      </w:r>
    </w:p>
    <w:p>
      <w:pPr>
        <w:pStyle w:val="ListParagraph"/>
        <w:numPr>
          <w:ilvl w:val="0"/>
          <w:numId w:val="2"/>
        </w:numPr>
        <w:spacing w:after="60"/>
      </w:pPr>
      <w:r>
        <w:t xml:space="preserve">Greet the chair and council members by title before sitting.</w:t>
      </w:r>
    </w:p>
    <w:p>
      <w:pPr>
        <w:pStyle w:val="ListParagraph"/>
        <w:numPr>
          <w:ilvl w:val="0"/>
          <w:numId w:val="2"/>
        </w:numPr>
        <w:spacing w:after="60"/>
      </w:pPr>
      <w:r>
        <w:t xml:space="preserve">Sip water if a question is hard — buys 5 seconds to think.</w:t>
      </w:r>
    </w:p>
    <w:p>
      <w:pPr>
        <w:pStyle w:val="Heading1"/>
      </w:pPr>
      <w:r>
        <w:t xml:space="preserve">Three Sentences to Memorize Verbatim</w:t>
      </w:r>
    </w:p>
    <w:p>
      <w:pPr>
        <w:spacing w:after="120"/>
      </w:pPr>
      <w:r>
        <w:t xml:space="preserve">When stress narrows the working memory, having three sentences fully memorized lets you start strong, recover from a stumble, and finish strong.</w:t>
      </w:r>
    </w:p>
    <w:p>
      <w:pPr>
        <w:pStyle w:val="Heading3"/>
      </w:pPr>
      <w:r>
        <w:t xml:space="preserve">Opening line</w:t>
      </w:r>
    </w:p>
    <w:p>
      <w:pPr>
        <w:spacing w:after="120"/>
      </w:pPr>
      <w:r>
        <w:t xml:space="preserve">"Honourable chair, dear members of the council, my name is Trần Hiếu My, Business Analytics 64. I will present my bachelor thesis on hedonic price decomposition and promotional erosion at Winmart, conducted under the supervision of Dr. Nguyễn Mạnh Thế."</w:t>
      </w:r>
    </w:p>
    <w:p>
      <w:pPr>
        <w:pStyle w:val="Heading3"/>
      </w:pPr>
      <w:r>
        <w:t xml:space="preserve">Research question</w:t>
      </w:r>
    </w:p>
    <w:p>
      <w:pPr>
        <w:spacing w:after="120"/>
      </w:pPr>
      <w:r>
        <w:t xml:space="preserve">"What product attributes generate price premiums in Vietnamese online grocery, and to what extent do promotional pricing strategies erode those premiums?"</w:t>
      </w:r>
    </w:p>
    <w:p>
      <w:pPr>
        <w:pStyle w:val="Heading3"/>
      </w:pPr>
      <w:r>
        <w:t xml:space="preserve">Closing finding</w:t>
      </w:r>
    </w:p>
    <w:p>
      <w:pPr>
        <w:spacing w:after="120"/>
      </w:pPr>
      <w:r>
        <w:t xml:space="preserve">"Promotion erodes brand-name premiums by approximately 50 percent between sticker and checkout, but leaves price-tier premiums of 43 to 44 percent essentially intact — and this is the first hedonic decomposition of Vietnamese online grocery using web-scraped daily dual-price data."</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5984"/>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2026-05-02T16:18:35.046Z</dcterms:created>
  <dcterms:modified xsi:type="dcterms:W3CDTF">2026-05-02T16:18:35.046Z</dcterms:modified>
</cp:coreProperties>
</file>

<file path=docProps/custom.xml><?xml version="1.0" encoding="utf-8"?>
<Properties xmlns="http://schemas.openxmlformats.org/officeDocument/2006/custom-properties" xmlns:vt="http://schemas.openxmlformats.org/officeDocument/2006/docPropsVTypes"/>
</file>