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C9A227"/>
          <w:sz w:val="28"/>
          <w:szCs w:val="28"/>
        </w:rPr>
        <w:t xml:space="preserve">PRESENTATION SCRIPT</w:t>
      </w:r>
    </w:p>
    <w:p>
      <w:pPr>
        <w:spacing w:after="200" w:before="100"/>
        <w:jc w:val="center"/>
      </w:pPr>
      <w:r>
        <w:rPr>
          <w:b/>
          <w:bCs/>
          <w:color w:val="0F2A4D"/>
          <w:sz w:val="44"/>
          <w:szCs w:val="44"/>
        </w:rPr>
        <w:t xml:space="preserve">Hedonic Price Decomposition</w:t>
      </w:r>
    </w:p>
    <w:p>
      <w:pPr>
        <w:spacing w:after="200" w:before="0"/>
        <w:jc w:val="center"/>
      </w:pPr>
      <w:r>
        <w:rPr>
          <w:b/>
          <w:bCs/>
          <w:color w:val="0F2A4D"/>
          <w:sz w:val="44"/>
          <w:szCs w:val="44"/>
        </w:rPr>
        <w:t xml:space="preserve">and Promotional Erosion on Online Prices</w:t>
      </w:r>
    </w:p>
    <w:p>
      <w:pPr>
        <w:spacing w:after="600" w:before="100"/>
        <w:jc w:val="center"/>
      </w:pPr>
      <w:r>
        <w:rPr>
          <w:i/>
          <w:iCs/>
          <w:color w:val="0F2A4D"/>
          <w:sz w:val="28"/>
          <w:szCs w:val="28"/>
        </w:rPr>
        <w:t xml:space="preserve">A Case Study on Winmart</w:t>
      </w:r>
    </w:p>
    <w:p>
      <w:pPr>
        <w:spacing w:after="100" w:before="200"/>
        <w:jc w:val="center"/>
      </w:pPr>
      <w:r>
        <w:rPr>
          <w:sz w:val="22"/>
          <w:szCs w:val="22"/>
        </w:rPr>
        <w:t xml:space="preserve">Bachelor Thesis Defense — National Economics University</w:t>
      </w:r>
    </w:p>
    <w:p>
      <w:pPr>
        <w:spacing w:after="100" w:before="100"/>
        <w:jc w:val="center"/>
      </w:pPr>
      <w:r>
        <w:rPr>
          <w:sz w:val="22"/>
          <w:szCs w:val="22"/>
        </w:rPr>
        <w:t xml:space="preserve">Trần Hiếu My  ·  Business Analytics 64  ·  11224401</w:t>
      </w:r>
    </w:p>
    <w:p>
      <w:pPr>
        <w:spacing w:after="100" w:before="100"/>
        <w:jc w:val="center"/>
      </w:pPr>
      <w:r>
        <w:rPr>
          <w:sz w:val="22"/>
          <w:szCs w:val="22"/>
        </w:rPr>
        <w:t xml:space="preserve">Supervisor: Dr. Nguyễn Mạnh Thế</w:t>
      </w:r>
    </w:p>
    <w:p>
      <w:pPr>
        <w:spacing w:after="100" w:before="600"/>
        <w:jc w:val="center"/>
      </w:pPr>
      <w:r>
        <w:rPr>
          <w:i/>
          <w:iCs/>
          <w:color w:val="707070"/>
          <w:sz w:val="22"/>
          <w:szCs w:val="22"/>
        </w:rPr>
        <w:t xml:space="preserve">Target length: 17 minutes  ·  19 main slides + 9 appendix slides for Q&amp;A</w:t>
      </w:r>
    </w:p>
    <w:p>
      <w:r>
        <w:br w:type="page"/>
      </w:r>
    </w:p>
    <w:p>
      <w:pPr>
        <w:pStyle w:val="Heading1"/>
        <w:spacing w:after="200" w:before="360"/>
      </w:pPr>
      <w:r>
        <w:rPr>
          <w:b/>
          <w:bCs/>
          <w:color w:val="0F2A4D"/>
          <w:sz w:val="32"/>
          <w:szCs w:val="32"/>
        </w:rPr>
        <w:t xml:space="preserve">How to use this script</w:t>
      </w:r>
    </w:p>
    <w:p>
      <w:pPr>
        <w:spacing w:after="120" w:before="80" w:line="320"/>
      </w:pPr>
      <w:r>
        <w:rPr>
          <w:sz w:val="24"/>
          <w:szCs w:val="24"/>
        </w:rPr>
        <w:t xml:space="preserve">Each slide has three blocks. The first block, in plain text, is what you will say out loud — read it aloud during practice and time yourself. The second block, in italic gray brackets, is a stage direction — what to point to on the slide, when to pause, when to switch tone. The third block, the transition line, is the bridge into the next slide; rehearse these particularly carefully because choppy transitions are what make a defense sound rehearsed rather than confident.</w:t>
      </w:r>
    </w:p>
    <w:p>
      <w:pPr>
        <w:spacing w:after="120" w:before="80" w:line="320"/>
      </w:pPr>
      <w:r>
        <w:rPr>
          <w:sz w:val="24"/>
          <w:szCs w:val="24"/>
        </w:rPr>
        <w:t xml:space="preserve">The total spoken script is paced at roughly one hundred and forty words per minute, slightly slower than conversational English, which is appropriate when speaking to a Vietnamese council in your second language. Aim for seventeen minutes on the main deck. That leaves three to five minutes of buffer if the council interrupts with a clarifying question — which they often do — and keeps you safely under any twenty-minute hard cap.</w:t>
      </w:r>
    </w:p>
    <w:p>
      <w:pPr>
        <w:spacing w:after="120" w:before="80" w:line="320"/>
      </w:pPr>
      <w:r>
        <w:rPr>
          <w:sz w:val="24"/>
          <w:szCs w:val="24"/>
        </w:rPr>
        <w:t xml:space="preserve">Two coaching notes. First, the single most important sentence in this entire defense is on slide eleven: "Promotion erodes brand-name premiums by half — but leaves price-tier premiums fully intact." Slow down before you say it. Pause after you say it. That is your finding. Second, when the council asks something you didn't anticipate, the move is not to invent — it is to say "That is in Appendix A-X, may I show you?" and flip to that slide. The appendix slides exist for exactly this purpose.</w:t>
      </w:r>
    </w:p>
    <w:p>
      <w:pPr>
        <w:pBdr>
          <w:bottom w:val="single" w:color="C9A227" w:sz="6" w:space="1"/>
        </w:pBdr>
        <w:spacing w:after="120" w:before="120"/>
      </w:pPr>
      <w:r>
        <w:t xml:space="preserve"/>
      </w:r>
    </w:p>
    <w:p>
      <w:pPr>
        <w:pStyle w:val="Heading2"/>
        <w:spacing w:after="140" w:before="280"/>
      </w:pPr>
      <w:r>
        <w:rPr>
          <w:b/>
          <w:bCs/>
          <w:color w:val="0F2A4D"/>
          <w:sz w:val="26"/>
          <w:szCs w:val="26"/>
        </w:rPr>
        <w:t xml:space="preserve">Pacing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80"/>
        <w:gridCol w:w="3480"/>
      </w:tblGrid>
      <w:tr>
        <w:tc>
          <w:tcPr>
            <w:tcW w:type="dxa" w:w="4200"/>
            <w:tcBorders>
              <w:top w:val="single" w:color="B0B0B0" w:sz="1"/>
              <w:left w:val="single" w:color="B0B0B0" w:sz="1"/>
              <w:bottom w:val="single" w:color="B0B0B0" w:sz="1"/>
              <w:right w:val="single" w:color="B0B0B0" w:sz="1"/>
            </w:tcBorders>
            <w:shd w:fill="0F2A4D" w:val="clear"/>
            <w:tcMar>
              <w:top w:type="dxa" w:w="100"/>
              <w:left w:type="dxa" w:w="120"/>
              <w:bottom w:type="dxa" w:w="100"/>
              <w:right w:type="dxa" w:w="120"/>
            </w:tcMar>
          </w:tcPr>
          <w:p>
            <w:r>
              <w:rPr>
                <w:b/>
                <w:bCs/>
                <w:color w:val="FFFFFF"/>
                <w:sz w:val="22"/>
                <w:szCs w:val="22"/>
              </w:rPr>
              <w:t xml:space="preserve">Section</w:t>
            </w:r>
          </w:p>
        </w:tc>
        <w:tc>
          <w:tcPr>
            <w:tcW w:type="dxa" w:w="1680"/>
            <w:tcBorders>
              <w:top w:val="single" w:color="B0B0B0" w:sz="1"/>
              <w:left w:val="single" w:color="B0B0B0" w:sz="1"/>
              <w:bottom w:val="single" w:color="B0B0B0" w:sz="1"/>
              <w:right w:val="single" w:color="B0B0B0" w:sz="1"/>
            </w:tcBorders>
            <w:shd w:fill="0F2A4D" w:val="clear"/>
            <w:tcMar>
              <w:top w:type="dxa" w:w="100"/>
              <w:left w:type="dxa" w:w="120"/>
              <w:bottom w:type="dxa" w:w="100"/>
              <w:right w:type="dxa" w:w="120"/>
            </w:tcMar>
          </w:tcPr>
          <w:p>
            <w:r>
              <w:rPr>
                <w:b/>
                <w:bCs/>
                <w:color w:val="FFFFFF"/>
                <w:sz w:val="22"/>
                <w:szCs w:val="22"/>
              </w:rPr>
              <w:t xml:space="preserve">Slides</w:t>
            </w:r>
          </w:p>
        </w:tc>
        <w:tc>
          <w:tcPr>
            <w:tcW w:type="dxa" w:w="3480"/>
            <w:tcBorders>
              <w:top w:val="single" w:color="B0B0B0" w:sz="1"/>
              <w:left w:val="single" w:color="B0B0B0" w:sz="1"/>
              <w:bottom w:val="single" w:color="B0B0B0" w:sz="1"/>
              <w:right w:val="single" w:color="B0B0B0" w:sz="1"/>
            </w:tcBorders>
            <w:shd w:fill="0F2A4D" w:val="clear"/>
            <w:tcMar>
              <w:top w:type="dxa" w:w="100"/>
              <w:left w:type="dxa" w:w="120"/>
              <w:bottom w:type="dxa" w:w="100"/>
              <w:right w:type="dxa" w:w="120"/>
            </w:tcMar>
          </w:tcPr>
          <w:p>
            <w:r>
              <w:rPr>
                <w:b/>
                <w:bCs/>
                <w:color w:val="FFFFFF"/>
                <w:sz w:val="22"/>
                <w:szCs w:val="22"/>
              </w:rPr>
              <w:t xml:space="preserve">Target time</w:t>
            </w:r>
          </w:p>
        </w:tc>
      </w:tr>
      <w:tr>
        <w:tc>
          <w:tcPr>
            <w:tcW w:type="dxa" w:w="4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A. Opening — hook, RQ, objectives</w:t>
            </w:r>
          </w:p>
        </w:tc>
        <w:tc>
          <w:tcPr>
            <w:tcW w:type="dxa" w:w="16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1–3</w:t>
            </w:r>
          </w:p>
        </w:tc>
        <w:tc>
          <w:tcPr>
            <w:tcW w:type="dxa" w:w="34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2:30</w:t>
            </w:r>
          </w:p>
        </w:tc>
      </w:tr>
      <w:tr>
        <w:tc>
          <w:tcPr>
            <w:tcW w:type="dxa" w:w="4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B. Theoretical framework</w:t>
            </w:r>
          </w:p>
        </w:tc>
        <w:tc>
          <w:tcPr>
            <w:tcW w:type="dxa" w:w="16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4–5</w:t>
            </w:r>
          </w:p>
        </w:tc>
        <w:tc>
          <w:tcPr>
            <w:tcW w:type="dxa" w:w="34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2:20</w:t>
            </w:r>
          </w:p>
        </w:tc>
      </w:tr>
      <w:tr>
        <w:tc>
          <w:tcPr>
            <w:tcW w:type="dxa" w:w="4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C. Methodology — data, model, dual-price design</w:t>
            </w:r>
          </w:p>
        </w:tc>
        <w:tc>
          <w:tcPr>
            <w:tcW w:type="dxa" w:w="16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6–8</w:t>
            </w:r>
          </w:p>
        </w:tc>
        <w:tc>
          <w:tcPr>
            <w:tcW w:type="dxa" w:w="34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3:20</w:t>
            </w:r>
          </w:p>
        </w:tc>
      </w:tr>
      <w:tr>
        <w:tc>
          <w:tcPr>
            <w:tcW w:type="dxa" w:w="4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D. Results — pooled, heterogeneity, erosion, diagnostics</w:t>
            </w:r>
          </w:p>
        </w:tc>
        <w:tc>
          <w:tcPr>
            <w:tcW w:type="dxa" w:w="16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9–12</w:t>
            </w:r>
          </w:p>
        </w:tc>
        <w:tc>
          <w:tcPr>
            <w:tcW w:type="dxa" w:w="34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4:30</w:t>
            </w:r>
          </w:p>
        </w:tc>
      </w:tr>
      <w:tr>
        <w:tc>
          <w:tcPr>
            <w:tcW w:type="dxa" w:w="4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E. Discussion — three findings + recommendations</w:t>
            </w:r>
          </w:p>
        </w:tc>
        <w:tc>
          <w:tcPr>
            <w:tcW w:type="dxa" w:w="16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13–16</w:t>
            </w:r>
          </w:p>
        </w:tc>
        <w:tc>
          <w:tcPr>
            <w:tcW w:type="dxa" w:w="34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3:50</w:t>
            </w:r>
          </w:p>
        </w:tc>
      </w:tr>
      <w:tr>
        <w:tc>
          <w:tcPr>
            <w:tcW w:type="dxa" w:w="420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F. Closing — limitations, conclusion, thanks</w:t>
            </w:r>
          </w:p>
        </w:tc>
        <w:tc>
          <w:tcPr>
            <w:tcW w:type="dxa" w:w="16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17–19</w:t>
            </w:r>
          </w:p>
        </w:tc>
        <w:tc>
          <w:tcPr>
            <w:tcW w:type="dxa" w:w="3480"/>
            <w:tcBorders>
              <w:top w:val="single" w:color="B0B0B0" w:sz="1"/>
              <w:left w:val="single" w:color="B0B0B0" w:sz="1"/>
              <w:bottom w:val="single" w:color="B0B0B0" w:sz="1"/>
              <w:right w:val="single" w:color="B0B0B0" w:sz="1"/>
            </w:tcBorders>
            <w:tcMar>
              <w:top w:type="dxa" w:w="100"/>
              <w:left w:type="dxa" w:w="120"/>
              <w:bottom w:type="dxa" w:w="100"/>
              <w:right w:type="dxa" w:w="120"/>
            </w:tcMar>
          </w:tcPr>
          <w:p>
            <w:r>
              <w:rPr>
                <w:b w:val="false"/>
                <w:bCs w:val="false"/>
                <w:color w:val="000000"/>
                <w:sz w:val="22"/>
                <w:szCs w:val="22"/>
              </w:rPr>
              <w:t xml:space="preserve">2:00</w:t>
            </w:r>
          </w:p>
        </w:tc>
      </w:tr>
      <w:tr>
        <w:tc>
          <w:tcPr>
            <w:tcW w:type="dxa" w:w="4200"/>
            <w:tcBorders>
              <w:top w:val="single" w:color="B0B0B0" w:sz="1"/>
              <w:left w:val="single" w:color="B0B0B0" w:sz="1"/>
              <w:bottom w:val="single" w:color="B0B0B0" w:sz="1"/>
              <w:right w:val="single" w:color="B0B0B0" w:sz="1"/>
            </w:tcBorders>
            <w:shd w:fill="F5EFD8" w:val="clear"/>
            <w:tcMar>
              <w:top w:type="dxa" w:w="100"/>
              <w:left w:type="dxa" w:w="120"/>
              <w:bottom w:type="dxa" w:w="100"/>
              <w:right w:type="dxa" w:w="120"/>
            </w:tcMar>
          </w:tcPr>
          <w:p>
            <w:r>
              <w:rPr>
                <w:b/>
                <w:bCs/>
                <w:color w:val="000000"/>
                <w:sz w:val="22"/>
                <w:szCs w:val="22"/>
              </w:rPr>
              <w:t xml:space="preserve">TOTAL</w:t>
            </w:r>
          </w:p>
        </w:tc>
        <w:tc>
          <w:tcPr>
            <w:tcW w:type="dxa" w:w="1680"/>
            <w:tcBorders>
              <w:top w:val="single" w:color="B0B0B0" w:sz="1"/>
              <w:left w:val="single" w:color="B0B0B0" w:sz="1"/>
              <w:bottom w:val="single" w:color="B0B0B0" w:sz="1"/>
              <w:right w:val="single" w:color="B0B0B0" w:sz="1"/>
            </w:tcBorders>
            <w:shd w:fill="F5EFD8" w:val="clear"/>
            <w:tcMar>
              <w:top w:type="dxa" w:w="100"/>
              <w:left w:type="dxa" w:w="120"/>
              <w:bottom w:type="dxa" w:w="100"/>
              <w:right w:type="dxa" w:w="120"/>
            </w:tcMar>
          </w:tcPr>
          <w:p>
            <w:r>
              <w:rPr>
                <w:b/>
                <w:bCs/>
                <w:color w:val="000000"/>
                <w:sz w:val="22"/>
                <w:szCs w:val="22"/>
              </w:rPr>
              <w:t xml:space="preserve">19</w:t>
            </w:r>
          </w:p>
        </w:tc>
        <w:tc>
          <w:tcPr>
            <w:tcW w:type="dxa" w:w="3480"/>
            <w:tcBorders>
              <w:top w:val="single" w:color="B0B0B0" w:sz="1"/>
              <w:left w:val="single" w:color="B0B0B0" w:sz="1"/>
              <w:bottom w:val="single" w:color="B0B0B0" w:sz="1"/>
              <w:right w:val="single" w:color="B0B0B0" w:sz="1"/>
            </w:tcBorders>
            <w:shd w:fill="F5EFD8" w:val="clear"/>
            <w:tcMar>
              <w:top w:type="dxa" w:w="100"/>
              <w:left w:type="dxa" w:w="120"/>
              <w:bottom w:type="dxa" w:w="100"/>
              <w:right w:type="dxa" w:w="120"/>
            </w:tcMar>
          </w:tcPr>
          <w:p>
            <w:r>
              <w:rPr>
                <w:b/>
                <w:bCs/>
                <w:color w:val="000000"/>
                <w:sz w:val="22"/>
                <w:szCs w:val="22"/>
              </w:rPr>
              <w:t xml:space="preserve">~17:00</w:t>
            </w:r>
          </w:p>
        </w:tc>
      </w:tr>
    </w:tbl>
    <w:p>
      <w:r>
        <w:br w:type="page"/>
      </w:r>
    </w:p>
    <w:p>
      <w:pPr>
        <w:pBdr>
          <w:top w:val="single" w:color="0F2A4D" w:sz="12" w:space="6"/>
        </w:pBdr>
        <w:spacing w:after="80" w:before="360"/>
      </w:pPr>
      <w:r>
        <w:rPr>
          <w:b/>
          <w:bCs/>
          <w:color w:val="C9A227"/>
          <w:sz w:val="22"/>
          <w:szCs w:val="22"/>
        </w:rPr>
        <w:t xml:space="preserve">SLIDE 1 / 19    </w:t>
      </w:r>
      <w:r>
        <w:rPr>
          <w:b/>
          <w:bCs/>
          <w:color w:val="0F2A4D"/>
          <w:sz w:val="28"/>
          <w:szCs w:val="28"/>
        </w:rPr>
        <w:t xml:space="preserve">Title slide</w:t>
      </w:r>
      <w:r>
        <w:rPr>
          <w:i/>
          <w:iCs/>
          <w:color w:val="707070"/>
          <w:sz w:val="20"/>
          <w:szCs w:val="20"/>
        </w:rPr>
        <w:t xml:space="preserve">    ·    0:30</w:t>
      </w:r>
    </w:p>
    <w:p>
      <w:pPr>
        <w:spacing w:after="100" w:before="60"/>
      </w:pPr>
      <w:r>
        <w:rPr>
          <w:i/>
          <w:iCs/>
          <w:color w:val="707070"/>
          <w:sz w:val="20"/>
          <w:szCs w:val="20"/>
        </w:rPr>
        <w:t xml:space="preserve">[Stand still. Make eye contact with the chair of the council, then sweep across the rest of the panel. Smile. Pause for two seconds before speaking.]</w:t>
      </w:r>
    </w:p>
    <w:p>
      <w:pPr>
        <w:spacing w:after="120" w:before="80" w:line="320"/>
      </w:pPr>
      <w:r>
        <w:rPr>
          <w:sz w:val="24"/>
          <w:szCs w:val="24"/>
        </w:rPr>
        <w:t xml:space="preserve">Kính thưa quý thầy cô trong hội đồng. Good morning, distinguished members of the council. My name is Trần Hiếu My, student number 11224401, from the Business Analytics 64 cohort of the Advanced Education Programs. Thank you for the time you have taken to read my thesis and to be here today.</w:t>
      </w:r>
    </w:p>
    <w:p>
      <w:pPr>
        <w:spacing w:after="120" w:before="80" w:line="320"/>
      </w:pPr>
      <w:r>
        <w:rPr>
          <w:sz w:val="24"/>
          <w:szCs w:val="24"/>
        </w:rPr>
        <w:t xml:space="preserve">My thesis is titled "Hedonic Price Decomposition and Promotional Erosion on Online Prices — A Case Study on Winmart." It was written under the supervision of Dr. Nguyễn Mạnh Thế. Over the next seventeen minutes I will walk you through the question I asked, the data and methodology I used, the three principal findings, and what I think they mean for consumers, businesses, and policymakers.</w:t>
      </w:r>
    </w:p>
    <w:p>
      <w:pPr>
        <w:spacing w:after="100" w:before="200"/>
      </w:pPr>
      <w:r>
        <w:rPr>
          <w:b/>
          <w:bCs/>
          <w:color w:val="B8860B"/>
          <w:sz w:val="22"/>
          <w:szCs w:val="22"/>
        </w:rPr>
        <w:t xml:space="preserve">Transition</w:t>
      </w:r>
    </w:p>
    <w:p>
      <w:pPr>
        <w:spacing w:after="120" w:before="80" w:line="320"/>
      </w:pPr>
      <w:r>
        <w:rPr>
          <w:sz w:val="24"/>
          <w:szCs w:val="24"/>
        </w:rPr>
        <w:t xml:space="preserve">Let me begin with a small puzzle that anyone who shops on Winmart will recognize.</w:t>
      </w:r>
    </w:p>
    <w:p>
      <w:pPr>
        <w:pBdr>
          <w:top w:val="single" w:color="0F2A4D" w:sz="12" w:space="6"/>
        </w:pBdr>
        <w:spacing w:after="80" w:before="360"/>
      </w:pPr>
      <w:r>
        <w:rPr>
          <w:b/>
          <w:bCs/>
          <w:color w:val="C9A227"/>
          <w:sz w:val="22"/>
          <w:szCs w:val="22"/>
        </w:rPr>
        <w:t xml:space="preserve">SLIDE 2 / 19    </w:t>
      </w:r>
      <w:r>
        <w:rPr>
          <w:b/>
          <w:bCs/>
          <w:color w:val="0F2A4D"/>
          <w:sz w:val="28"/>
          <w:szCs w:val="28"/>
        </w:rPr>
        <w:t xml:space="preserve">Two Prices, One Product — the hook</w:t>
      </w:r>
      <w:r>
        <w:rPr>
          <w:i/>
          <w:iCs/>
          <w:color w:val="707070"/>
          <w:sz w:val="20"/>
          <w:szCs w:val="20"/>
        </w:rPr>
        <w:t xml:space="preserve">    ·    1:00</w:t>
      </w:r>
    </w:p>
    <w:p>
      <w:pPr>
        <w:spacing w:after="100" w:before="60"/>
      </w:pPr>
      <w:r>
        <w:rPr>
          <w:i/>
          <w:iCs/>
          <w:color w:val="707070"/>
          <w:sz w:val="20"/>
          <w:szCs w:val="20"/>
        </w:rPr>
        <w:t xml:space="preserve">[Click to advance. Point at the Vinamilk product card on the left. Hold for a beat so the council can read both prices.]</w:t>
      </w:r>
    </w:p>
    <w:p>
      <w:pPr>
        <w:spacing w:after="120" w:before="80" w:line="320"/>
      </w:pPr>
      <w:r>
        <w:rPr>
          <w:sz w:val="24"/>
          <w:szCs w:val="24"/>
        </w:rPr>
        <w:t xml:space="preserve">On the left of the slide is a product I am sure every household in this room recognizes — a one-litre carton of Vinamilk fresh sterilized milk with sugar. If you open the Winmart app right now, you will see two prices on this listing. The marked price, which is crossed out, is thirty-eight thousand three hundred đồng. The final price, which is the one you actually pay at checkout, is thirty-seven thousand three hundred đồng. The difference is one thousand đồng — about twelve and a half percent off.</w:t>
      </w:r>
    </w:p>
    <w:p>
      <w:pPr>
        <w:spacing w:after="120" w:before="80" w:line="320"/>
      </w:pPr>
      <w:r>
        <w:rPr>
          <w:sz w:val="24"/>
          <w:szCs w:val="24"/>
        </w:rPr>
        <w:t xml:space="preserve">This dual-price structure is not unusual. It is the norm. On the right of the slide are the numbers behind this thesis: I tracked two thousand two hundred and eighty-six unique products across eighty-eight consecutive days, in ten food categories and forty sub-categories. Across that whole dataset, most products show two prices. And the central observation that motivated this thesis is the line at the bottom of the slide: the gap between the two prices is not random. It varies systematically with the type of product, the brand, and the category — and that variation is what I set out to measure.</w:t>
      </w:r>
    </w:p>
    <w:p>
      <w:pPr>
        <w:spacing w:after="100" w:before="200"/>
      </w:pPr>
      <w:r>
        <w:rPr>
          <w:b/>
          <w:bCs/>
          <w:color w:val="B8860B"/>
          <w:sz w:val="22"/>
          <w:szCs w:val="22"/>
        </w:rPr>
        <w:t xml:space="preserve">Transition</w:t>
      </w:r>
    </w:p>
    <w:p>
      <w:pPr>
        <w:spacing w:after="120" w:before="80" w:line="320"/>
      </w:pPr>
      <w:r>
        <w:rPr>
          <w:sz w:val="24"/>
          <w:szCs w:val="24"/>
        </w:rPr>
        <w:t xml:space="preserve">That observation gave me the research question.</w:t>
      </w:r>
    </w:p>
    <w:p>
      <w:pPr>
        <w:pBdr>
          <w:top w:val="single" w:color="0F2A4D" w:sz="12" w:space="6"/>
        </w:pBdr>
        <w:spacing w:after="80" w:before="360"/>
      </w:pPr>
      <w:r>
        <w:rPr>
          <w:b/>
          <w:bCs/>
          <w:color w:val="C9A227"/>
          <w:sz w:val="22"/>
          <w:szCs w:val="22"/>
        </w:rPr>
        <w:t xml:space="preserve">SLIDE 3 / 19    </w:t>
      </w:r>
      <w:r>
        <w:rPr>
          <w:b/>
          <w:bCs/>
          <w:color w:val="0F2A4D"/>
          <w:sz w:val="28"/>
          <w:szCs w:val="28"/>
        </w:rPr>
        <w:t xml:space="preserve">Research Question &amp; Objectives</w:t>
      </w:r>
      <w:r>
        <w:rPr>
          <w:i/>
          <w:iCs/>
          <w:color w:val="707070"/>
          <w:sz w:val="20"/>
          <w:szCs w:val="20"/>
        </w:rPr>
        <w:t xml:space="preserve">    ·    0:50</w:t>
      </w:r>
    </w:p>
    <w:p>
      <w:pPr>
        <w:spacing w:after="100" w:before="60"/>
      </w:pPr>
      <w:r>
        <w:rPr>
          <w:i/>
          <w:iCs/>
          <w:color w:val="707070"/>
          <w:sz w:val="20"/>
          <w:szCs w:val="20"/>
        </w:rPr>
        <w:t xml:space="preserve">[Read the research question slowly, then point to each of the three numbered boxes in turn.]</w:t>
      </w:r>
    </w:p>
    <w:p>
      <w:pPr>
        <w:spacing w:after="120" w:before="80" w:line="320"/>
      </w:pPr>
      <w:r>
        <w:rPr>
          <w:sz w:val="24"/>
          <w:szCs w:val="24"/>
        </w:rPr>
        <w:t xml:space="preserve">My research question is: "What product attributes generate price premiums in Vietnamese online grocery, and to what extent do promotional pricing strategies erode those premiums?"</w:t>
      </w:r>
    </w:p>
    <w:p>
      <w:pPr>
        <w:spacing w:after="120" w:before="80" w:line="320"/>
      </w:pPr>
      <w:r>
        <w:rPr>
          <w:sz w:val="24"/>
          <w:szCs w:val="24"/>
        </w:rPr>
        <w:t xml:space="preserve">To answer that question, I set three objectives. First, identify which product attributes — brand, recognition, premium tier, import origin, health claims, pack size — generate statistically significant price premiums. Second, measure how promotional discounts erode those premiums between the sticker price and the checkout price, exploiting the dual-price structure I just showed you. And third, compare how those premium structures vary across the ten product categories — because as we will see, the pooled average hides quite a lot of heterogeneity.</w:t>
      </w:r>
    </w:p>
    <w:p>
      <w:pPr>
        <w:spacing w:after="100" w:before="200"/>
      </w:pPr>
      <w:r>
        <w:rPr>
          <w:b/>
          <w:bCs/>
          <w:color w:val="B8860B"/>
          <w:sz w:val="22"/>
          <w:szCs w:val="22"/>
        </w:rPr>
        <w:t xml:space="preserve">Transition</w:t>
      </w:r>
    </w:p>
    <w:p>
      <w:pPr>
        <w:spacing w:after="120" w:before="80" w:line="320"/>
      </w:pPr>
      <w:r>
        <w:rPr>
          <w:sz w:val="24"/>
          <w:szCs w:val="24"/>
        </w:rPr>
        <w:t xml:space="preserve">Before I go to the data, let me briefly anchor the work in the theoretical literature.</w:t>
      </w:r>
    </w:p>
    <w:p>
      <w:pPr>
        <w:pBdr>
          <w:top w:val="single" w:color="0F2A4D" w:sz="12" w:space="6"/>
        </w:pBdr>
        <w:spacing w:after="80" w:before="360"/>
      </w:pPr>
      <w:r>
        <w:rPr>
          <w:b/>
          <w:bCs/>
          <w:color w:val="C9A227"/>
          <w:sz w:val="22"/>
          <w:szCs w:val="22"/>
        </w:rPr>
        <w:t xml:space="preserve">SLIDE 4 / 19    </w:t>
      </w:r>
      <w:r>
        <w:rPr>
          <w:b/>
          <w:bCs/>
          <w:color w:val="0F2A4D"/>
          <w:sz w:val="28"/>
          <w:szCs w:val="28"/>
        </w:rPr>
        <w:t xml:space="preserve">Hedonic Theory — Goods as Attribute Bundles</w:t>
      </w:r>
      <w:r>
        <w:rPr>
          <w:i/>
          <w:iCs/>
          <w:color w:val="707070"/>
          <w:sz w:val="20"/>
          <w:szCs w:val="20"/>
        </w:rPr>
        <w:t xml:space="preserve">    ·    1:10</w:t>
      </w:r>
    </w:p>
    <w:p>
      <w:pPr>
        <w:spacing w:after="100" w:before="60"/>
      </w:pPr>
      <w:r>
        <w:rPr>
          <w:i/>
          <w:iCs/>
          <w:color w:val="707070"/>
          <w:sz w:val="20"/>
          <w:szCs w:val="20"/>
        </w:rPr>
        <w:t xml:space="preserve">[Walk left-to-right across the three dated boxes. One sentence per box; do NOT read every line.]</w:t>
      </w:r>
    </w:p>
    <w:p>
      <w:pPr>
        <w:spacing w:after="120" w:before="80" w:line="320"/>
      </w:pPr>
      <w:r>
        <w:rPr>
          <w:sz w:val="24"/>
          <w:szCs w:val="24"/>
        </w:rPr>
        <w:t xml:space="preserve">The hedonic framework has a roughly fifty-year intellectual lineage that I summarize here in three steps. In 1966, Lancaster argued that consumer utility comes not from goods themselves but from the attributes those goods bundle together. A consumer buying milk is buying volume, calcium, brand reputation, and shelf-life — not "milk" as an indivisible unit.</w:t>
      </w:r>
    </w:p>
    <w:p>
      <w:pPr>
        <w:spacing w:after="120" w:before="80" w:line="320"/>
      </w:pPr>
      <w:r>
        <w:rPr>
          <w:sz w:val="24"/>
          <w:szCs w:val="24"/>
        </w:rPr>
        <w:t xml:space="preserve">In 1974, Rosen formalized this insight. He showed that in market equilibrium each attribute carries an implicit price — the partial derivative of the price function with respect to that attribute — and that this implicit price can be recovered by regressing observed prices on observed attributes.</w:t>
      </w:r>
    </w:p>
    <w:p>
      <w:pPr>
        <w:spacing w:after="120" w:before="80" w:line="320"/>
      </w:pPr>
      <w:r>
        <w:rPr>
          <w:sz w:val="24"/>
          <w:szCs w:val="24"/>
        </w:rPr>
        <w:t xml:space="preserve">In 2004, Ekeland, Heckman and Nesheim sharpened the interpretation. They showed that what a regression of price on attributes recovers is the price function itself — not the structural demand or supply parameters that lie behind it. This is the so-called "first-stage" interpretation, and it is the boundary I respect throughout the thesis. I do not claim to identify what consumers want, or what producers cost; I claim to describe the equilibrium implicit prices that the Winmart shelf reveals.</w:t>
      </w:r>
    </w:p>
    <w:p>
      <w:pPr>
        <w:spacing w:after="100" w:before="200"/>
      </w:pPr>
      <w:r>
        <w:rPr>
          <w:b/>
          <w:bCs/>
          <w:color w:val="B8860B"/>
          <w:sz w:val="22"/>
          <w:szCs w:val="22"/>
        </w:rPr>
        <w:t xml:space="preserve">Transition</w:t>
      </w:r>
    </w:p>
    <w:p>
      <w:pPr>
        <w:spacing w:after="120" w:before="80" w:line="320"/>
      </w:pPr>
      <w:r>
        <w:rPr>
          <w:sz w:val="24"/>
          <w:szCs w:val="24"/>
        </w:rPr>
        <w:t xml:space="preserve">With that theoretical scaffolding in place, let me show you the framework I use to think about brand.</w:t>
      </w:r>
    </w:p>
    <w:p>
      <w:pPr>
        <w:pBdr>
          <w:top w:val="single" w:color="0F2A4D" w:sz="12" w:space="6"/>
        </w:pBdr>
        <w:spacing w:after="80" w:before="360"/>
      </w:pPr>
      <w:r>
        <w:rPr>
          <w:b/>
          <w:bCs/>
          <w:color w:val="C9A227"/>
          <w:sz w:val="22"/>
          <w:szCs w:val="22"/>
        </w:rPr>
        <w:t xml:space="preserve">SLIDE 5 / 19    </w:t>
      </w:r>
      <w:r>
        <w:rPr>
          <w:b/>
          <w:bCs/>
          <w:color w:val="0F2A4D"/>
          <w:sz w:val="28"/>
          <w:szCs w:val="28"/>
        </w:rPr>
        <w:t xml:space="preserve">Brand Equity — The Four-Quadrant Typology</w:t>
      </w:r>
      <w:r>
        <w:rPr>
          <w:i/>
          <w:iCs/>
          <w:color w:val="707070"/>
          <w:sz w:val="20"/>
          <w:szCs w:val="20"/>
        </w:rPr>
        <w:t xml:space="preserve">    ·    1:10</w:t>
      </w:r>
    </w:p>
    <w:p>
      <w:pPr>
        <w:spacing w:after="100" w:before="60"/>
      </w:pPr>
      <w:r>
        <w:rPr>
          <w:i/>
          <w:iCs/>
          <w:color w:val="707070"/>
          <w:sz w:val="20"/>
          <w:szCs w:val="20"/>
        </w:rPr>
        <w:t xml:space="preserve">[Point at the centre of the 2x2, then at each quadrant in turn. End on the operationalization panel on the right.]</w:t>
      </w:r>
    </w:p>
    <w:p>
      <w:pPr>
        <w:spacing w:after="120" w:before="80" w:line="320"/>
      </w:pPr>
      <w:r>
        <w:rPr>
          <w:sz w:val="24"/>
          <w:szCs w:val="24"/>
        </w:rPr>
        <w:t xml:space="preserve">This is the typology I use to decompose what is conventionally lumped together as "brand" into two orthogonal dimensions. The horizontal axis is perceived quality, drawn from Aaker's 1991 framework — measured here by whether a product sits in the upper price tier of its sub-category. The vertical axis is brand recognition, drawn from Keller's 1993 customer-based brand equity — measured by whether the brand is widely distributed at national scale.</w:t>
      </w:r>
    </w:p>
    <w:p>
      <w:pPr>
        <w:spacing w:after="120" w:before="80" w:line="320"/>
      </w:pPr>
      <w:r>
        <w:rPr>
          <w:sz w:val="24"/>
          <w:szCs w:val="24"/>
        </w:rPr>
        <w:t xml:space="preserve">Crossing the two axes gives four quadrants. In the upper-left we have Household Giants — high recognition but low price, like Vinamilk fresh milk or Hảo Hảo noodles. In the upper-right, Premium Specialists — high recognition and high price, the Pasteur Street Brewing or Le Castella tier. In the lower-left, Generic Branded — low recognition, low price. And in the lower-right, Niche Premium — boutique, less-known, but priced at a premium.</w:t>
      </w:r>
    </w:p>
    <w:p>
      <w:pPr>
        <w:spacing w:after="120" w:before="80" w:line="320"/>
      </w:pPr>
      <w:r>
        <w:rPr>
          <w:sz w:val="24"/>
          <w:szCs w:val="24"/>
        </w:rPr>
        <w:t xml:space="preserve">On the right, I show how each dimension is operationalized in the data. Sixty-nine percent of products carry an identifiable brand. Twenty percent are in the premium tier of their sub-category. Thirty-one percent come from the roughly thirty highly recognized national brands. And just under one percent are WinEco or WinMart private-label products. These are the four flags that enter the regression.</w:t>
      </w:r>
    </w:p>
    <w:p>
      <w:pPr>
        <w:spacing w:after="100" w:before="200"/>
      </w:pPr>
      <w:r>
        <w:rPr>
          <w:b/>
          <w:bCs/>
          <w:color w:val="B8860B"/>
          <w:sz w:val="22"/>
          <w:szCs w:val="22"/>
        </w:rPr>
        <w:t xml:space="preserve">Transition</w:t>
      </w:r>
    </w:p>
    <w:p>
      <w:pPr>
        <w:spacing w:after="120" w:before="80" w:line="320"/>
      </w:pPr>
      <w:r>
        <w:rPr>
          <w:sz w:val="24"/>
          <w:szCs w:val="24"/>
        </w:rPr>
        <w:t xml:space="preserve">That gives me the model. Let me now describe the data.</w:t>
      </w:r>
    </w:p>
    <w:p>
      <w:pPr>
        <w:pBdr>
          <w:top w:val="single" w:color="0F2A4D" w:sz="12" w:space="6"/>
        </w:pBdr>
        <w:spacing w:after="80" w:before="360"/>
      </w:pPr>
      <w:r>
        <w:rPr>
          <w:b/>
          <w:bCs/>
          <w:color w:val="C9A227"/>
          <w:sz w:val="22"/>
          <w:szCs w:val="22"/>
        </w:rPr>
        <w:t xml:space="preserve">SLIDE 6 / 19    </w:t>
      </w:r>
      <w:r>
        <w:rPr>
          <w:b/>
          <w:bCs/>
          <w:color w:val="0F2A4D"/>
          <w:sz w:val="28"/>
          <w:szCs w:val="28"/>
        </w:rPr>
        <w:t xml:space="preserve">Data — Winmart, 88 days, 10 categories</w:t>
      </w:r>
      <w:r>
        <w:rPr>
          <w:i/>
          <w:iCs/>
          <w:color w:val="707070"/>
          <w:sz w:val="20"/>
          <w:szCs w:val="20"/>
        </w:rPr>
        <w:t xml:space="preserve">    ·    1:00</w:t>
      </w:r>
    </w:p>
    <w:p>
      <w:pPr>
        <w:spacing w:after="100" w:before="60"/>
      </w:pPr>
      <w:r>
        <w:rPr>
          <w:i/>
          <w:iCs/>
          <w:color w:val="707070"/>
          <w:sz w:val="20"/>
          <w:szCs w:val="20"/>
        </w:rPr>
        <w:t xml:space="preserve">[Sweep along the top pipeline diagram once, left to right. Then look up. Don't read the variable schema in detail — say it in summary.]</w:t>
      </w:r>
    </w:p>
    <w:p>
      <w:pPr>
        <w:spacing w:after="120" w:before="80" w:line="320"/>
      </w:pPr>
      <w:r>
        <w:rPr>
          <w:sz w:val="24"/>
          <w:szCs w:val="24"/>
        </w:rPr>
        <w:t xml:space="preserve">The data was collected by a custom-built scraping pipeline that I designed and ran myself. Fifteen scraping robots operated daily through an authenticated API, from the eighteenth of December 2025 to the fifteenth of March 2026 — eighty-eight consecutive days. Each robot covered one parent category. The raw output was JSON, which I cleaned, deduplicated, and converted to standardized CSVs — one file per day, per category.</w:t>
      </w:r>
    </w:p>
    <w:p>
      <w:pPr>
        <w:spacing w:after="120" w:before="80" w:line="320"/>
      </w:pPr>
      <w:r>
        <w:rPr>
          <w:sz w:val="24"/>
          <w:szCs w:val="24"/>
        </w:rPr>
        <w:t xml:space="preserve">The final product-level dataset has two thousand two hundred and seventy-four unique products, time-averaged across the panel. Each observation includes the Vietnamese product name — which is the source for the NLP-extracted attributes — the declared selling unit, the marked sticker price and the final checkout price both in Vietnamese đồng, the product URL, and the scraping timestamp.</w:t>
      </w:r>
    </w:p>
    <w:p>
      <w:pPr>
        <w:spacing w:after="120" w:before="80" w:line="320"/>
      </w:pPr>
      <w:r>
        <w:rPr>
          <w:sz w:val="24"/>
          <w:szCs w:val="24"/>
        </w:rPr>
        <w:t xml:space="preserve">On the right I list the ten parent categories. They span dairy, fresh produce, dry food, instant food, processed food, frozen, eggs and tofu, confectionary, spices, and baby products. Together they cover the bulk of the food and household categories that an average Hanoi household actually buys.</w:t>
      </w:r>
    </w:p>
    <w:p>
      <w:pPr>
        <w:spacing w:after="100" w:before="200"/>
      </w:pPr>
      <w:r>
        <w:rPr>
          <w:b/>
          <w:bCs/>
          <w:color w:val="B8860B"/>
          <w:sz w:val="22"/>
          <w:szCs w:val="22"/>
        </w:rPr>
        <w:t xml:space="preserve">Transition</w:t>
      </w:r>
    </w:p>
    <w:p>
      <w:pPr>
        <w:spacing w:after="120" w:before="80" w:line="320"/>
      </w:pPr>
      <w:r>
        <w:rPr>
          <w:sz w:val="24"/>
          <w:szCs w:val="24"/>
        </w:rPr>
        <w:t xml:space="preserve">Now the model itself.</w:t>
      </w:r>
    </w:p>
    <w:p>
      <w:pPr>
        <w:pBdr>
          <w:top w:val="single" w:color="0F2A4D" w:sz="12" w:space="6"/>
        </w:pBdr>
        <w:spacing w:after="80" w:before="360"/>
      </w:pPr>
      <w:r>
        <w:rPr>
          <w:b/>
          <w:bCs/>
          <w:color w:val="C9A227"/>
          <w:sz w:val="22"/>
          <w:szCs w:val="22"/>
        </w:rPr>
        <w:t xml:space="preserve">SLIDE 7 / 19    </w:t>
      </w:r>
      <w:r>
        <w:rPr>
          <w:b/>
          <w:bCs/>
          <w:color w:val="0F2A4D"/>
          <w:sz w:val="28"/>
          <w:szCs w:val="28"/>
        </w:rPr>
        <w:t xml:space="preserve">Hedonic Specification</w:t>
      </w:r>
      <w:r>
        <w:rPr>
          <w:i/>
          <w:iCs/>
          <w:color w:val="707070"/>
          <w:sz w:val="20"/>
          <w:szCs w:val="20"/>
        </w:rPr>
        <w:t xml:space="preserve">    ·    1:10</w:t>
      </w:r>
    </w:p>
    <w:p>
      <w:pPr>
        <w:spacing w:after="100" w:before="60"/>
      </w:pPr>
      <w:r>
        <w:rPr>
          <w:i/>
          <w:iCs/>
          <w:color w:val="707070"/>
          <w:sz w:val="20"/>
          <w:szCs w:val="20"/>
        </w:rPr>
        <w:t xml:space="preserve">[Point at the equation. Don't read every term — group them. Then point at each KPI box.]</w:t>
      </w:r>
    </w:p>
    <w:p>
      <w:pPr>
        <w:spacing w:after="120" w:before="80" w:line="320"/>
      </w:pPr>
      <w:r>
        <w:rPr>
          <w:sz w:val="24"/>
          <w:szCs w:val="24"/>
        </w:rPr>
        <w:t xml:space="preserve">The estimating equation is here. The dependent variable is the natural log of unit price. The right-hand side has ten product-level regressors organized in three groups. The first group is the brand bundle: branded, premium, high-recognition, and house-brand. The second group is origin and health claims: imported, health claim, freshness claim. The third group is physical attributes: log pack size, pack count, and name length. To absorb level differences across product types, I include sub-category fixed effects — forty of them. And because errors will plausibly be correlated within sub-category, all standard errors are cluster-robust at the sub-category level.</w:t>
      </w:r>
    </w:p>
    <w:p>
      <w:pPr>
        <w:spacing w:after="120" w:before="80" w:line="320"/>
      </w:pPr>
      <w:r>
        <w:rPr>
          <w:sz w:val="24"/>
          <w:szCs w:val="24"/>
        </w:rPr>
        <w:t xml:space="preserve">The numbers below summarize the regression. The sample is two thousand two hundred and three products after a sparseness filter. Forty fixed effects. Ten product-level regressors. And an adjusted R-squared of roughly zero point six four — comparable to the food hedonic literature.</w:t>
      </w:r>
    </w:p>
    <w:p>
      <w:pPr>
        <w:spacing w:after="120" w:before="80" w:line="320"/>
      </w:pPr>
      <w:r>
        <w:rPr>
          <w:sz w:val="24"/>
          <w:szCs w:val="24"/>
        </w:rPr>
        <w:t xml:space="preserve">On choice of functional form: I use a log-linear specification, not Box-Cox. This is the standard in food hedonic analysis — Malpezzi 2002, Costanigro and McCluskey 2011 — and it preserves the percentage-premium interpretation that is the entire point of this exercise.</w:t>
      </w:r>
    </w:p>
    <w:p>
      <w:pPr>
        <w:spacing w:after="120" w:before="80" w:line="320"/>
      </w:pPr>
      <w:r>
        <w:rPr>
          <w:sz w:val="24"/>
          <w:szCs w:val="24"/>
        </w:rPr>
        <w:t xml:space="preserve">And the highlighted box at the bottom of the slide states the key methodological point: the model is estimated twice. Same regressors, same fixed effects, same clustering — but on two different dependent variables. Once on the log of marked price per unit, and once on the log of final price per unit. Why I do that is the next slide.</w:t>
      </w:r>
    </w:p>
    <w:p>
      <w:pPr>
        <w:spacing w:after="100" w:before="200"/>
      </w:pPr>
      <w:r>
        <w:rPr>
          <w:b/>
          <w:bCs/>
          <w:color w:val="B8860B"/>
          <w:sz w:val="22"/>
          <w:szCs w:val="22"/>
        </w:rPr>
        <w:t xml:space="preserve">Transition</w:t>
      </w:r>
    </w:p>
    <w:p>
      <w:pPr>
        <w:spacing w:after="120" w:before="80" w:line="320"/>
      </w:pPr>
      <w:r>
        <w:rPr>
          <w:sz w:val="24"/>
          <w:szCs w:val="24"/>
        </w:rPr>
        <w:t xml:space="preserve">This is the methodological contribution of the thesis.</w:t>
      </w:r>
    </w:p>
    <w:p>
      <w:pPr>
        <w:pBdr>
          <w:top w:val="single" w:color="0F2A4D" w:sz="12" w:space="6"/>
        </w:pBdr>
        <w:spacing w:after="80" w:before="360"/>
      </w:pPr>
      <w:r>
        <w:rPr>
          <w:b/>
          <w:bCs/>
          <w:color w:val="C9A227"/>
          <w:sz w:val="22"/>
          <w:szCs w:val="22"/>
        </w:rPr>
        <w:t xml:space="preserve">SLIDE 8 / 19    </w:t>
      </w:r>
      <w:r>
        <w:rPr>
          <w:b/>
          <w:bCs/>
          <w:color w:val="0F2A4D"/>
          <w:sz w:val="28"/>
          <w:szCs w:val="28"/>
        </w:rPr>
        <w:t xml:space="preserve">Dual-Price Design</w:t>
      </w:r>
      <w:r>
        <w:rPr>
          <w:i/>
          <w:iCs/>
          <w:color w:val="707070"/>
          <w:sz w:val="20"/>
          <w:szCs w:val="20"/>
        </w:rPr>
        <w:t xml:space="preserve">    ·    1:00</w:t>
      </w:r>
    </w:p>
    <w:p>
      <w:pPr>
        <w:spacing w:after="100" w:before="60"/>
      </w:pPr>
      <w:r>
        <w:rPr>
          <w:i/>
          <w:iCs/>
          <w:color w:val="707070"/>
          <w:sz w:val="20"/>
          <w:szCs w:val="20"/>
        </w:rPr>
        <w:t xml:space="preserve">[Slow down here. This slide is the conceptual hinge of the entire thesis. Pause after the erosion equation.]</w:t>
      </w:r>
    </w:p>
    <w:p>
      <w:pPr>
        <w:spacing w:after="120" w:before="80" w:line="320"/>
      </w:pPr>
      <w:r>
        <w:rPr>
          <w:sz w:val="24"/>
          <w:szCs w:val="24"/>
        </w:rPr>
        <w:t xml:space="preserve">The dual-price design works as follows. Specification A regresses the log of the marked price on the attribute bundle. Its coefficients recover the implicit attribute prices that the retailer signals on the virtual shelf — the sticker view of the world. Specification B uses identical regressors and identical fixed effects, but now the dependent variable is the log of the final, checkout price. Its coefficients recover the implicit attribute prices that the consumer actually pays.</w:t>
      </w:r>
    </w:p>
    <w:p>
      <w:pPr>
        <w:spacing w:after="120" w:before="80" w:line="320"/>
      </w:pPr>
      <w:r>
        <w:rPr>
          <w:sz w:val="24"/>
          <w:szCs w:val="24"/>
        </w:rPr>
        <w:t xml:space="preserve">The erosion metric is then simply the percentage difference between the marked-price coefficient and the final-price coefficient, scaled by the marked-price coefficient. A positive number means the premium shrinks at checkout — that the retailer is discounting that attribute. A negative number means the premium grows at checkout — discounting is concentrated elsewhere.</w:t>
      </w:r>
    </w:p>
    <w:p>
      <w:pPr>
        <w:spacing w:after="120" w:before="80" w:line="320"/>
      </w:pPr>
      <w:r>
        <w:rPr>
          <w:sz w:val="24"/>
          <w:szCs w:val="24"/>
        </w:rPr>
        <w:t xml:space="preserve">One important caveat that I want to be explicit about: this design is descriptive, not causal. I am not identifying the retailer's pricing decision as a function of marginal cost or competitive pressure. I am documenting, in the data, an asymmetry between sticker prices and checkout prices that varies systematically with attribute. Identifying the causal mechanism would require either internal Winmart pricing data or an exogenous instrument — both beyond scope here.</w:t>
      </w:r>
    </w:p>
    <w:p>
      <w:pPr>
        <w:spacing w:after="100" w:before="200"/>
      </w:pPr>
      <w:r>
        <w:rPr>
          <w:b/>
          <w:bCs/>
          <w:color w:val="B8860B"/>
          <w:sz w:val="22"/>
          <w:szCs w:val="22"/>
        </w:rPr>
        <w:t xml:space="preserve">Transition</w:t>
      </w:r>
    </w:p>
    <w:p>
      <w:pPr>
        <w:spacing w:after="120" w:before="80" w:line="320"/>
      </w:pPr>
      <w:r>
        <w:rPr>
          <w:sz w:val="24"/>
          <w:szCs w:val="24"/>
        </w:rPr>
        <w:t xml:space="preserve">With that, let me turn to results.</w:t>
      </w:r>
    </w:p>
    <w:p>
      <w:pPr>
        <w:pBdr>
          <w:top w:val="single" w:color="0F2A4D" w:sz="12" w:space="6"/>
        </w:pBdr>
        <w:spacing w:after="80" w:before="360"/>
      </w:pPr>
      <w:r>
        <w:rPr>
          <w:b/>
          <w:bCs/>
          <w:color w:val="C9A227"/>
          <w:sz w:val="22"/>
          <w:szCs w:val="22"/>
        </w:rPr>
        <w:t xml:space="preserve">SLIDE 9 / 19    </w:t>
      </w:r>
      <w:r>
        <w:rPr>
          <w:b/>
          <w:bCs/>
          <w:color w:val="0F2A4D"/>
          <w:sz w:val="28"/>
          <w:szCs w:val="28"/>
        </w:rPr>
        <w:t xml:space="preserve">Pooled Hedonic Results</w:t>
      </w:r>
      <w:r>
        <w:rPr>
          <w:i/>
          <w:iCs/>
          <w:color w:val="707070"/>
          <w:sz w:val="20"/>
          <w:szCs w:val="20"/>
        </w:rPr>
        <w:t xml:space="preserve">    ·    1:15</w:t>
      </w:r>
    </w:p>
    <w:p>
      <w:pPr>
        <w:spacing w:after="100" w:before="60"/>
      </w:pPr>
      <w:r>
        <w:rPr>
          <w:i/>
          <w:iCs/>
          <w:color w:val="707070"/>
          <w:sz w:val="20"/>
          <w:szCs w:val="20"/>
        </w:rPr>
        <w:t xml:space="preserve">[Walk to the slide and physically point at the three highlighted attributes on the forest plot — premium, high recognition, log pack size. Then point at the right-hand callout boxes.]</w:t>
      </w:r>
    </w:p>
    <w:p>
      <w:pPr>
        <w:spacing w:after="120" w:before="80" w:line="320"/>
      </w:pPr>
      <w:r>
        <w:rPr>
          <w:sz w:val="24"/>
          <w:szCs w:val="24"/>
        </w:rPr>
        <w:t xml:space="preserve">This is the headline forest plot. Each row is one regressor; the dot is the point estimate; the horizontal whiskers are the ninety-five percent cluster-robust confidence intervals. The blue dots are the marked-price coefficients; the orange dots are the final-price coefficients. Where the two are similar, the attribute is largely unaffected by promotion. Where they diverge, promotion is doing something.</w:t>
      </w:r>
    </w:p>
    <w:p>
      <w:pPr>
        <w:spacing w:after="120" w:before="80" w:line="320"/>
      </w:pPr>
      <w:r>
        <w:rPr>
          <w:sz w:val="24"/>
          <w:szCs w:val="24"/>
        </w:rPr>
        <w:t xml:space="preserve">Three coefficients are clearly significant and worth your attention. First, premium tier — the top dot in the plot — is plus zero point four three on marked, plus zero point four four on final. That is roughly a forty-three to forty-four percent unit-price markup over the non-premium reference, holding everything else constant. Second, high recognition — what I called the Household Giants quadrant — carries a negative coefficient, minus zero point two five to minus zero point two seven. Highly recognized brands are actually cheaper, on a unit-price basis, than other branded products. Third, log pack size is minus zero point three nine — every ten percent increase in pack size lowers unit price by about three point eight percent. Bulk pricing economies, exactly as economic theory would predict.</w:t>
      </w:r>
    </w:p>
    <w:p>
      <w:pPr>
        <w:spacing w:after="120" w:before="80" w:line="320"/>
      </w:pPr>
      <w:r>
        <w:rPr>
          <w:sz w:val="24"/>
          <w:szCs w:val="24"/>
        </w:rPr>
        <w:t xml:space="preserve">The adjusted R-squared is zero point six four in both specifications — high for cross-sectional food data. So the model fits well, and the three results I highlighted are robust.</w:t>
      </w:r>
    </w:p>
    <w:p>
      <w:pPr>
        <w:spacing w:after="100" w:before="200"/>
      </w:pPr>
      <w:r>
        <w:rPr>
          <w:b/>
          <w:bCs/>
          <w:color w:val="B8860B"/>
          <w:sz w:val="22"/>
          <w:szCs w:val="22"/>
        </w:rPr>
        <w:t xml:space="preserve">Transition</w:t>
      </w:r>
    </w:p>
    <w:p>
      <w:pPr>
        <w:spacing w:after="120" w:before="80" w:line="320"/>
      </w:pPr>
      <w:r>
        <w:rPr>
          <w:sz w:val="24"/>
          <w:szCs w:val="24"/>
        </w:rPr>
        <w:t xml:space="preserve">But the pooled coefficient is an average over very different markets, and that is what I show next.</w:t>
      </w:r>
    </w:p>
    <w:p>
      <w:pPr>
        <w:pBdr>
          <w:top w:val="single" w:color="0F2A4D" w:sz="12" w:space="6"/>
        </w:pBdr>
        <w:spacing w:after="80" w:before="360"/>
      </w:pPr>
      <w:r>
        <w:rPr>
          <w:b/>
          <w:bCs/>
          <w:color w:val="C9A227"/>
          <w:sz w:val="22"/>
          <w:szCs w:val="22"/>
        </w:rPr>
        <w:t xml:space="preserve">SLIDE 10 / 19    </w:t>
      </w:r>
      <w:r>
        <w:rPr>
          <w:b/>
          <w:bCs/>
          <w:color w:val="0F2A4D"/>
          <w:sz w:val="28"/>
          <w:szCs w:val="28"/>
        </w:rPr>
        <w:t xml:space="preserve">Per-Category Heterogeneity</w:t>
      </w:r>
      <w:r>
        <w:rPr>
          <w:i/>
          <w:iCs/>
          <w:color w:val="707070"/>
          <w:sz w:val="20"/>
          <w:szCs w:val="20"/>
        </w:rPr>
        <w:t xml:space="preserve">    ·    1:10</w:t>
      </w:r>
    </w:p>
    <w:p>
      <w:pPr>
        <w:spacing w:after="100" w:before="60"/>
      </w:pPr>
      <w:r>
        <w:rPr>
          <w:i/>
          <w:iCs/>
          <w:color w:val="707070"/>
          <w:sz w:val="20"/>
          <w:szCs w:val="20"/>
        </w:rPr>
        <w:t xml:space="preserve">[Don't try to read the heatmap cell by cell. Tell the story: which category, which attribute, which direction.]</w:t>
      </w:r>
    </w:p>
    <w:p>
      <w:pPr>
        <w:spacing w:after="120" w:before="80" w:line="320"/>
      </w:pPr>
      <w:r>
        <w:rPr>
          <w:sz w:val="24"/>
          <w:szCs w:val="24"/>
        </w:rPr>
        <w:t xml:space="preserve">This heatmap shows attribute premia estimated separately within each parent category. The brightest cells are where attribute premia are largest. Two patterns are worth pointing out.</w:t>
      </w:r>
    </w:p>
    <w:p>
      <w:pPr>
        <w:spacing w:after="120" w:before="80" w:line="320"/>
      </w:pPr>
      <w:r>
        <w:rPr>
          <w:sz w:val="24"/>
          <w:szCs w:val="24"/>
        </w:rPr>
        <w:t xml:space="preserve">First, look across the import-premium column — Rau, Củ, Trái Cây, that is fresh produce, has an import coefficient of one point zero zero, statistically significant at the one-tenth-of-one-percent level. Imported fresh produce trades at almost double the unit price of domestic. But move down to processed food — Thực Phẩm Chế Biến — and the same attribute carries a coefficient of negative zero point six one, significant at the five percent level. The same attribute, opposite signs, in two different categories. That is not noise — that is the substantive finding. Imported fresh produce signals food safety, which Vietnamese consumers value strongly. Imported processed food signals unfamiliarity, which they don't.</w:t>
      </w:r>
    </w:p>
    <w:p>
      <w:pPr>
        <w:spacing w:after="120" w:before="80" w:line="320"/>
      </w:pPr>
      <w:r>
        <w:rPr>
          <w:sz w:val="24"/>
          <w:szCs w:val="24"/>
        </w:rPr>
        <w:t xml:space="preserve">Second, on the right, I show that health claims pay off only selectively. They are statistically significant only in spices, plus thirty-eight percent, and in fresh produce, plus thirty-eight percent — exactly the two categories where Vietnamese consumers feel the strongest food-safety concerns. In snacks, in frozen food, in processed food, the health-claim coefficient is indistinguishable from zero. So credence attributes are valued only where they answer a real consumer concern.</w:t>
      </w:r>
    </w:p>
    <w:p>
      <w:pPr>
        <w:spacing w:after="120" w:before="80" w:line="320"/>
      </w:pPr>
      <w:r>
        <w:rPr>
          <w:sz w:val="24"/>
          <w:szCs w:val="24"/>
        </w:rPr>
        <w:t xml:space="preserve">At the bottom of the slide, the R-squared bands tell you where my model fits well and where it doesn't. Dry Food, Baby Products, and Dairy fit very well — above zero point six. Confectionary, Processed Food, and Instant Food fit less well — below zero point five — because pricing in those categories depends on attributes my product-name NLP cannot capture.</w:t>
      </w:r>
    </w:p>
    <w:p>
      <w:pPr>
        <w:spacing w:after="100" w:before="200"/>
      </w:pPr>
      <w:r>
        <w:rPr>
          <w:b/>
          <w:bCs/>
          <w:color w:val="B8860B"/>
          <w:sz w:val="22"/>
          <w:szCs w:val="22"/>
        </w:rPr>
        <w:t xml:space="preserve">Transition</w:t>
      </w:r>
    </w:p>
    <w:p>
      <w:pPr>
        <w:spacing w:after="120" w:before="80" w:line="320"/>
      </w:pPr>
      <w:r>
        <w:rPr>
          <w:sz w:val="24"/>
          <w:szCs w:val="24"/>
        </w:rPr>
        <w:t xml:space="preserve">Now we get to the centerpiece result of the thesis.</w:t>
      </w:r>
    </w:p>
    <w:p>
      <w:pPr>
        <w:pBdr>
          <w:top w:val="single" w:color="0F2A4D" w:sz="12" w:space="6"/>
        </w:pBdr>
        <w:spacing w:after="80" w:before="360"/>
      </w:pPr>
      <w:r>
        <w:rPr>
          <w:b/>
          <w:bCs/>
          <w:color w:val="C9A227"/>
          <w:sz w:val="22"/>
          <w:szCs w:val="22"/>
        </w:rPr>
        <w:t xml:space="preserve">SLIDE 11 / 19    </w:t>
      </w:r>
      <w:r>
        <w:rPr>
          <w:b/>
          <w:bCs/>
          <w:color w:val="0F2A4D"/>
          <w:sz w:val="28"/>
          <w:szCs w:val="28"/>
        </w:rPr>
        <w:t xml:space="preserve">Promotional Erosion of Attribute Premiums — KEY FINDING</w:t>
      </w:r>
      <w:r>
        <w:rPr>
          <w:i/>
          <w:iCs/>
          <w:color w:val="707070"/>
          <w:sz w:val="20"/>
          <w:szCs w:val="20"/>
        </w:rPr>
        <w:t xml:space="preserve">    ·    1:30</w:t>
      </w:r>
    </w:p>
    <w:p>
      <w:pPr>
        <w:spacing w:after="100" w:before="60"/>
      </w:pPr>
      <w:r>
        <w:rPr>
          <w:i/>
          <w:iCs/>
          <w:color w:val="707070"/>
          <w:sz w:val="20"/>
          <w:szCs w:val="20"/>
        </w:rPr>
        <w:t xml:space="preserve">[This is your money slide. SLOW DOWN. Pause before the headline sentence on the right. Let it land.]</w:t>
      </w:r>
    </w:p>
    <w:p>
      <w:pPr>
        <w:spacing w:after="120" w:before="80" w:line="320"/>
      </w:pPr>
      <w:r>
        <w:rPr>
          <w:sz w:val="24"/>
          <w:szCs w:val="24"/>
        </w:rPr>
        <w:t xml:space="preserve">This table reports the dual-price comparison for the four key attributes. Each row shows the marked-price coefficient, the final-price coefficient, the percentage erosion between them, and a verdict on whether the premium is stable, eroded, or amplified.</w:t>
      </w:r>
    </w:p>
    <w:p>
      <w:pPr>
        <w:spacing w:after="120" w:before="80" w:line="320"/>
      </w:pPr>
      <w:r>
        <w:rPr>
          <w:sz w:val="24"/>
          <w:szCs w:val="24"/>
        </w:rPr>
        <w:t xml:space="preserve">Look at the first row — premium tier. Marked price coefficient is plus zero point four two nine. Final price coefficient is plus zero point four three six. Erosion is negative one point seven percent — essentially zero. The premium-tier markup is fully transmitted from sticker to checkout.</w:t>
      </w:r>
    </w:p>
    <w:p>
      <w:pPr>
        <w:spacing w:after="120" w:before="80" w:line="320"/>
      </w:pPr>
      <w:r>
        <w:rPr>
          <w:sz w:val="24"/>
          <w:szCs w:val="24"/>
        </w:rPr>
        <w:t xml:space="preserve">Now look at the second row — branded. Marked price coefficient is plus zero point zero two two. Final price coefficient is plus zero point zero one one. Erosion is plus fifty point six percent. Half of the brand-name premium evaporates between sticker and checkout.</w:t>
      </w:r>
    </w:p>
    <w:p>
      <w:pPr>
        <w:spacing w:after="120" w:before="80" w:line="320"/>
      </w:pPr>
      <w:r>
        <w:rPr>
          <w:sz w:val="24"/>
          <w:szCs w:val="24"/>
        </w:rPr>
        <w:t xml:space="preserve">The third row — high recognition — is essentially stable, plus four percent erosion. The fourth row — house brand, that is WinEco — is the most striking. Sticker coefficient is minus zero point zero four six, statistically insignificant. Final coefficient is minus zero point two six six, highly significant. The erosion ratio is plus four hundred and seventy-six percent — meaning WinEco runs near-parity sticker prices and applies its discount only at checkout.</w:t>
      </w:r>
    </w:p>
    <w:p>
      <w:pPr>
        <w:spacing w:after="100" w:before="60"/>
      </w:pPr>
      <w:r>
        <w:rPr>
          <w:i/>
          <w:iCs/>
          <w:color w:val="707070"/>
          <w:sz w:val="20"/>
          <w:szCs w:val="20"/>
        </w:rPr>
        <w:t xml:space="preserve">[Pause. Look up at the council. Speak the next sentence slowly and clearly.]</w:t>
      </w:r>
    </w:p>
    <w:p>
      <w:pPr>
        <w:spacing w:after="120" w:before="80" w:line="320"/>
      </w:pPr>
      <w:r>
        <w:rPr>
          <w:sz w:val="24"/>
          <w:szCs w:val="24"/>
        </w:rPr>
        <w:t xml:space="preserve">The headline of the entire thesis is the red box on the right: promotion erodes brand-name premiums by half — but leaves price-tier premiums fully intact.</w:t>
      </w:r>
    </w:p>
    <w:p>
      <w:pPr>
        <w:spacing w:after="120" w:before="80" w:line="320"/>
      </w:pPr>
      <w:r>
        <w:rPr>
          <w:sz w:val="24"/>
          <w:szCs w:val="24"/>
        </w:rPr>
        <w:t xml:space="preserve">And one honest qualification: the WinEco evidence is suggestive, not conclusive. It is twenty-one products at one retailer. The pattern is real in this dataset, but I would not generalize it to all private-label strategies in Vietnamese retail without more data.</w:t>
      </w:r>
    </w:p>
    <w:p>
      <w:pPr>
        <w:spacing w:after="100" w:before="200"/>
      </w:pPr>
      <w:r>
        <w:rPr>
          <w:b/>
          <w:bCs/>
          <w:color w:val="B8860B"/>
          <w:sz w:val="22"/>
          <w:szCs w:val="22"/>
        </w:rPr>
        <w:t xml:space="preserve">Transition</w:t>
      </w:r>
    </w:p>
    <w:p>
      <w:pPr>
        <w:spacing w:after="120" w:before="80" w:line="320"/>
      </w:pPr>
      <w:r>
        <w:rPr>
          <w:sz w:val="24"/>
          <w:szCs w:val="24"/>
        </w:rPr>
        <w:t xml:space="preserve">Before discussing what those numbers mean, I want to show that they survive every standard robustness check.</w:t>
      </w:r>
    </w:p>
    <w:p>
      <w:pPr>
        <w:pBdr>
          <w:top w:val="single" w:color="0F2A4D" w:sz="12" w:space="6"/>
        </w:pBdr>
        <w:spacing w:after="80" w:before="360"/>
      </w:pPr>
      <w:r>
        <w:rPr>
          <w:b/>
          <w:bCs/>
          <w:color w:val="C9A227"/>
          <w:sz w:val="22"/>
          <w:szCs w:val="22"/>
        </w:rPr>
        <w:t xml:space="preserve">SLIDE 12 / 19    </w:t>
      </w:r>
      <w:r>
        <w:rPr>
          <w:b/>
          <w:bCs/>
          <w:color w:val="0F2A4D"/>
          <w:sz w:val="28"/>
          <w:szCs w:val="28"/>
        </w:rPr>
        <w:t xml:space="preserve">Diagnostics &amp; Robustness</w:t>
      </w:r>
      <w:r>
        <w:rPr>
          <w:i/>
          <w:iCs/>
          <w:color w:val="707070"/>
          <w:sz w:val="20"/>
          <w:szCs w:val="20"/>
        </w:rPr>
        <w:t xml:space="preserve">    ·    0:50</w:t>
      </w:r>
    </w:p>
    <w:p>
      <w:pPr>
        <w:spacing w:after="100" w:before="60"/>
      </w:pPr>
      <w:r>
        <w:rPr>
          <w:i/>
          <w:iCs/>
          <w:color w:val="707070"/>
          <w:sz w:val="20"/>
          <w:szCs w:val="20"/>
        </w:rPr>
        <w:t xml:space="preserve">[Walk through all four boxes briskly. Don't dwell — the council can read.]</w:t>
      </w:r>
    </w:p>
    <w:p>
      <w:pPr>
        <w:spacing w:after="120" w:before="80" w:line="320"/>
      </w:pPr>
      <w:r>
        <w:rPr>
          <w:sz w:val="24"/>
          <w:szCs w:val="24"/>
        </w:rPr>
        <w:t xml:space="preserve">Four standard checks. First, multicollinearity: every variance inflation factor is below two, with the maximum at one point five four on is_branded — well below the conventional threshold of five. The hierarchical brand encoding is cleanly identified. Second, heteroskedasticity: the Breusch-Pagan test rejects, which is why I cluster standard errors at the sub-category level — that is the appropriate inference choice. Third, influential observations: four percent of products exceed Cook's standard threshold; when I re-estimate without them, every coefficient matches within one one-hundredth of a log point. Fourth, temporal stability: when I split the sample into December, January, and February monthly snapshots, the adjusted R-squared barely moves — zero point six six nine, zero point six six nine, zero point six five eight — and coefficient signs and magnitudes are unchanged. The estimates are stable.</w:t>
      </w:r>
    </w:p>
    <w:p>
      <w:pPr>
        <w:spacing w:after="100" w:before="200"/>
      </w:pPr>
      <w:r>
        <w:rPr>
          <w:b/>
          <w:bCs/>
          <w:color w:val="B8860B"/>
          <w:sz w:val="22"/>
          <w:szCs w:val="22"/>
        </w:rPr>
        <w:t xml:space="preserve">Transition</w:t>
      </w:r>
    </w:p>
    <w:p>
      <w:pPr>
        <w:spacing w:after="120" w:before="80" w:line="320"/>
      </w:pPr>
      <w:r>
        <w:rPr>
          <w:sz w:val="24"/>
          <w:szCs w:val="24"/>
        </w:rPr>
        <w:t xml:space="preserve">Let me now turn to interpretation. The thesis has three principal findings, and I will discuss them one by one.</w:t>
      </w:r>
    </w:p>
    <w:p>
      <w:pPr>
        <w:pBdr>
          <w:top w:val="single" w:color="0F2A4D" w:sz="12" w:space="6"/>
        </w:pBdr>
        <w:spacing w:after="80" w:before="360"/>
      </w:pPr>
      <w:r>
        <w:rPr>
          <w:b/>
          <w:bCs/>
          <w:color w:val="C9A227"/>
          <w:sz w:val="22"/>
          <w:szCs w:val="22"/>
        </w:rPr>
        <w:t xml:space="preserve">SLIDE 13 / 19    </w:t>
      </w:r>
      <w:r>
        <w:rPr>
          <w:b/>
          <w:bCs/>
          <w:color w:val="0F2A4D"/>
          <w:sz w:val="28"/>
          <w:szCs w:val="28"/>
        </w:rPr>
        <w:t xml:space="preserve">Finding 1 — Price-tier dominates</w:t>
      </w:r>
      <w:r>
        <w:rPr>
          <w:i/>
          <w:iCs/>
          <w:color w:val="707070"/>
          <w:sz w:val="20"/>
          <w:szCs w:val="20"/>
        </w:rPr>
        <w:t xml:space="preserve">    ·    1:00</w:t>
      </w:r>
    </w:p>
    <w:p>
      <w:pPr>
        <w:spacing w:after="100" w:before="60"/>
      </w:pPr>
      <w:r>
        <w:rPr>
          <w:i/>
          <w:iCs/>
          <w:color w:val="707070"/>
          <w:sz w:val="20"/>
          <w:szCs w:val="20"/>
        </w:rPr>
        <w:t xml:space="preserve">[Open with the headline number. Then walk through the bar chart on the left.]</w:t>
      </w:r>
    </w:p>
    <w:p>
      <w:pPr>
        <w:spacing w:after="120" w:before="80" w:line="320"/>
      </w:pPr>
      <w:r>
        <w:rPr>
          <w:sz w:val="24"/>
          <w:szCs w:val="24"/>
        </w:rPr>
        <w:t xml:space="preserve">Finding one. The single largest and most resilient attribute premium in the data is price-tier — the is_premium dummy. Forty-three to forty-four percent markup over non-premium branded, with erosion of just minus one point seven percent. It is fully transmitted from sticker to checkout.</w:t>
      </w:r>
    </w:p>
    <w:p>
      <w:pPr>
        <w:spacing w:after="120" w:before="80" w:line="320"/>
      </w:pPr>
      <w:r>
        <w:rPr>
          <w:sz w:val="24"/>
          <w:szCs w:val="24"/>
        </w:rPr>
        <w:t xml:space="preserve">The bar chart on the left ranks all the attributes by absolute coefficient on final price. Premium is far ahead. Pack size is second. Brand recognition is third. Brand-name itself, the bottom row, is essentially zero at checkout.</w:t>
      </w:r>
    </w:p>
    <w:p>
      <w:pPr>
        <w:spacing w:after="120" w:before="80" w:line="320"/>
      </w:pPr>
      <w:r>
        <w:rPr>
          <w:sz w:val="24"/>
          <w:szCs w:val="24"/>
        </w:rPr>
        <w:t xml:space="preserve">Why does the premium-tier coefficient survive promotion? My interpretation, drawing on Varian's 1997 versioning model, is that a retailer serving consumers with heterogeneous willingness-to-pay maintains distinct price tiers as a deliberate segmentation tool. The premium tier's value to the retailer depends on its contrast with the discounted alternatives below it. Discounting the premium tier would collapse the very signal that justifies its margin. The minus-one-point-seven-percent erosion is therefore a deliberate pricing discipline, not an accident.</w:t>
      </w:r>
    </w:p>
    <w:p>
      <w:pPr>
        <w:spacing w:after="100" w:before="200"/>
      </w:pPr>
      <w:r>
        <w:rPr>
          <w:b/>
          <w:bCs/>
          <w:color w:val="B8860B"/>
          <w:sz w:val="22"/>
          <w:szCs w:val="22"/>
        </w:rPr>
        <w:t xml:space="preserve">Transition</w:t>
      </w:r>
    </w:p>
    <w:p>
      <w:pPr>
        <w:spacing w:after="120" w:before="80" w:line="320"/>
      </w:pPr>
      <w:r>
        <w:rPr>
          <w:sz w:val="24"/>
          <w:szCs w:val="24"/>
        </w:rPr>
        <w:t xml:space="preserve">Now to the second finding — and the one that motivated the dual-price design in the first place.</w:t>
      </w:r>
    </w:p>
    <w:p>
      <w:pPr>
        <w:pBdr>
          <w:top w:val="single" w:color="0F2A4D" w:sz="12" w:space="6"/>
        </w:pBdr>
        <w:spacing w:after="80" w:before="360"/>
      </w:pPr>
      <w:r>
        <w:rPr>
          <w:b/>
          <w:bCs/>
          <w:color w:val="C9A227"/>
          <w:sz w:val="22"/>
          <w:szCs w:val="22"/>
        </w:rPr>
        <w:t xml:space="preserve">SLIDE 14 / 19    </w:t>
      </w:r>
      <w:r>
        <w:rPr>
          <w:b/>
          <w:bCs/>
          <w:color w:val="0F2A4D"/>
          <w:sz w:val="28"/>
          <w:szCs w:val="28"/>
        </w:rPr>
        <w:t xml:space="preserve">Finding 2 — Brand-name premiums erode</w:t>
      </w:r>
      <w:r>
        <w:rPr>
          <w:i/>
          <w:iCs/>
          <w:color w:val="707070"/>
          <w:sz w:val="20"/>
          <w:szCs w:val="20"/>
        </w:rPr>
        <w:t xml:space="preserve">    ·    1:10</w:t>
      </w:r>
    </w:p>
    <w:p>
      <w:pPr>
        <w:spacing w:after="100" w:before="60"/>
      </w:pPr>
      <w:r>
        <w:rPr>
          <w:i/>
          <w:iCs/>
          <w:color w:val="707070"/>
          <w:sz w:val="20"/>
          <w:szCs w:val="20"/>
        </w:rPr>
        <w:t xml:space="preserve">[Repeat the +50.6% headline. Then the WinEco contrast. End on the methodological-contribution sentence.]</w:t>
      </w:r>
    </w:p>
    <w:p>
      <w:pPr>
        <w:spacing w:after="120" w:before="80" w:line="320"/>
      </w:pPr>
      <w:r>
        <w:rPr>
          <w:sz w:val="24"/>
          <w:szCs w:val="24"/>
        </w:rPr>
        <w:t xml:space="preserve">Finding two. The brand-name dummy itself is the attribute most aggressively eroded by promotion — fifty point six percent of its premium evaporates between sticker and checkout. And the most extreme version of this pattern is WinEco, the private-label brand: erosion of plus four hundred and seventy-six percent, meaning the entire effective discount lives at the checkout, not on the shelf.</w:t>
      </w:r>
    </w:p>
    <w:p>
      <w:pPr>
        <w:spacing w:after="120" w:before="80" w:line="320"/>
      </w:pPr>
      <w:r>
        <w:rPr>
          <w:sz w:val="24"/>
          <w:szCs w:val="24"/>
        </w:rPr>
        <w:t xml:space="preserve">The interpretive frame for this comes from Keller's 1993 customer-based brand equity model. High-awareness brands work as promotional anchors. Recognition draws traffic into the platform; the premium does not need to be large at the shelf. Brand recognition without premium positioning lands in the "Household Giants" quadrant — well-known, widely distributed, priced at or below the sub-category median.</w:t>
      </w:r>
    </w:p>
    <w:p>
      <w:pPr>
        <w:spacing w:after="120" w:before="80" w:line="320"/>
      </w:pPr>
      <w:r>
        <w:rPr>
          <w:sz w:val="24"/>
          <w:szCs w:val="24"/>
        </w:rPr>
        <w:t xml:space="preserve">WinEco is the cleanest illustration. On the virtual shelf, its sticker price is essentially indistinguishable from competing brands — minus four point six percent and not statistically significant. But at checkout, the discount widens to minus twenty-six point six percent, and is highly significant. A twenty-two-percentage-point gap between sticker and checkout. This avoids the shelf-price stigma of looking like a cheap house brand, while still delivering loss-leader pricing once the consumer is in the cart.</w:t>
      </w:r>
    </w:p>
    <w:p>
      <w:pPr>
        <w:spacing w:after="120" w:before="80" w:line="320"/>
      </w:pPr>
      <w:r>
        <w:rPr>
          <w:sz w:val="24"/>
          <w:szCs w:val="24"/>
        </w:rPr>
        <w:t xml:space="preserve">This is, in a sentence, the methodological payoff of the dual-price design. It exposes an asymmetry that no single-price hedonic regression — and there are many in the food literature — could find. Brand-name in this market is largely a promotional vehicle, not a stable signal of quality.</w:t>
      </w:r>
    </w:p>
    <w:p>
      <w:pPr>
        <w:spacing w:after="100" w:before="200"/>
      </w:pPr>
      <w:r>
        <w:rPr>
          <w:b/>
          <w:bCs/>
          <w:color w:val="B8860B"/>
          <w:sz w:val="22"/>
          <w:szCs w:val="22"/>
        </w:rPr>
        <w:t xml:space="preserve">Transition</w:t>
      </w:r>
    </w:p>
    <w:p>
      <w:pPr>
        <w:spacing w:after="120" w:before="80" w:line="320"/>
      </w:pPr>
      <w:r>
        <w:rPr>
          <w:sz w:val="24"/>
          <w:szCs w:val="24"/>
        </w:rPr>
        <w:t xml:space="preserve">And the third finding.</w:t>
      </w:r>
    </w:p>
    <w:p>
      <w:pPr>
        <w:pBdr>
          <w:top w:val="single" w:color="0F2A4D" w:sz="12" w:space="6"/>
        </w:pBdr>
        <w:spacing w:after="80" w:before="360"/>
      </w:pPr>
      <w:r>
        <w:rPr>
          <w:b/>
          <w:bCs/>
          <w:color w:val="C9A227"/>
          <w:sz w:val="22"/>
          <w:szCs w:val="22"/>
        </w:rPr>
        <w:t xml:space="preserve">SLIDE 15 / 19    </w:t>
      </w:r>
      <w:r>
        <w:rPr>
          <w:b/>
          <w:bCs/>
          <w:color w:val="0F2A4D"/>
          <w:sz w:val="28"/>
          <w:szCs w:val="28"/>
        </w:rPr>
        <w:t xml:space="preserve">Finding 3 — Category heterogeneity is systematic</w:t>
      </w:r>
      <w:r>
        <w:rPr>
          <w:i/>
          <w:iCs/>
          <w:color w:val="707070"/>
          <w:sz w:val="20"/>
          <w:szCs w:val="20"/>
        </w:rPr>
        <w:t xml:space="preserve">    ·    1:00</w:t>
      </w:r>
    </w:p>
    <w:p>
      <w:pPr>
        <w:spacing w:after="100" w:before="60"/>
      </w:pPr>
      <w:r>
        <w:rPr>
          <w:i/>
          <w:iCs/>
          <w:color w:val="707070"/>
          <w:sz w:val="20"/>
          <w:szCs w:val="20"/>
        </w:rPr>
        <w:t xml:space="preserve">[Point at the +100% / -61% contrast. Then walk down the bar chart by category.]</w:t>
      </w:r>
    </w:p>
    <w:p>
      <w:pPr>
        <w:spacing w:after="120" w:before="80" w:line="320"/>
      </w:pPr>
      <w:r>
        <w:rPr>
          <w:sz w:val="24"/>
          <w:szCs w:val="24"/>
        </w:rPr>
        <w:t xml:space="preserve">Finding three. The pooled coefficients I have shown so far hide economically meaningful structure. I demonstrate this most cleanly with the import premium. In fresh produce, imported origin carries a coefficient of plus one hundred percent — significant at the one-tenth-of-one-percent level. In processed food, the same attribute carries a coefficient of minus sixty-one percent — significant at the five percent level. Same attribute. Opposite signs. Two different categories.</w:t>
      </w:r>
    </w:p>
    <w:p>
      <w:pPr>
        <w:spacing w:after="120" w:before="80" w:line="320"/>
      </w:pPr>
      <w:r>
        <w:rPr>
          <w:sz w:val="24"/>
          <w:szCs w:val="24"/>
        </w:rPr>
        <w:t xml:space="preserve">The bar chart on the bottom-left orders all categories. Fresh produce and dry food have a positive import premium. Spices and instant food are essentially flat. Dairy, frozen, and processed food carry a negative import premium.</w:t>
      </w:r>
    </w:p>
    <w:p>
      <w:pPr>
        <w:spacing w:after="120" w:before="80" w:line="320"/>
      </w:pPr>
      <w:r>
        <w:rPr>
          <w:sz w:val="24"/>
          <w:szCs w:val="24"/>
        </w:rPr>
        <w:t xml:space="preserve">My interpretation draws on two pieces of literature. Mergenthaler and co-authors in 2009 documented Vietnamese consumer willingness-to-pay of around sixty percent for low-residue attributes in fresh produce — exactly the category where food-safety concerns are most salient. Imports in produce signal food safety. By contrast, in processed food the domestic Vietnamese brands — Acecook, Masan, Vinamilk — are extremely well established, and imports signal unfamiliarity rather than quality.</w:t>
      </w:r>
    </w:p>
    <w:p>
      <w:pPr>
        <w:spacing w:after="120" w:before="80" w:line="320"/>
      </w:pPr>
      <w:r>
        <w:rPr>
          <w:sz w:val="24"/>
          <w:szCs w:val="24"/>
        </w:rPr>
        <w:t xml:space="preserve">So credence attributes — origin, health claims — are not uniformly valued. They are valued only where they answer a real consumer concern. That is the third finding.</w:t>
      </w:r>
    </w:p>
    <w:p>
      <w:pPr>
        <w:spacing w:after="100" w:before="200"/>
      </w:pPr>
      <w:r>
        <w:rPr>
          <w:b/>
          <w:bCs/>
          <w:color w:val="B8860B"/>
          <w:sz w:val="22"/>
          <w:szCs w:val="22"/>
        </w:rPr>
        <w:t xml:space="preserve">Transition</w:t>
      </w:r>
    </w:p>
    <w:p>
      <w:pPr>
        <w:spacing w:after="120" w:before="80" w:line="320"/>
      </w:pPr>
      <w:r>
        <w:rPr>
          <w:sz w:val="24"/>
          <w:szCs w:val="24"/>
        </w:rPr>
        <w:t xml:space="preserve">Let me close by drawing out the recommendations that follow from these findings.</w:t>
      </w:r>
    </w:p>
    <w:p>
      <w:pPr>
        <w:pBdr>
          <w:top w:val="single" w:color="0F2A4D" w:sz="12" w:space="6"/>
        </w:pBdr>
        <w:spacing w:after="80" w:before="360"/>
      </w:pPr>
      <w:r>
        <w:rPr>
          <w:b/>
          <w:bCs/>
          <w:color w:val="C9A227"/>
          <w:sz w:val="22"/>
          <w:szCs w:val="22"/>
        </w:rPr>
        <w:t xml:space="preserve">SLIDE 16 / 19    </w:t>
      </w:r>
      <w:r>
        <w:rPr>
          <w:b/>
          <w:bCs/>
          <w:color w:val="0F2A4D"/>
          <w:sz w:val="28"/>
          <w:szCs w:val="28"/>
        </w:rPr>
        <w:t xml:space="preserve">Recommendations</w:t>
      </w:r>
      <w:r>
        <w:rPr>
          <w:i/>
          <w:iCs/>
          <w:color w:val="707070"/>
          <w:sz w:val="20"/>
          <w:szCs w:val="20"/>
        </w:rPr>
        <w:t xml:space="preserve">    ·    1:00</w:t>
      </w:r>
    </w:p>
    <w:p>
      <w:pPr>
        <w:spacing w:after="100" w:before="60"/>
      </w:pPr>
      <w:r>
        <w:rPr>
          <w:i/>
          <w:iCs/>
          <w:color w:val="707070"/>
          <w:sz w:val="20"/>
          <w:szCs w:val="20"/>
        </w:rPr>
        <w:t xml:space="preserve">[Move quickly through the four boxes. One sentence per audience. Don't read every bullet.]</w:t>
      </w:r>
    </w:p>
    <w:p>
      <w:pPr>
        <w:spacing w:after="120" w:before="80" w:line="320"/>
      </w:pPr>
      <w:r>
        <w:rPr>
          <w:sz w:val="24"/>
          <w:szCs w:val="24"/>
        </w:rPr>
        <w:t xml:space="preserve">I make four sets of recommendations, for four distinct audiences.</w:t>
      </w:r>
    </w:p>
    <w:p>
      <w:pPr>
        <w:spacing w:after="120" w:before="80" w:line="320"/>
      </w:pPr>
      <w:r>
        <w:rPr>
          <w:sz w:val="24"/>
          <w:szCs w:val="24"/>
        </w:rPr>
        <w:t xml:space="preserve">For consumers: when you are looking for savings on Winmart, price tier is a stronger savings signal than brand name — because brand-name premiums get discounted and price-tier premiums don't. Pack size is the most discount-resistant unit-price savings of all, at about three point eight percent per ten percent increase in pack size. Expect deeper checkout discounts on Household Giants and on WinEco.</w:t>
      </w:r>
    </w:p>
    <w:p>
      <w:pPr>
        <w:spacing w:after="120" w:before="80" w:line="320"/>
      </w:pPr>
      <w:r>
        <w:rPr>
          <w:sz w:val="24"/>
          <w:szCs w:val="24"/>
        </w:rPr>
        <w:t xml:space="preserve">For businesses: premium-tier positioning is protected through the promotional cycle, so the upper-tier margin is real and defensible. Household Giants are already discount targets — there is limited remaining margin to compete on price. And import positioning is category-selective: it works in fresh produce, it hurts in processed food, so brand managers should choose the category match carefully.</w:t>
      </w:r>
    </w:p>
    <w:p>
      <w:pPr>
        <w:spacing w:after="120" w:before="80" w:line="320"/>
      </w:pPr>
      <w:r>
        <w:rPr>
          <w:sz w:val="24"/>
          <w:szCs w:val="24"/>
        </w:rPr>
        <w:t xml:space="preserve">For policymakers: promotional penetration ranges from zero to thirty-six percent across categories, while discount depth is much more uniform at twelve to nineteen percent. Disclosure regulation, if any, should target the where, not the how-much. The WinEco twenty-two-percentage-point sticker-to-checkout gap warrants broader investigation in a multi-retailer setting.</w:t>
      </w:r>
    </w:p>
    <w:p>
      <w:pPr>
        <w:spacing w:after="120" w:before="80" w:line="320"/>
      </w:pPr>
      <w:r>
        <w:rPr>
          <w:sz w:val="24"/>
          <w:szCs w:val="24"/>
        </w:rPr>
        <w:t xml:space="preserve">And for future research: the obvious extensions are a multi-retailer comparison — Annam Gourmet, Bách Hóa Xanh, traditional wet markets — transaction-volume data to estimate demand response, and an instrumental-variables approach using third-party brand equity surveys to address the partial endogeneity of the premium dummy.</w:t>
      </w:r>
    </w:p>
    <w:p>
      <w:pPr>
        <w:spacing w:after="100" w:before="200"/>
      </w:pPr>
      <w:r>
        <w:rPr>
          <w:b/>
          <w:bCs/>
          <w:color w:val="B8860B"/>
          <w:sz w:val="22"/>
          <w:szCs w:val="22"/>
        </w:rPr>
        <w:t xml:space="preserve">Transition</w:t>
      </w:r>
    </w:p>
    <w:p>
      <w:pPr>
        <w:spacing w:after="120" w:before="80" w:line="320"/>
      </w:pPr>
      <w:r>
        <w:rPr>
          <w:sz w:val="24"/>
          <w:szCs w:val="24"/>
        </w:rPr>
        <w:t xml:space="preserve">Before concluding, I want to be transparent about what this thesis cannot do.</w:t>
      </w:r>
    </w:p>
    <w:p>
      <w:pPr>
        <w:pBdr>
          <w:top w:val="single" w:color="0F2A4D" w:sz="12" w:space="6"/>
        </w:pBdr>
        <w:spacing w:after="80" w:before="360"/>
      </w:pPr>
      <w:r>
        <w:rPr>
          <w:b/>
          <w:bCs/>
          <w:color w:val="C9A227"/>
          <w:sz w:val="22"/>
          <w:szCs w:val="22"/>
        </w:rPr>
        <w:t xml:space="preserve">SLIDE 17 / 19    </w:t>
      </w:r>
      <w:r>
        <w:rPr>
          <w:b/>
          <w:bCs/>
          <w:color w:val="0F2A4D"/>
          <w:sz w:val="28"/>
          <w:szCs w:val="28"/>
        </w:rPr>
        <w:t xml:space="preserve">Limitations</w:t>
      </w:r>
      <w:r>
        <w:rPr>
          <w:i/>
          <w:iCs/>
          <w:color w:val="707070"/>
          <w:sz w:val="20"/>
          <w:szCs w:val="20"/>
        </w:rPr>
        <w:t xml:space="preserve">    ·    0:50</w:t>
      </w:r>
    </w:p>
    <w:p>
      <w:pPr>
        <w:spacing w:after="100" w:before="60"/>
      </w:pPr>
      <w:r>
        <w:rPr>
          <w:i/>
          <w:iCs/>
          <w:color w:val="707070"/>
          <w:sz w:val="20"/>
          <w:szCs w:val="20"/>
        </w:rPr>
        <w:t xml:space="preserve">[Read with composure. Limitations honestly disclosed are a strength, not a weakness.]</w:t>
      </w:r>
    </w:p>
    <w:p>
      <w:pPr>
        <w:spacing w:after="120" w:before="80" w:line="320"/>
      </w:pPr>
      <w:r>
        <w:rPr>
          <w:sz w:val="24"/>
          <w:szCs w:val="24"/>
        </w:rPr>
        <w:t xml:space="preserve">Five limitations, briefly. First, single-retailer external validity — but this is also a deliberate design choice, because a single retailer holds the platform fee, the logistics, and the presentation control constant. Future work would extend to other retailers.</w:t>
      </w:r>
    </w:p>
    <w:p>
      <w:pPr>
        <w:spacing w:after="120" w:before="80" w:line="320"/>
      </w:pPr>
      <w:r>
        <w:rPr>
          <w:sz w:val="24"/>
          <w:szCs w:val="24"/>
        </w:rPr>
        <w:t xml:space="preserve">Second, no transaction volumes — web scraping captures listed prices only, not actual sales. The Jevons elementary index that I use is the CPI-manual fallback when expenditure weights are unavailable.</w:t>
      </w:r>
    </w:p>
    <w:p>
      <w:pPr>
        <w:spacing w:after="120" w:before="80" w:line="320"/>
      </w:pPr>
      <w:r>
        <w:rPr>
          <w:sz w:val="24"/>
          <w:szCs w:val="24"/>
        </w:rPr>
        <w:t xml:space="preserve">Third, the brand dictionary contains noise. It is three hundred and ten keywords, manually curated, deliberately conservative. Misclassification attenuates coefficients toward zero — meaning it biases against my findings rather than for them.</w:t>
      </w:r>
    </w:p>
    <w:p>
      <w:pPr>
        <w:spacing w:after="120" w:before="80" w:line="320"/>
      </w:pPr>
      <w:r>
        <w:rPr>
          <w:sz w:val="24"/>
          <w:szCs w:val="24"/>
        </w:rPr>
        <w:t xml:space="preserve">Fourth, the premium dummy is partially endogenous: products that are well-positioned tend to be priced higher, and being priced higher tends to position them as premium. The variable is ordinal not cardinal, sub-category fixed effects absorb level effects, and an instrumental-variables design with brand-equity surveys is flagged as future work.</w:t>
      </w:r>
    </w:p>
    <w:p>
      <w:pPr>
        <w:spacing w:after="120" w:before="80" w:line="320"/>
      </w:pPr>
      <w:r>
        <w:rPr>
          <w:sz w:val="24"/>
          <w:szCs w:val="24"/>
        </w:rPr>
        <w:t xml:space="preserve">Fifth, no formal Tết event study. Confectionary started cold in early February with no pre-period, and the instant-food panel has a mid-February gap. A clean event design would have to drop the very observations it most needs. I replaced it with a descriptive Tết-window comparison.</w:t>
      </w:r>
    </w:p>
    <w:p>
      <w:pPr>
        <w:spacing w:after="100" w:before="200"/>
      </w:pPr>
      <w:r>
        <w:rPr>
          <w:b/>
          <w:bCs/>
          <w:color w:val="B8860B"/>
          <w:sz w:val="22"/>
          <w:szCs w:val="22"/>
        </w:rPr>
        <w:t xml:space="preserve">Transition</w:t>
      </w:r>
    </w:p>
    <w:p>
      <w:pPr>
        <w:spacing w:after="120" w:before="80" w:line="320"/>
      </w:pPr>
      <w:r>
        <w:rPr>
          <w:sz w:val="24"/>
          <w:szCs w:val="24"/>
        </w:rPr>
        <w:t xml:space="preserve">To conclude.</w:t>
      </w:r>
    </w:p>
    <w:p>
      <w:pPr>
        <w:pBdr>
          <w:top w:val="single" w:color="0F2A4D" w:sz="12" w:space="6"/>
        </w:pBdr>
        <w:spacing w:after="80" w:before="360"/>
      </w:pPr>
      <w:r>
        <w:rPr>
          <w:b/>
          <w:bCs/>
          <w:color w:val="C9A227"/>
          <w:sz w:val="22"/>
          <w:szCs w:val="22"/>
        </w:rPr>
        <w:t xml:space="preserve">SLIDE 18 / 19    </w:t>
      </w:r>
      <w:r>
        <w:rPr>
          <w:b/>
          <w:bCs/>
          <w:color w:val="0F2A4D"/>
          <w:sz w:val="28"/>
          <w:szCs w:val="28"/>
        </w:rPr>
        <w:t xml:space="preserve">Conclusion — three things we learned</w:t>
      </w:r>
      <w:r>
        <w:rPr>
          <w:i/>
          <w:iCs/>
          <w:color w:val="707070"/>
          <w:sz w:val="20"/>
          <w:szCs w:val="20"/>
        </w:rPr>
        <w:t xml:space="preserve">    ·    0:50</w:t>
      </w:r>
    </w:p>
    <w:p>
      <w:pPr>
        <w:spacing w:after="100" w:before="60"/>
      </w:pPr>
      <w:r>
        <w:rPr>
          <w:i/>
          <w:iCs/>
          <w:color w:val="707070"/>
          <w:sz w:val="20"/>
          <w:szCs w:val="20"/>
        </w:rPr>
        <w:t xml:space="preserve">[Slow. Confident. Look at the council, not the slide.]</w:t>
      </w:r>
    </w:p>
    <w:p>
      <w:pPr>
        <w:spacing w:after="120" w:before="80" w:line="320"/>
      </w:pPr>
      <w:r>
        <w:rPr>
          <w:sz w:val="24"/>
          <w:szCs w:val="24"/>
        </w:rPr>
        <w:t xml:space="preserve">Three things we learned.</w:t>
      </w:r>
    </w:p>
    <w:p>
      <w:pPr>
        <w:spacing w:after="120" w:before="80" w:line="320"/>
      </w:pPr>
      <w:r>
        <w:rPr>
          <w:sz w:val="24"/>
          <w:szCs w:val="24"/>
        </w:rPr>
        <w:t xml:space="preserve">One. Attribute premia exist in Vietnamese online grocery, and the dominant ones are price tier — at forty-three to forty-four percent — pack size, at minus three point eight percent per ten percent increase, and category-specific imports and health claims.</w:t>
      </w:r>
    </w:p>
    <w:p>
      <w:pPr>
        <w:spacing w:after="120" w:before="80" w:line="320"/>
      </w:pPr>
      <w:r>
        <w:rPr>
          <w:sz w:val="24"/>
          <w:szCs w:val="24"/>
        </w:rPr>
        <w:t xml:space="preserve">Two. Promotion erodes brand-name premiums by approximately fifty percent between sticker and checkout — but leaves price-tier premiums fully intact, with erosion of just minus one point seven percent. That asymmetry is the central empirical contribution.</w:t>
      </w:r>
    </w:p>
    <w:p>
      <w:pPr>
        <w:spacing w:after="120" w:before="80" w:line="320"/>
      </w:pPr>
      <w:r>
        <w:rPr>
          <w:sz w:val="24"/>
          <w:szCs w:val="24"/>
        </w:rPr>
        <w:t xml:space="preserve">Three. To the best of my knowledge this is the first hedonic decomposition of Vietnamese online grocery using web-scraped daily dual-price data. The contribution is therefore both methodological — the dual-price design — and empirical — the baseline estimates against which future work can be compared.</w:t>
      </w:r>
    </w:p>
    <w:p>
      <w:pPr>
        <w:spacing w:after="100" w:before="200"/>
      </w:pPr>
      <w:r>
        <w:rPr>
          <w:b/>
          <w:bCs/>
          <w:color w:val="B8860B"/>
          <w:sz w:val="22"/>
          <w:szCs w:val="22"/>
        </w:rPr>
        <w:t xml:space="preserve">Transition</w:t>
      </w:r>
    </w:p>
    <w:p>
      <w:pPr>
        <w:spacing w:after="120" w:before="80" w:line="320"/>
      </w:pPr>
      <w:r>
        <w:rPr>
          <w:sz w:val="24"/>
          <w:szCs w:val="24"/>
        </w:rPr>
        <w:t xml:space="preserve">That concludes my presentation. I would like to take a moment to thank the people who made this thesis possible.</w:t>
      </w:r>
    </w:p>
    <w:p>
      <w:pPr>
        <w:pBdr>
          <w:top w:val="single" w:color="0F2A4D" w:sz="12" w:space="6"/>
        </w:pBdr>
        <w:spacing w:after="80" w:before="360"/>
      </w:pPr>
      <w:r>
        <w:rPr>
          <w:b/>
          <w:bCs/>
          <w:color w:val="C9A227"/>
          <w:sz w:val="22"/>
          <w:szCs w:val="22"/>
        </w:rPr>
        <w:t xml:space="preserve">SLIDE 19 / 19    </w:t>
      </w:r>
      <w:r>
        <w:rPr>
          <w:b/>
          <w:bCs/>
          <w:color w:val="0F2A4D"/>
          <w:sz w:val="28"/>
          <w:szCs w:val="28"/>
        </w:rPr>
        <w:t xml:space="preserve">Thank you</w:t>
      </w:r>
      <w:r>
        <w:rPr>
          <w:i/>
          <w:iCs/>
          <w:color w:val="707070"/>
          <w:sz w:val="20"/>
          <w:szCs w:val="20"/>
        </w:rPr>
        <w:t xml:space="preserve">    ·    0:30</w:t>
      </w:r>
    </w:p>
    <w:p>
      <w:pPr>
        <w:spacing w:after="100" w:before="60"/>
      </w:pPr>
      <w:r>
        <w:rPr>
          <w:i/>
          <w:iCs/>
          <w:color w:val="707070"/>
          <w:sz w:val="20"/>
          <w:szCs w:val="20"/>
        </w:rPr>
        <w:t xml:space="preserve">[Stand still. Both hands at your sides or lightly clasped. Make eye contact with the chair. End on a clear, complete sentence — not on a trailing 'thank you'.]</w:t>
      </w:r>
    </w:p>
    <w:p>
      <w:pPr>
        <w:spacing w:after="120" w:before="80" w:line="320"/>
      </w:pPr>
      <w:r>
        <w:rPr>
          <w:sz w:val="24"/>
          <w:szCs w:val="24"/>
        </w:rPr>
        <w:t xml:space="preserve">Cảm ơn quý thầy cô và hội đồng đã lắng nghe.</w:t>
      </w:r>
    </w:p>
    <w:p>
      <w:pPr>
        <w:spacing w:after="120" w:before="80" w:line="320"/>
      </w:pPr>
      <w:r>
        <w:rPr>
          <w:sz w:val="24"/>
          <w:szCs w:val="24"/>
        </w:rPr>
        <w:t xml:space="preserve">My deepest thanks to my supervisor, Dr. Nguyễn Mạnh Thế, whose guidance shaped every chapter of this work, and to my mentor Dr. Đinh Thị Hồng Thêu for her patient feedback throughout the analysis stage.</w:t>
      </w:r>
    </w:p>
    <w:p>
      <w:pPr>
        <w:spacing w:after="120" w:before="80" w:line="320"/>
      </w:pPr>
      <w:r>
        <w:rPr>
          <w:sz w:val="24"/>
          <w:szCs w:val="24"/>
        </w:rPr>
        <w:t xml:space="preserve">I welcome your questions.</w:t>
      </w:r>
    </w:p>
    <w:p>
      <w:pPr>
        <w:spacing w:after="100" w:before="60"/>
      </w:pPr>
      <w:r>
        <w:rPr>
          <w:i/>
          <w:iCs/>
          <w:color w:val="707070"/>
          <w:sz w:val="20"/>
          <w:szCs w:val="20"/>
        </w:rPr>
        <w:t xml:space="preserve">[Pause. Smile. Wait for the chair to invite the first question. Do not fill silence.]</w:t>
      </w:r>
    </w:p>
    <w:p>
      <w:r>
        <w:br w:type="page"/>
      </w:r>
    </w:p>
    <w:p>
      <w:pPr>
        <w:pStyle w:val="Heading1"/>
        <w:spacing w:after="200" w:before="360"/>
      </w:pPr>
      <w:r>
        <w:rPr>
          <w:b/>
          <w:bCs/>
          <w:color w:val="0F2A4D"/>
          <w:sz w:val="32"/>
          <w:szCs w:val="32"/>
        </w:rPr>
        <w:t xml:space="preserve">Anticipated Q&amp;A — what to say, which appendix to flip to</w:t>
      </w:r>
    </w:p>
    <w:p>
      <w:pPr>
        <w:spacing w:after="120" w:before="80" w:line="320"/>
      </w:pPr>
      <w:r>
        <w:rPr>
          <w:sz w:val="24"/>
          <w:szCs w:val="24"/>
        </w:rPr>
        <w:t xml:space="preserve">Below are the questions a Vietnamese economics council is most likely to ask on this thesis, with a short answer for each, and the appendix slide you should jump to. When you do not know the answer, say "That is a question I have not addressed in this thesis — let me think aloud about it," and then think aloud. Do not invent.</w:t>
      </w:r>
    </w:p>
    <w:p>
      <w:pPr>
        <w:spacing w:after="60" w:before="240"/>
      </w:pPr>
      <w:r>
        <w:rPr>
          <w:b/>
          <w:bCs/>
          <w:color w:val="0F2A4D"/>
          <w:sz w:val="24"/>
          <w:szCs w:val="24"/>
        </w:rPr>
        <w:t xml:space="preserve">Q1. Why a hedonic regression rather than a discrete choice model or a machine-learning predictor?</w:t>
      </w:r>
    </w:p>
    <w:p>
      <w:pPr>
        <w:spacing w:after="120" w:before="80" w:line="320"/>
      </w:pPr>
      <w:r>
        <w:rPr>
          <w:sz w:val="24"/>
          <w:szCs w:val="24"/>
        </w:rPr>
        <w:t xml:space="preserve">Because the question is about the equilibrium implicit price of an attribute, not about which product a consumer chooses. A discrete choice model would require observed choice data — which the scraping pipeline does not capture. A pure machine-learning predictor would maximize fit but lose the interpretable per-attribute coefficient that the entire dual-price erosion measure depends on. I do estimate a percentile decision-tree as a complementary predictor — that is in Appendix A8 — but it is a complement, not a substitute.</w:t>
      </w:r>
    </w:p>
    <w:p>
      <w:pPr>
        <w:spacing w:after="80" w:before="0"/>
      </w:pPr>
      <w:r>
        <w:rPr>
          <w:i/>
          <w:iCs/>
          <w:color w:val="B8860B"/>
          <w:sz w:val="22"/>
          <w:szCs w:val="22"/>
        </w:rPr>
        <w:t xml:space="preserve">→ Flip to Appendix </w:t>
      </w:r>
      <w:r>
        <w:rPr>
          <w:b/>
          <w:bCs/>
          <w:i/>
          <w:iCs/>
          <w:color w:val="B8860B"/>
          <w:sz w:val="22"/>
          <w:szCs w:val="22"/>
        </w:rPr>
        <w:t xml:space="preserve">A8</w:t>
      </w:r>
      <w:r>
        <w:rPr>
          <w:i/>
          <w:iCs/>
          <w:color w:val="B8860B"/>
          <w:sz w:val="22"/>
          <w:szCs w:val="22"/>
        </w:rPr>
        <w:t xml:space="preserve"> if the council wants to dig in.</w:t>
      </w:r>
    </w:p>
    <w:p>
      <w:pPr>
        <w:spacing w:after="60" w:before="240"/>
      </w:pPr>
      <w:r>
        <w:rPr>
          <w:b/>
          <w:bCs/>
          <w:color w:val="0F2A4D"/>
          <w:sz w:val="24"/>
          <w:szCs w:val="24"/>
        </w:rPr>
        <w:t xml:space="preserve">Q2. The brand bundle has three highly correlated dummies — branded, premium, high-recognition. Are you sure they are separately identified?</w:t>
      </w:r>
    </w:p>
    <w:p>
      <w:pPr>
        <w:spacing w:after="120" w:before="80" w:line="320"/>
      </w:pPr>
      <w:r>
        <w:rPr>
          <w:sz w:val="24"/>
          <w:szCs w:val="24"/>
        </w:rPr>
        <w:t xml:space="preserve">Yes. The variance inflation factor on is_branded is one point five four; on is_high_recognition is one point three six; on is_premium is one point one seven. All well below the conventional threshold of five. Appendix A1 has the full table.</w:t>
      </w:r>
    </w:p>
    <w:p>
      <w:pPr>
        <w:spacing w:after="80" w:before="0"/>
      </w:pPr>
      <w:r>
        <w:rPr>
          <w:i/>
          <w:iCs/>
          <w:color w:val="B8860B"/>
          <w:sz w:val="22"/>
          <w:szCs w:val="22"/>
        </w:rPr>
        <w:t xml:space="preserve">→ Flip to Appendix </w:t>
      </w:r>
      <w:r>
        <w:rPr>
          <w:b/>
          <w:bCs/>
          <w:i/>
          <w:iCs/>
          <w:color w:val="B8860B"/>
          <w:sz w:val="22"/>
          <w:szCs w:val="22"/>
        </w:rPr>
        <w:t xml:space="preserve">A1</w:t>
      </w:r>
      <w:r>
        <w:rPr>
          <w:i/>
          <w:iCs/>
          <w:color w:val="B8860B"/>
          <w:sz w:val="22"/>
          <w:szCs w:val="22"/>
        </w:rPr>
        <w:t xml:space="preserve"> if the council wants to dig in.</w:t>
      </w:r>
    </w:p>
    <w:p>
      <w:pPr>
        <w:spacing w:after="60" w:before="240"/>
      </w:pPr>
      <w:r>
        <w:rPr>
          <w:b/>
          <w:bCs/>
          <w:color w:val="0F2A4D"/>
          <w:sz w:val="24"/>
          <w:szCs w:val="24"/>
        </w:rPr>
        <w:t xml:space="preserve">Q3. How do I know the result is not an artifact of one influential category or one influential month?</w:t>
      </w:r>
    </w:p>
    <w:p>
      <w:pPr>
        <w:spacing w:after="120" w:before="80" w:line="320"/>
      </w:pPr>
      <w:r>
        <w:rPr>
          <w:sz w:val="24"/>
          <w:szCs w:val="24"/>
        </w:rPr>
        <w:t xml:space="preserve">Two robustness checks. First, Cook's distance — only four point two percent of products exceed the standard threshold, and re-estimating without them shifts coefficients by less than one one-hundredth of a log point. Second, the regression re-estimated separately on December, January, and February gives adjusted R-squared of zero point six six nine, zero point six six nine, and zero point six five eight — essentially identical. Appendix A2 has both.</w:t>
      </w:r>
    </w:p>
    <w:p>
      <w:pPr>
        <w:spacing w:after="80" w:before="0"/>
      </w:pPr>
      <w:r>
        <w:rPr>
          <w:i/>
          <w:iCs/>
          <w:color w:val="B8860B"/>
          <w:sz w:val="22"/>
          <w:szCs w:val="22"/>
        </w:rPr>
        <w:t xml:space="preserve">→ Flip to Appendix </w:t>
      </w:r>
      <w:r>
        <w:rPr>
          <w:b/>
          <w:bCs/>
          <w:i/>
          <w:iCs/>
          <w:color w:val="B8860B"/>
          <w:sz w:val="22"/>
          <w:szCs w:val="22"/>
        </w:rPr>
        <w:t xml:space="preserve">A2</w:t>
      </w:r>
      <w:r>
        <w:rPr>
          <w:i/>
          <w:iCs/>
          <w:color w:val="B8860B"/>
          <w:sz w:val="22"/>
          <w:szCs w:val="22"/>
        </w:rPr>
        <w:t xml:space="preserve"> if the council wants to dig in.</w:t>
      </w:r>
    </w:p>
    <w:p>
      <w:pPr>
        <w:spacing w:after="60" w:before="240"/>
      </w:pPr>
      <w:r>
        <w:rPr>
          <w:b/>
          <w:bCs/>
          <w:color w:val="0F2A4D"/>
          <w:sz w:val="24"/>
          <w:szCs w:val="24"/>
        </w:rPr>
        <w:t xml:space="preserve">Q4. The WinEco result is striking — but n equals twenty-one. Can I trust it?</w:t>
      </w:r>
    </w:p>
    <w:p>
      <w:pPr>
        <w:spacing w:after="120" w:before="80" w:line="320"/>
      </w:pPr>
      <w:r>
        <w:rPr>
          <w:sz w:val="24"/>
          <w:szCs w:val="24"/>
        </w:rPr>
        <w:t xml:space="preserve">Suggestively, not conclusively. The pattern in this dataset is real — sticker minus four point six percent and insignificant; checkout minus twenty-six point six percent and significant at one-tenth of one percent. But twenty-one products at one retailer is not a basis for generalizing to all private-label strategies. I flag this explicitly in chapter five and identify multi-retailer house-brand comparison as a future-research priority. Appendix A3 has the WinEco deep-dive.</w:t>
      </w:r>
    </w:p>
    <w:p>
      <w:pPr>
        <w:spacing w:after="80" w:before="0"/>
      </w:pPr>
      <w:r>
        <w:rPr>
          <w:i/>
          <w:iCs/>
          <w:color w:val="B8860B"/>
          <w:sz w:val="22"/>
          <w:szCs w:val="22"/>
        </w:rPr>
        <w:t xml:space="preserve">→ Flip to Appendix </w:t>
      </w:r>
      <w:r>
        <w:rPr>
          <w:b/>
          <w:bCs/>
          <w:i/>
          <w:iCs/>
          <w:color w:val="B8860B"/>
          <w:sz w:val="22"/>
          <w:szCs w:val="22"/>
        </w:rPr>
        <w:t xml:space="preserve">A3</w:t>
      </w:r>
      <w:r>
        <w:rPr>
          <w:i/>
          <w:iCs/>
          <w:color w:val="B8860B"/>
          <w:sz w:val="22"/>
          <w:szCs w:val="22"/>
        </w:rPr>
        <w:t xml:space="preserve"> if the council wants to dig in.</w:t>
      </w:r>
    </w:p>
    <w:p>
      <w:pPr>
        <w:spacing w:after="60" w:before="240"/>
      </w:pPr>
      <w:r>
        <w:rPr>
          <w:b/>
          <w:bCs/>
          <w:color w:val="0F2A4D"/>
          <w:sz w:val="24"/>
          <w:szCs w:val="24"/>
        </w:rPr>
        <w:t xml:space="preserve">Q5. Why is the R-squared low in Confectionary, Processed Food, and Instant Food?</w:t>
      </w:r>
    </w:p>
    <w:p>
      <w:pPr>
        <w:spacing w:after="120" w:before="80" w:line="320"/>
      </w:pPr>
      <w:r>
        <w:rPr>
          <w:sz w:val="24"/>
          <w:szCs w:val="24"/>
        </w:rPr>
        <w:t xml:space="preserve">Because in those categories, price depends heavily on attributes that my product-name NLP cannot capture — flavor profile, texture, country-of-origin sub-region, packaging design. The variables I do extract — branded, premium, pack — capture only part of what the consumer is paying for. I report this transparently in Appendix A4 with the full per-category R-squared table.</w:t>
      </w:r>
    </w:p>
    <w:p>
      <w:pPr>
        <w:spacing w:after="80" w:before="0"/>
      </w:pPr>
      <w:r>
        <w:rPr>
          <w:i/>
          <w:iCs/>
          <w:color w:val="B8860B"/>
          <w:sz w:val="22"/>
          <w:szCs w:val="22"/>
        </w:rPr>
        <w:t xml:space="preserve">→ Flip to Appendix </w:t>
      </w:r>
      <w:r>
        <w:rPr>
          <w:b/>
          <w:bCs/>
          <w:i/>
          <w:iCs/>
          <w:color w:val="B8860B"/>
          <w:sz w:val="22"/>
          <w:szCs w:val="22"/>
        </w:rPr>
        <w:t xml:space="preserve">A4</w:t>
      </w:r>
      <w:r>
        <w:rPr>
          <w:i/>
          <w:iCs/>
          <w:color w:val="B8860B"/>
          <w:sz w:val="22"/>
          <w:szCs w:val="22"/>
        </w:rPr>
        <w:t xml:space="preserve"> if the council wants to dig in.</w:t>
      </w:r>
    </w:p>
    <w:p>
      <w:pPr>
        <w:spacing w:after="60" w:before="240"/>
      </w:pPr>
      <w:r>
        <w:rPr>
          <w:b/>
          <w:bCs/>
          <w:color w:val="0F2A4D"/>
          <w:sz w:val="24"/>
          <w:szCs w:val="24"/>
        </w:rPr>
        <w:t xml:space="preserve">Q6. Why a Jevons index rather than a Laspeyres or a Törnqvist?</w:t>
      </w:r>
    </w:p>
    <w:p>
      <w:pPr>
        <w:spacing w:after="120" w:before="80" w:line="320"/>
      </w:pPr>
      <w:r>
        <w:rPr>
          <w:sz w:val="24"/>
          <w:szCs w:val="24"/>
        </w:rPr>
        <w:t xml:space="preserve">Because both Laspeyres and Törnqvist require expenditure weights — quantities sold — and web scraping does not capture quantities. Jevons is the elementary aggregation method recommended by the international CPI manual precisely for the case where expenditure weights are unavailable. I acknowledge in chapter five that a sales-weighted index would be theoretically superior, and that future work with transaction data could implement it. Appendix A5 has the side-by-side comparison.</w:t>
      </w:r>
    </w:p>
    <w:p>
      <w:pPr>
        <w:spacing w:after="80" w:before="0"/>
      </w:pPr>
      <w:r>
        <w:rPr>
          <w:i/>
          <w:iCs/>
          <w:color w:val="B8860B"/>
          <w:sz w:val="22"/>
          <w:szCs w:val="22"/>
        </w:rPr>
        <w:t xml:space="preserve">→ Flip to Appendix </w:t>
      </w:r>
      <w:r>
        <w:rPr>
          <w:b/>
          <w:bCs/>
          <w:i/>
          <w:iCs/>
          <w:color w:val="B8860B"/>
          <w:sz w:val="22"/>
          <w:szCs w:val="22"/>
        </w:rPr>
        <w:t xml:space="preserve">A5</w:t>
      </w:r>
      <w:r>
        <w:rPr>
          <w:i/>
          <w:iCs/>
          <w:color w:val="B8860B"/>
          <w:sz w:val="22"/>
          <w:szCs w:val="22"/>
        </w:rPr>
        <w:t xml:space="preserve"> if the council wants to dig in.</w:t>
      </w:r>
    </w:p>
    <w:p>
      <w:pPr>
        <w:spacing w:after="60" w:before="240"/>
      </w:pPr>
      <w:r>
        <w:rPr>
          <w:b/>
          <w:bCs/>
          <w:color w:val="0F2A4D"/>
          <w:sz w:val="24"/>
          <w:szCs w:val="24"/>
        </w:rPr>
        <w:t xml:space="preserve">Q7. How do you justify the brand dictionary? Couldn't your NLP misclassify products?</w:t>
      </w:r>
    </w:p>
    <w:p>
      <w:pPr>
        <w:spacing w:after="120" w:before="80" w:line="320"/>
      </w:pPr>
      <w:r>
        <w:rPr>
          <w:sz w:val="24"/>
          <w:szCs w:val="24"/>
        </w:rPr>
        <w:t xml:space="preserve">Yes, it can. The dictionary has three hundred and ten keywords, manually curated, deliberately conservative. The key statistical point is that NLP misclassification produces measurement error in the regressors, which biases coefficients toward zero — meaning it biases against my findings, not for them. So the fact that I still recover statistically significant brand effects despite the noise actually strengthens the conclusion. Appendix A6 has the feature pipeline.</w:t>
      </w:r>
    </w:p>
    <w:p>
      <w:pPr>
        <w:spacing w:after="80" w:before="0"/>
      </w:pPr>
      <w:r>
        <w:rPr>
          <w:i/>
          <w:iCs/>
          <w:color w:val="B8860B"/>
          <w:sz w:val="22"/>
          <w:szCs w:val="22"/>
        </w:rPr>
        <w:t xml:space="preserve">→ Flip to Appendix </w:t>
      </w:r>
      <w:r>
        <w:rPr>
          <w:b/>
          <w:bCs/>
          <w:i/>
          <w:iCs/>
          <w:color w:val="B8860B"/>
          <w:sz w:val="22"/>
          <w:szCs w:val="22"/>
        </w:rPr>
        <w:t xml:space="preserve">A6</w:t>
      </w:r>
      <w:r>
        <w:rPr>
          <w:i/>
          <w:iCs/>
          <w:color w:val="B8860B"/>
          <w:sz w:val="22"/>
          <w:szCs w:val="22"/>
        </w:rPr>
        <w:t xml:space="preserve"> if the council wants to dig in.</w:t>
      </w:r>
    </w:p>
    <w:p>
      <w:pPr>
        <w:spacing w:after="60" w:before="240"/>
      </w:pPr>
      <w:r>
        <w:rPr>
          <w:b/>
          <w:bCs/>
          <w:color w:val="0F2A4D"/>
          <w:sz w:val="24"/>
          <w:szCs w:val="24"/>
        </w:rPr>
        <w:t xml:space="preserve">Q8. Is is_premium endogenous? Premium products are priced higher partly because they are positioned as premium — and partly because being priced higher positions them as premium.</w:t>
      </w:r>
    </w:p>
    <w:p>
      <w:pPr>
        <w:spacing w:after="120" w:before="80" w:line="320"/>
      </w:pPr>
      <w:r>
        <w:rPr>
          <w:sz w:val="24"/>
          <w:szCs w:val="24"/>
        </w:rPr>
        <w:t xml:space="preserve">Yes — partial endogeneity is a real concern, and I address it transparently in section three point seven. Three things mitigate it. The variable is ordinal — it is a binary above-or-below the sub-category median price — not a cardinal price. Sub-category fixed effects absorb level differences across product types. And the result is most likely a lower bound on the true premium-tier coefficient, since some genuine premium-tier products will be misclassified into the reference. A clean fix would require an instrument — for instance, a third-party brand-equity survey — and that is flagged as future work.</w:t>
      </w:r>
    </w:p>
    <w:p>
      <w:pPr>
        <w:spacing w:after="60" w:before="240"/>
      </w:pPr>
      <w:r>
        <w:rPr>
          <w:b/>
          <w:bCs/>
          <w:color w:val="0F2A4D"/>
          <w:sz w:val="24"/>
          <w:szCs w:val="24"/>
        </w:rPr>
        <w:t xml:space="preserve">Q9. The data window includes Tết. Did you do an event study?</w:t>
      </w:r>
    </w:p>
    <w:p>
      <w:pPr>
        <w:spacing w:after="120" w:before="80" w:line="320"/>
      </w:pPr>
      <w:r>
        <w:rPr>
          <w:sz w:val="24"/>
          <w:szCs w:val="24"/>
        </w:rPr>
        <w:t xml:space="preserve">I tried to, but a clean event design was not feasible. Confectionary started its panel on the second of February with no pre-period, and the instant-food panel has a mid-February data gap — meaning the very observations a Tết event study most needs are missing. So I replaced a formal event design with a descriptive Tết-window brand-gap comparison, which I report in section three point five. The two significant deltas are fresh produce, plus forty-two percentage points, and processed food, minus thirty-nine percentage points. Appendix A9 has the timeline.</w:t>
      </w:r>
    </w:p>
    <w:p>
      <w:pPr>
        <w:spacing w:after="80" w:before="0"/>
      </w:pPr>
      <w:r>
        <w:rPr>
          <w:i/>
          <w:iCs/>
          <w:color w:val="B8860B"/>
          <w:sz w:val="22"/>
          <w:szCs w:val="22"/>
        </w:rPr>
        <w:t xml:space="preserve">→ Flip to Appendix </w:t>
      </w:r>
      <w:r>
        <w:rPr>
          <w:b/>
          <w:bCs/>
          <w:i/>
          <w:iCs/>
          <w:color w:val="B8860B"/>
          <w:sz w:val="22"/>
          <w:szCs w:val="22"/>
        </w:rPr>
        <w:t xml:space="preserve">A9</w:t>
      </w:r>
      <w:r>
        <w:rPr>
          <w:i/>
          <w:iCs/>
          <w:color w:val="B8860B"/>
          <w:sz w:val="22"/>
          <w:szCs w:val="22"/>
        </w:rPr>
        <w:t xml:space="preserve"> if the council wants to dig in.</w:t>
      </w:r>
    </w:p>
    <w:p>
      <w:pPr>
        <w:spacing w:after="60" w:before="240"/>
      </w:pPr>
      <w:r>
        <w:rPr>
          <w:b/>
          <w:bCs/>
          <w:color w:val="0F2A4D"/>
          <w:sz w:val="24"/>
          <w:szCs w:val="24"/>
        </w:rPr>
        <w:t xml:space="preserve">Q10. Single retailer — how confident are you in external validity?</w:t>
      </w:r>
    </w:p>
    <w:p>
      <w:pPr>
        <w:spacing w:after="120" w:before="80" w:line="320"/>
      </w:pPr>
      <w:r>
        <w:rPr>
          <w:sz w:val="24"/>
          <w:szCs w:val="24"/>
        </w:rPr>
        <w:t xml:space="preserve">On the substantive findings — that price tier dominates and that brand-name premia erode — I am moderately confident, because the mechanism rests on retailer pricing strategy that is widely observed across e-commerce platforms internationally. On the magnitude of erosion, I am less confident, because Winmart's specific category mix and promotional intensity may not generalize to Bách Hóa Xanh, Annam Gourmet, or traditional wet markets. Multi-retailer extension is therefore the headline future-research priority.</w:t>
      </w:r>
    </w:p>
    <w:p>
      <w:pPr>
        <w:spacing w:after="60" w:before="240"/>
      </w:pPr>
      <w:r>
        <w:rPr>
          <w:b/>
          <w:bCs/>
          <w:color w:val="0F2A4D"/>
          <w:sz w:val="24"/>
          <w:szCs w:val="24"/>
        </w:rPr>
        <w:t xml:space="preserve">Q11. Why log-linear and not Box-Cox or quantile regression?</w:t>
      </w:r>
    </w:p>
    <w:p>
      <w:pPr>
        <w:spacing w:after="120" w:before="80" w:line="320"/>
      </w:pPr>
      <w:r>
        <w:rPr>
          <w:sz w:val="24"/>
          <w:szCs w:val="24"/>
        </w:rPr>
        <w:t xml:space="preserve">Three reasons. First, log-linear is the standard in the food hedonic literature — Malpezzi 2002, Costanigro and McCluskey 2011 — making my estimates directly comparable. Second, the log-linear coefficient has a clean percentage-premium interpretation, which is the entire point of the dual-price erosion comparison. Third, the residual diagnostics — the Breusch-Pagan test, Cook's distance, monthly stability — are all consistent with log-linear being adequate; nothing in the residuals demands a more flexible functional form.</w:t>
      </w:r>
    </w:p>
    <w:p>
      <w:pPr>
        <w:spacing w:after="60" w:before="240"/>
      </w:pPr>
      <w:r>
        <w:rPr>
          <w:b/>
          <w:bCs/>
          <w:color w:val="0F2A4D"/>
          <w:sz w:val="24"/>
          <w:szCs w:val="24"/>
        </w:rPr>
        <w:t xml:space="preserve">Q12. What would change your mind?</w:t>
      </w:r>
    </w:p>
    <w:p>
      <w:pPr>
        <w:spacing w:after="120" w:before="80" w:line="320"/>
      </w:pPr>
      <w:r>
        <w:rPr>
          <w:sz w:val="24"/>
          <w:szCs w:val="24"/>
        </w:rPr>
        <w:t xml:space="preserve">Three things. If the brand-name erosion result disappeared in a multi-retailer extension, that would suggest it is Winmart-specific and not a general feature of Vietnamese online grocery. If transaction-volume data showed that consumer demand responds equally to sticker prices and checkout prices, that would weaken my interpretation of the erosion pattern as a deliberate pricing strategy. And if the WinEco pattern did not replicate in a larger private-label sample, that would force me to walk back the strongest single result in the thesis.</w:t>
      </w:r>
    </w:p>
    <w:p>
      <w:pPr>
        <w:pBdr>
          <w:bottom w:val="single" w:color="C9A227" w:sz="6" w:space="1"/>
        </w:pBdr>
        <w:spacing w:after="120" w:before="120"/>
      </w:pPr>
      <w:r>
        <w:t xml:space="preserve"/>
      </w:r>
    </w:p>
    <w:p>
      <w:pPr>
        <w:pStyle w:val="Heading1"/>
        <w:spacing w:after="200" w:before="360"/>
      </w:pPr>
      <w:r>
        <w:rPr>
          <w:b/>
          <w:bCs/>
          <w:color w:val="0F2A4D"/>
          <w:sz w:val="32"/>
          <w:szCs w:val="32"/>
        </w:rPr>
        <w:t xml:space="preserve">Delivery checklist — the morning of the defense</w:t>
      </w:r>
    </w:p>
    <w:p>
      <w:pPr>
        <w:spacing w:after="100" w:before="200"/>
      </w:pPr>
      <w:r>
        <w:rPr>
          <w:b/>
          <w:bCs/>
          <w:color w:val="B8860B"/>
          <w:sz w:val="22"/>
          <w:szCs w:val="22"/>
        </w:rPr>
        <w:t xml:space="preserve">Before you start</w:t>
      </w:r>
    </w:p>
    <w:p>
      <w:pPr>
        <w:pStyle w:val="ListParagraph"/>
        <w:numPr>
          <w:ilvl w:val="0"/>
          <w:numId w:val="2"/>
        </w:numPr>
        <w:spacing w:after="40" w:before="40" w:line="280"/>
      </w:pPr>
      <w:r>
        <w:rPr>
          <w:sz w:val="22"/>
          <w:szCs w:val="22"/>
        </w:rPr>
        <w:t xml:space="preserve">Arrive thirty minutes early. Confirm the projector, the slide aspect ratio, and the clicker work.</w:t>
      </w:r>
    </w:p>
    <w:p>
      <w:pPr>
        <w:pStyle w:val="ListParagraph"/>
        <w:numPr>
          <w:ilvl w:val="0"/>
          <w:numId w:val="2"/>
        </w:numPr>
        <w:spacing w:after="40" w:before="40" w:line="280"/>
      </w:pPr>
      <w:r>
        <w:rPr>
          <w:sz w:val="22"/>
          <w:szCs w:val="22"/>
        </w:rPr>
        <w:t xml:space="preserve">Have a printed copy of the slides in front of you, with this script as the second printout.</w:t>
      </w:r>
    </w:p>
    <w:p>
      <w:pPr>
        <w:pStyle w:val="ListParagraph"/>
        <w:numPr>
          <w:ilvl w:val="0"/>
          <w:numId w:val="2"/>
        </w:numPr>
        <w:spacing w:after="40" w:before="40" w:line="280"/>
      </w:pPr>
      <w:r>
        <w:rPr>
          <w:sz w:val="22"/>
          <w:szCs w:val="22"/>
        </w:rPr>
        <w:t xml:space="preserve">Drink water. Use the bathroom. You will not get a chance for either during the seventeen minutes.</w:t>
      </w:r>
    </w:p>
    <w:p>
      <w:pPr>
        <w:pStyle w:val="ListParagraph"/>
        <w:numPr>
          <w:ilvl w:val="0"/>
          <w:numId w:val="2"/>
        </w:numPr>
        <w:spacing w:after="40" w:before="40" w:line="280"/>
      </w:pPr>
      <w:r>
        <w:rPr>
          <w:sz w:val="22"/>
          <w:szCs w:val="22"/>
        </w:rPr>
        <w:t xml:space="preserve">Phone on silent. Watch the time on a wall clock or a watch — not your phone.</w:t>
      </w:r>
    </w:p>
    <w:p>
      <w:pPr>
        <w:spacing w:after="100" w:before="200"/>
      </w:pPr>
      <w:r>
        <w:rPr>
          <w:b/>
          <w:bCs/>
          <w:color w:val="B8860B"/>
          <w:sz w:val="22"/>
          <w:szCs w:val="22"/>
        </w:rPr>
        <w:t xml:space="preserve">Voice and posture</w:t>
      </w:r>
    </w:p>
    <w:p>
      <w:pPr>
        <w:pStyle w:val="ListParagraph"/>
        <w:numPr>
          <w:ilvl w:val="0"/>
          <w:numId w:val="2"/>
        </w:numPr>
        <w:spacing w:after="40" w:before="40" w:line="280"/>
      </w:pPr>
      <w:r>
        <w:rPr>
          <w:sz w:val="22"/>
          <w:szCs w:val="22"/>
        </w:rPr>
        <w:t xml:space="preserve">Speak about fifteen percent slower than your conversational pace.</w:t>
      </w:r>
    </w:p>
    <w:p>
      <w:pPr>
        <w:pStyle w:val="ListParagraph"/>
        <w:numPr>
          <w:ilvl w:val="0"/>
          <w:numId w:val="2"/>
        </w:numPr>
        <w:spacing w:after="40" w:before="40" w:line="280"/>
      </w:pPr>
      <w:r>
        <w:rPr>
          <w:sz w:val="22"/>
          <w:szCs w:val="22"/>
        </w:rPr>
        <w:t xml:space="preserve">End sentences on a downward intonation, not an upward one. Council members read upward intonation as uncertainty.</w:t>
      </w:r>
    </w:p>
    <w:p>
      <w:pPr>
        <w:pStyle w:val="ListParagraph"/>
        <w:numPr>
          <w:ilvl w:val="0"/>
          <w:numId w:val="2"/>
        </w:numPr>
        <w:spacing w:after="40" w:before="40" w:line="280"/>
      </w:pPr>
      <w:r>
        <w:rPr>
          <w:sz w:val="22"/>
          <w:szCs w:val="22"/>
        </w:rPr>
        <w:t xml:space="preserve">Stand still. Resist the urge to pace. Plant your feet shoulder-width apart and shift weight only when you transition between sections.</w:t>
      </w:r>
    </w:p>
    <w:p>
      <w:pPr>
        <w:pStyle w:val="ListParagraph"/>
        <w:numPr>
          <w:ilvl w:val="0"/>
          <w:numId w:val="2"/>
        </w:numPr>
        <w:spacing w:after="40" w:before="40" w:line="280"/>
      </w:pPr>
      <w:r>
        <w:rPr>
          <w:sz w:val="22"/>
          <w:szCs w:val="22"/>
        </w:rPr>
        <w:t xml:space="preserve">Look at one council member at a time, for three to five seconds, then move to the next. Don't sweep — that reads as scanning.</w:t>
      </w:r>
    </w:p>
    <w:p>
      <w:pPr>
        <w:spacing w:after="100" w:before="200"/>
      </w:pPr>
      <w:r>
        <w:rPr>
          <w:b/>
          <w:bCs/>
          <w:color w:val="B8860B"/>
          <w:sz w:val="22"/>
          <w:szCs w:val="22"/>
        </w:rPr>
        <w:t xml:space="preserve">If something goes wrong</w:t>
      </w:r>
    </w:p>
    <w:p>
      <w:pPr>
        <w:pStyle w:val="ListParagraph"/>
        <w:numPr>
          <w:ilvl w:val="0"/>
          <w:numId w:val="2"/>
        </w:numPr>
        <w:spacing w:after="40" w:before="40" w:line="280"/>
      </w:pPr>
      <w:r>
        <w:rPr>
          <w:sz w:val="22"/>
          <w:szCs w:val="22"/>
        </w:rPr>
        <w:t xml:space="preserve">If you lose your place — pause, look at the slide, and read the slide title aloud. The room will wait for you.</w:t>
      </w:r>
    </w:p>
    <w:p>
      <w:pPr>
        <w:pStyle w:val="ListParagraph"/>
        <w:numPr>
          <w:ilvl w:val="0"/>
          <w:numId w:val="2"/>
        </w:numPr>
        <w:spacing w:after="40" w:before="40" w:line="280"/>
      </w:pPr>
      <w:r>
        <w:rPr>
          <w:sz w:val="22"/>
          <w:szCs w:val="22"/>
        </w:rPr>
        <w:t xml:space="preserve">If a council member interrupts mid-presentation, answer briefly, return to where you were with the phrase "Returning to the methodology" or whichever section you were in.</w:t>
      </w:r>
    </w:p>
    <w:p>
      <w:pPr>
        <w:pStyle w:val="ListParagraph"/>
        <w:numPr>
          <w:ilvl w:val="0"/>
          <w:numId w:val="2"/>
        </w:numPr>
        <w:spacing w:after="40" w:before="40" w:line="280"/>
      </w:pPr>
      <w:r>
        <w:rPr>
          <w:sz w:val="22"/>
          <w:szCs w:val="22"/>
        </w:rPr>
        <w:t xml:space="preserve">If you do not know the answer to a question — say so. "That is something I have not addressed in this thesis. My instinct is X, but I would want to verify before answering with confidence." That answer is always better than inventing.</w:t>
      </w:r>
    </w:p>
    <w:p>
      <w:pPr>
        <w:pStyle w:val="ListParagraph"/>
        <w:numPr>
          <w:ilvl w:val="0"/>
          <w:numId w:val="2"/>
        </w:numPr>
        <w:spacing w:after="40" w:before="40" w:line="280"/>
      </w:pPr>
      <w:r>
        <w:rPr>
          <w:sz w:val="22"/>
          <w:szCs w:val="22"/>
        </w:rPr>
        <w:t xml:space="preserve">If you are running long, the cuts in priority order are: slide 5 (Brand Equity 2x2 — you can summarize in one sentence), slide 12 (Diagnostics — one sentence), slide 16 (Recommendations — say only the consumer point).</w:t>
      </w:r>
    </w:p>
    <w:p>
      <w:pPr>
        <w:spacing w:after="100" w:before="200"/>
      </w:pPr>
      <w:r>
        <w:rPr>
          <w:b/>
          <w:bCs/>
          <w:color w:val="B8860B"/>
          <w:sz w:val="22"/>
          <w:szCs w:val="22"/>
        </w:rPr>
        <w:t xml:space="preserve">The two sentences you must deliver perfectly</w:t>
      </w:r>
    </w:p>
    <w:p>
      <w:pPr>
        <w:pStyle w:val="ListParagraph"/>
        <w:numPr>
          <w:ilvl w:val="0"/>
          <w:numId w:val="2"/>
        </w:numPr>
        <w:spacing w:after="40" w:before="40" w:line="280"/>
      </w:pPr>
      <w:r>
        <w:rPr>
          <w:sz w:val="22"/>
          <w:szCs w:val="22"/>
        </w:rPr>
        <w:t xml:space="preserve">"Promotion erodes brand-name premiums by half — but leaves price-tier premiums fully intact." (Slide 11)</w:t>
      </w:r>
    </w:p>
    <w:p>
      <w:pPr>
        <w:pStyle w:val="ListParagraph"/>
        <w:numPr>
          <w:ilvl w:val="0"/>
          <w:numId w:val="2"/>
        </w:numPr>
        <w:spacing w:after="40" w:before="40" w:line="280"/>
      </w:pPr>
      <w:r>
        <w:rPr>
          <w:sz w:val="22"/>
          <w:szCs w:val="22"/>
        </w:rPr>
        <w:t xml:space="preserve">"To the best of my knowledge this is the first hedonic decomposition of Vietnamese online grocery using web-scraped daily dual-price data." (Slide 18)</w:t>
      </w:r>
    </w:p>
    <w:p>
      <w:pPr>
        <w:spacing w:after="100" w:before="200"/>
      </w:pPr>
      <w:r>
        <w:rPr>
          <w:b/>
          <w:bCs/>
          <w:color w:val="B8860B"/>
          <w:sz w:val="22"/>
          <w:szCs w:val="22"/>
        </w:rPr>
        <w:t xml:space="preserve">After the questions</w:t>
      </w:r>
    </w:p>
    <w:p>
      <w:pPr>
        <w:pStyle w:val="ListParagraph"/>
        <w:numPr>
          <w:ilvl w:val="0"/>
          <w:numId w:val="2"/>
        </w:numPr>
        <w:spacing w:after="40" w:before="40" w:line="280"/>
      </w:pPr>
      <w:r>
        <w:rPr>
          <w:sz w:val="22"/>
          <w:szCs w:val="22"/>
        </w:rPr>
        <w:t xml:space="preserve">Whatever the council says — thank them for their time, thank your supervisor by name once more, and step back. Do not editorialize. Do not negotiate.</w:t>
      </w:r>
    </w:p>
    <w:p>
      <w:pPr>
        <w:pStyle w:val="ListParagraph"/>
        <w:numPr>
          <w:ilvl w:val="0"/>
          <w:numId w:val="2"/>
        </w:numPr>
        <w:spacing w:after="40" w:before="40" w:line="280"/>
      </w:pPr>
      <w:r>
        <w:rPr>
          <w:sz w:val="22"/>
          <w:szCs w:val="22"/>
        </w:rPr>
        <w:t xml:space="preserve">Cảm ơn hội đồng. Step away from the podium with the same composure you walked up with.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07070"/>
        <w:sz w:val="18"/>
        <w:szCs w:val="18"/>
      </w:rPr>
      <w:t xml:space="preserve">Trần Hiếu My  ·  Defense Script  ·  NEU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2A4D"/>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F2A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2026-05-06T03:55:38.985Z</dcterms:created>
  <dcterms:modified xsi:type="dcterms:W3CDTF">2026-05-06T03:55:38.986Z</dcterms:modified>
</cp:coreProperties>
</file>

<file path=docProps/custom.xml><?xml version="1.0" encoding="utf-8"?>
<Properties xmlns="http://schemas.openxmlformats.org/officeDocument/2006/custom-properties" xmlns:vt="http://schemas.openxmlformats.org/officeDocument/2006/docPropsVTypes"/>
</file>