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BACHELOR THESIS DEFENSE — PRESENTATION OUTLINE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Hedonic Price Decomposition and Promotional Erosion on Online Retail Prices: A Case Study on Winmart</w:t>
      </w:r>
    </w:p>
    <w:p>
      <w:pPr>
        <w:spacing w:after="80"/>
        <w:jc w:val="center"/>
      </w:pPr>
      <w:r>
        <w:rPr>
          <w:sz w:val="22"/>
          <w:szCs w:val="22"/>
        </w:rPr>
        <w:t xml:space="preserve">Trần Hiếu My  |  ID 11224401  |  Business Analytics 64</w:t>
      </w:r>
    </w:p>
    <w:p>
      <w:pPr>
        <w:spacing w:after="240"/>
        <w:jc w:val="center"/>
      </w:pPr>
      <w:r>
        <w:rPr>
          <w:sz w:val="22"/>
          <w:szCs w:val="22"/>
        </w:rPr>
        <w:t xml:space="preserve">Supervisor: Dr. Nguyễn Mạnh Thế  •  Mentor: Dr. Đinh Thị Hồng Thêu</w:t>
      </w:r>
    </w:p>
    <w:p>
      <w:pPr>
        <w:pStyle w:val="Heading2"/>
      </w:pPr>
      <w:r>
        <w:t xml:space="preserve">Overview</w:t>
      </w:r>
    </w:p>
    <w:p>
      <w:pPr>
        <w:spacing w:after="120"/>
      </w:pPr>
      <w:r>
        <w:t xml:space="preserve">This deck targets a </w:t>
      </w:r>
      <w:r>
        <w:rPr>
          <w:b/>
          <w:bCs/>
        </w:rPr>
        <w:t xml:space="preserve">15-minute presentation</w:t>
      </w:r>
      <w:r>
        <w:t xml:space="preserve"> with </w:t>
      </w:r>
      <w:r>
        <w:rPr>
          <w:b/>
          <w:bCs/>
        </w:rPr>
        <w:t xml:space="preserve">17 main slides</w:t>
      </w:r>
      <w:r>
        <w:t xml:space="preserve"> plus a 10-slide hidden appendix for Q&amp;A. Average pacing is ~50–55 seconds per slide; the four heaviest slides (results) get ~75 seconds each. Use the figures already produced in `/output/` (forest plot, per-category heatmap, broken-axis erosion bar, brand quadrant map) — do not redraw.</w:t>
      </w:r>
    </w:p>
    <w:p>
      <w:pPr>
        <w:spacing w:after="120"/>
      </w:pPr>
      <w:r>
        <w:t xml:space="preserve">Each block below specifies what to </w:t>
      </w:r>
      <w:r>
        <w:rPr>
          <w:b/>
          <w:bCs/>
        </w:rPr>
        <w:t xml:space="preserve">show</w:t>
      </w:r>
      <w:r>
        <w:t xml:space="preserve"> on the slide and what to </w:t>
      </w:r>
      <w:r>
        <w:rPr>
          <w:b/>
          <w:bCs/>
        </w:rPr>
        <w:t xml:space="preserve">say</w:t>
      </w:r>
      <w:r>
        <w:t xml:space="preserve"> when standing in front of it. Speak in English; keep Vietnamese category names (Sữa Tươi, Rau-Củ-Trái Cây, etc.) on the slides as bilingual anchors. Source of truth for all coefficients and counts: `Thesis_Draft_Comprehensive_Reordered.docx`.</w:t>
      </w:r>
    </w:p>
    <w:p>
      <w:pPr>
        <w:pStyle w:val="Heading1"/>
      </w:pPr>
      <w:r>
        <w:t xml:space="preserve">Section A — Opening (Slides 1–3, ~2.5 min)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1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Cover Page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~30s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NATIONAL ECONOMICS UNIVERSITY — Board of Management of Advanced Education Programs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BACHELOR THESIS</w:t>
            </w:r>
          </w:p>
          <w:p>
            <w:pPr>
              <w:spacing w:after="60"/>
              <w:ind w:left="120" w:hanging="120"/>
            </w:pPr>
            <w:r>
              <w:t xml:space="preserve">Topic: Hedonic Price Decomposition and Promotional Erosion on Online Retail Prices: A Case Study on Winmart</w:t>
            </w:r>
          </w:p>
          <w:p>
            <w:pPr>
              <w:spacing w:after="60"/>
              <w:ind w:left="120" w:hanging="120"/>
            </w:pPr>
            <w:r>
              <w:t xml:space="preserve">Major: Business Administration  •  Program: Business Analytics 64</w:t>
            </w:r>
          </w:p>
          <w:p>
            <w:pPr>
              <w:spacing w:after="60"/>
              <w:ind w:left="120" w:hanging="120"/>
            </w:pPr>
            <w:r>
              <w:t xml:space="preserve">Student: Trần Hiếu My  •  Student ID: 11224401</w:t>
            </w:r>
          </w:p>
          <w:p>
            <w:pPr>
              <w:spacing w:after="60"/>
              <w:ind w:left="120" w:hanging="120"/>
            </w:pPr>
            <w:r>
              <w:t xml:space="preserve">Supervisor: Dr. Nguyễn Mạnh Thế  •  Mentor: Dr. Đinh Thị Hồng Thêu</w:t>
            </w:r>
          </w:p>
          <w:p>
            <w:pPr>
              <w:spacing w:after="60"/>
              <w:ind w:left="120" w:hanging="120"/>
            </w:pPr>
            <w:r>
              <w:t xml:space="preserve">Hanoi 2026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Greet the council. "Honourable chair, dear members of the council, my name is Trần Hiếu My, Business Analytics 64. I will present my bachelor thesis on hedonic price decomposition and promotional erosion at Winmart, conducted under the supervision of Dr. Nguyễn Mạnh Thế."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2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Motivation — Two prices, one product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One screenshot of a Winmart product page showing </w:t>
            </w:r>
            <w:r>
              <w:rPr>
                <w:b/>
                <w:bCs/>
              </w:rPr>
              <w:t xml:space="preserve">marked price (sticker)</w:t>
            </w:r>
            <w:r>
              <w:t xml:space="preserve"> vs </w:t>
            </w:r>
            <w:r>
              <w:rPr>
                <w:b/>
                <w:bCs/>
              </w:rPr>
              <w:t xml:space="preserve">final price (checkout)</w:t>
            </w:r>
            <w:r>
              <w:t xml:space="preserve">, side by side.</w:t>
            </w:r>
          </w:p>
          <w:p>
            <w:pPr>
              <w:spacing w:after="60"/>
              <w:ind w:left="120" w:hanging="120"/>
            </w:pPr>
            <w:r>
              <w:t xml:space="preserve">Three numbers in large type:  </w:t>
            </w:r>
            <w:r>
              <w:rPr>
                <w:b/>
                <w:bCs/>
              </w:rPr>
              <w:t xml:space="preserve">2,286 products  •  88 days  •  10 categories</w:t>
            </w:r>
            <w:r>
              <w:t xml:space="preserve">.</w:t>
            </w:r>
          </w:p>
          <w:p>
            <w:pPr>
              <w:spacing w:after="60"/>
              <w:ind w:left="120" w:hanging="120"/>
            </w:pPr>
            <w:r>
              <w:t xml:space="preserve">One sentence in bold: "Most products on Winmart show two prices, and the gap is not random."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Open with the consumer observation — Vietnamese online grocery has migrated from wet markets to platforms like Winmart, and the platform shows two prices on every product. Frame the puzzle: we know the gap exists, we do not know which product attributes carry it.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3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Research Question &amp; Objectives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Research question:</w:t>
            </w:r>
            <w:r>
              <w:t xml:space="preserve"> "What product attributes generate price premiums in Vietnamese online grocery, and to what extent do promotional pricing strategies erode those premiums?"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Objective 1:</w:t>
            </w:r>
            <w:r>
              <w:t xml:space="preserve"> Identify which product attributes generate statistically significant price premiums.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Objective 2:</w:t>
            </w:r>
            <w:r>
              <w:t xml:space="preserve"> Use the dual-price structure to measure how promotion erodes those premiums at checkout.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Objective 3:</w:t>
            </w:r>
            <w:r>
              <w:t xml:space="preserve"> Examine how attribute premium structures vary across product categories.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State the question word-for-word from the thesis. Mention the three objectives as a numbered list — the council will look for matching findings later.</w:t>
            </w:r>
          </w:p>
        </w:tc>
      </w:tr>
    </w:tbl>
    <w:p>
      <w:pPr>
        <w:pStyle w:val="Heading1"/>
      </w:pPr>
      <w:r>
        <w:t xml:space="preserve">Section B — Theoretical Framework (Slides 4–5, ~1.5 min)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4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Hedonic Theory — Goods as bundles of attributes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~45s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Three-step diagram: Lancaster (1966) → Rosen (1974) → Ekeland-Heckman-Nesheim (2004).</w:t>
            </w:r>
          </w:p>
          <w:p>
            <w:pPr>
              <w:spacing w:after="60"/>
              <w:ind w:left="120" w:hanging="120"/>
            </w:pPr>
            <w:r>
              <w:t xml:space="preserve">"Lancaster: utility comes from attributes, not goods."</w:t>
            </w:r>
          </w:p>
          <w:p>
            <w:pPr>
              <w:spacing w:after="60"/>
              <w:ind w:left="120" w:hanging="120"/>
            </w:pPr>
            <w:r>
              <w:t xml:space="preserve">"Rosen: implicit price ∂P/∂z_i is the equilibrium hedonic price of attribute z_i."</w:t>
            </w:r>
          </w:p>
          <w:p>
            <w:pPr>
              <w:spacing w:after="60"/>
              <w:ind w:left="120" w:hanging="120"/>
            </w:pPr>
            <w:r>
              <w:t xml:space="preserve">"Ekeland et al.: first-stage interpretation only — we recover the price function, not structural demand or supply."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Limit yourself to 30 seconds of theory. The point is to anchor the regression in established literature and to pre-empt the objection "you cannot recover demand parameters from this." Acknowledge the first-stage limitation up front.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5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Brand Equity — The Four-Quadrant Typology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~45s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Reuse </w:t>
            </w:r>
            <w:r>
              <w:rPr>
                <w:b/>
                <w:bCs/>
              </w:rPr>
              <w:t xml:space="preserve">Figure 1.1</w:t>
            </w:r>
            <w:r>
              <w:t xml:space="preserve"> (brand positioning map). Two axes: Recognition (Keller 1993) × Perceived Quality (Aaker 1991).</w:t>
            </w:r>
          </w:p>
          <w:p>
            <w:pPr>
              <w:spacing w:after="60"/>
              <w:ind w:left="120" w:hanging="120"/>
            </w:pPr>
            <w:r>
              <w:t xml:space="preserve">Four quadrants labeled: Premium Specialists, Household Giants, Niche Players, Generic Branded — plus a fifth "Generic / Unbranded" baseline.</w:t>
            </w:r>
          </w:p>
          <w:p>
            <w:pPr>
              <w:spacing w:after="60"/>
              <w:ind w:left="120" w:hanging="120"/>
            </w:pPr>
            <w:r>
              <w:t xml:space="preserve">Map each variable on the slide: is_high_recognition (Keller), is_premium (Aaker), is_branded (any brand), is_house_brand (WinEco).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Explain the logic of decomposing the conventional single "brand premium" into three orthogonal dimensions. Note the 305 generic products as the regression baseline.</w:t>
            </w:r>
          </w:p>
        </w:tc>
      </w:tr>
    </w:tbl>
    <w:p>
      <w:pPr>
        <w:pStyle w:val="Heading1"/>
      </w:pPr>
      <w:r>
        <w:t xml:space="preserve">Section C — Methodology (Slides 6–8, ~3 min)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6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Data — Winmart, 88 days, 10 categories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Pipeline diagram: 15 robots → API server → JSON → daily CSV → product dataset (`output/product_dataset.csv`, 2,274 products).</w:t>
            </w:r>
          </w:p>
          <w:p>
            <w:pPr>
              <w:spacing w:after="60"/>
              <w:ind w:left="120" w:hanging="120"/>
            </w:pPr>
            <w:r>
              <w:t xml:space="preserve">Window: </w:t>
            </w:r>
            <w:r>
              <w:rPr>
                <w:b/>
                <w:bCs/>
              </w:rPr>
              <w:t xml:space="preserve">18 Dec 2025 → 15 Mar 2026</w:t>
            </w:r>
            <w:r>
              <w:t xml:space="preserve"> (88 days).</w:t>
            </w:r>
          </w:p>
          <w:p>
            <w:pPr>
              <w:spacing w:after="60"/>
              <w:ind w:left="120" w:hanging="120"/>
            </w:pPr>
            <w:r>
              <w:t xml:space="preserve">Variable schema: product_name, unit, </w:t>
            </w:r>
            <w:r>
              <w:rPr>
                <w:b/>
                <w:bCs/>
              </w:rPr>
              <w:t xml:space="preserve">final_price</w:t>
            </w:r>
            <w:r>
              <w:t xml:space="preserve">, </w:t>
            </w:r>
            <w:r>
              <w:rPr>
                <w:b/>
                <w:bCs/>
              </w:rPr>
              <w:t xml:space="preserve">marked_price</w:t>
            </w:r>
            <w:r>
              <w:t xml:space="preserve">, product_url, scrape_timestamp, run_id (price in VND).</w:t>
            </w:r>
          </w:p>
          <w:p>
            <w:pPr>
              <w:spacing w:after="60"/>
              <w:ind w:left="120" w:hanging="120"/>
            </w:pPr>
            <w:r>
              <w:t xml:space="preserve">Single-retailer design: Winmart only (rationale + caveat will return on the limitations slide).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Walk the council along the pipeline arrows. Emphasize that every observation has both a marked and a final price — that is what enables the dual-price design.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7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Hedonic Specification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~75s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The equation, in 32pt or larger:</w:t>
            </w:r>
          </w:p>
          <w:p>
            <w:pPr>
              <w:spacing w:after="60"/>
              <w:ind w:left="120" w:hanging="120"/>
            </w:pPr>
            <w:r>
              <w:t xml:space="preserve">ln(P/unit) = α + β₁·is_branded + β₂·is_premium + β₃·is_high_recognition + β₄·is_import + β₅·is_house_brand + β₆·ln(pack_size) + β₇·pack_count + β₈·has_health_claim + β₉·has_freshness_claim + β₁₀·name_length + γ·subcat_FE + ε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N = 2,203</w:t>
            </w:r>
            <w:r>
              <w:t xml:space="preserve"> products after sparse-product filter (min 7 days). </w:t>
            </w:r>
            <w:r>
              <w:rPr>
                <w:b/>
                <w:bCs/>
              </w:rPr>
              <w:t xml:space="preserve">40 subcategory FE.</w:t>
            </w:r>
            <w:r>
              <w:t xml:space="preserve"> </w:t>
            </w:r>
            <w:r>
              <w:rPr>
                <w:b/>
                <w:bCs/>
              </w:rPr>
              <w:t xml:space="preserve">Cluster-robust SE</w:t>
            </w:r>
            <w:r>
              <w:t xml:space="preserve"> at subcategory level.</w:t>
            </w:r>
          </w:p>
          <w:p>
            <w:pPr>
              <w:spacing w:after="60"/>
              <w:ind w:left="120" w:hanging="120"/>
            </w:pPr>
            <w:r>
              <w:t xml:space="preserve">Estimated </w:t>
            </w:r>
            <w:r>
              <w:rPr>
                <w:b/>
                <w:bCs/>
              </w:rPr>
              <w:t xml:space="preserve">twice</w:t>
            </w:r>
            <w:r>
              <w:t xml:space="preserve"> — once on ln(marked_price/unit), once on ln(final_price/unit).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Why log-linear:</w:t>
            </w:r>
            <w:r>
              <w:t xml:space="preserve"> Malpezzi (2002) standard; preserves percentage-premium interpretation; avoids the loss of interpretability that Box-Cox would impose.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This is the densest slide. Pace yourself. Read the equation aloud once, then explain only the brand-block variables. Defer Jevons to the appendix unless asked.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8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Dual-Price Design — The methodological contribution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Side-by-side: Specification A (marked) vs Specification B (final). Same regressors, same FE, same SE — only the dependent variable changes.</w:t>
            </w:r>
          </w:p>
          <w:p>
            <w:pPr>
              <w:spacing w:after="60"/>
              <w:ind w:left="120" w:hanging="120"/>
            </w:pPr>
            <w:r>
              <w:t xml:space="preserve">Erosion metric, in large type:  </w:t>
            </w:r>
            <w:r>
              <w:rPr>
                <w:b/>
                <w:bCs/>
              </w:rPr>
              <w:t xml:space="preserve">Erosion (%) = (β_marked − β_final) / β_marked × 100</w:t>
            </w:r>
          </w:p>
          <w:p>
            <w:pPr>
              <w:spacing w:after="60"/>
              <w:ind w:left="120" w:hanging="120"/>
            </w:pPr>
            <w:r>
              <w:t xml:space="preserve">Interpretation legend: </w:t>
            </w:r>
            <w:r>
              <w:rPr>
                <w:b/>
                <w:bCs/>
              </w:rPr>
              <w:t xml:space="preserve">+</w:t>
            </w:r>
            <w:r>
              <w:t xml:space="preserve"> = premium shrinks at checkout; </w:t>
            </w:r>
            <w:r>
              <w:rPr>
                <w:b/>
                <w:bCs/>
              </w:rPr>
              <w:t xml:space="preserve">−</w:t>
            </w:r>
            <w:r>
              <w:t xml:space="preserve"> = premium grows; |Erosion| &gt; 50% = "Eroded"; |Erosion| &lt; 5% = "Stable".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Critical framing line, in bold red:</w:t>
            </w:r>
            <w:r>
              <w:t xml:space="preserve"> "Descriptive, not causal. We document patterns; we do not identify the retailer's decision."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Stress that this is the original contribution of the thesis. State the descriptive caveat before the council does — earns trust.</w:t>
            </w:r>
          </w:p>
        </w:tc>
      </w:tr>
    </w:tbl>
    <w:p>
      <w:pPr>
        <w:pStyle w:val="Heading1"/>
      </w:pPr>
      <w:r>
        <w:t xml:space="preserve">Section D — Results (Slides 9–12, ~5 min)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9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Pooled Hedonic Results — Forest plot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~75s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Reuse </w:t>
            </w:r>
            <w:r>
              <w:rPr>
                <w:b/>
                <w:bCs/>
              </w:rPr>
              <w:t xml:space="preserve">Figure 3.1</w:t>
            </w:r>
            <w:r>
              <w:t xml:space="preserve"> (forest plot, marked vs final coefficients, 95% cluster-robust CI).</w:t>
            </w:r>
          </w:p>
          <w:p>
            <w:pPr>
              <w:spacing w:after="60"/>
              <w:ind w:left="120" w:hanging="120"/>
            </w:pPr>
            <w:r>
              <w:t xml:space="preserve">Headline numbers, large type: </w:t>
            </w:r>
            <w:r>
              <w:rPr>
                <w:b/>
                <w:bCs/>
              </w:rPr>
              <w:t xml:space="preserve">Adj R² = 0.639 (marked) / 0.642 (final)</w:t>
            </w:r>
            <w:r>
              <w:t xml:space="preserve">.</w:t>
            </w:r>
          </w:p>
          <w:p>
            <w:pPr>
              <w:spacing w:after="60"/>
              <w:ind w:left="120" w:hanging="120"/>
            </w:pPr>
            <w:r>
              <w:t xml:space="preserve">Top 3 statistically significant coefficients (p&lt;0.001):</w:t>
            </w:r>
          </w:p>
          <w:p>
            <w:pPr>
              <w:spacing w:after="60"/>
              <w:ind w:left="120" w:hanging="120"/>
            </w:pPr>
            <w:r>
              <w:t xml:space="preserve">is_premium: </w:t>
            </w:r>
            <w:r>
              <w:rPr>
                <w:b/>
                <w:bCs/>
              </w:rPr>
              <w:t xml:space="preserve">+0.429 → +0.436</w:t>
            </w:r>
            <w:r>
              <w:t xml:space="preserve"> (≈ 43-44% markup over non-premium branded; price-tier dominance)</w:t>
            </w:r>
          </w:p>
          <w:p>
            <w:pPr>
              <w:spacing w:after="60"/>
              <w:ind w:left="120" w:hanging="120"/>
            </w:pPr>
            <w:r>
              <w:t xml:space="preserve">is_high_recognition: </w:t>
            </w:r>
            <w:r>
              <w:rPr>
                <w:b/>
                <w:bCs/>
              </w:rPr>
              <w:t xml:space="preserve">−0.255 → −0.266</w:t>
            </w:r>
            <w:r>
              <w:t xml:space="preserve"> (Household Giants are CHEAPER than other branded)</w:t>
            </w:r>
          </w:p>
          <w:p>
            <w:pPr>
              <w:spacing w:after="60"/>
              <w:ind w:left="120" w:hanging="120"/>
            </w:pPr>
            <w:r>
              <w:t xml:space="preserve">ln_pack_size: </w:t>
            </w:r>
            <w:r>
              <w:rPr>
                <w:b/>
                <w:bCs/>
              </w:rPr>
              <w:t xml:space="preserve">−0.384 → −0.395</w:t>
            </w:r>
            <w:r>
              <w:t xml:space="preserve"> (10% larger pack ≈ 3.8% lower unit price)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Walk through the three significant coefficients in this order. Emphasize the high-recognition discount — it surprises non-economists and primes the audience for the brand-name erosion finding next.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10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Per-Category Heterogeneity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~75s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Reuse </w:t>
            </w:r>
            <w:r>
              <w:rPr>
                <w:b/>
                <w:bCs/>
              </w:rPr>
              <w:t xml:space="preserve">Figure 3.2</w:t>
            </w:r>
            <w:r>
              <w:t xml:space="preserve"> (per-category coefficient heatmap, 9 categories × attributes, weighted by R²).</w:t>
            </w:r>
          </w:p>
          <w:p>
            <w:pPr>
              <w:spacing w:after="60"/>
              <w:ind w:left="120" w:hanging="120"/>
            </w:pPr>
            <w:r>
              <w:t xml:space="preserve">Two stories, in bold:</w:t>
            </w:r>
          </w:p>
          <w:p>
            <w:pPr>
              <w:spacing w:after="60"/>
              <w:ind w:left="120" w:hanging="120"/>
            </w:pPr>
            <w:r>
              <w:t xml:space="preserve">"</w:t>
            </w:r>
            <w:r>
              <w:rPr>
                <w:b/>
                <w:bCs/>
              </w:rPr>
              <w:t xml:space="preserve">Import premium reaches +100.4% in Fresh Produce</w:t>
            </w:r>
            <w:r>
              <w:t xml:space="preserve"> (p&lt;0.001) but </w:t>
            </w:r>
            <w:r>
              <w:rPr>
                <w:b/>
                <w:bCs/>
              </w:rPr>
              <w:t xml:space="preserve">−60.8% in Processed Food</w:t>
            </w:r>
            <w:r>
              <w:t xml:space="preserve"> (p=0.013) — country-of-origin signaling is not uniform."</w:t>
            </w:r>
          </w:p>
          <w:p>
            <w:pPr>
              <w:spacing w:after="60"/>
              <w:ind w:left="120" w:hanging="120"/>
            </w:pPr>
            <w:r>
              <w:t xml:space="preserve">"</w:t>
            </w:r>
            <w:r>
              <w:rPr>
                <w:b/>
                <w:bCs/>
              </w:rPr>
              <w:t xml:space="preserve">Health-claim premium is significant only in Spices (+38.2%, p=0.03) and Fresh Produce</w:t>
            </w:r>
            <w:r>
              <w:t xml:space="preserve"> — credence attributes matter where food-safety concerns are most acute."</w:t>
            </w:r>
          </w:p>
          <w:p>
            <w:pPr>
              <w:spacing w:after="60"/>
              <w:ind w:left="120" w:hanging="120"/>
            </w:pPr>
            <w:r>
              <w:t xml:space="preserve">R² band: high-confidence (Dry Food 0.831), middle (Fresh Produce 0.539), low (Instant Food 0.227).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This is where the thesis demonstrates depth beyond the pooled model. Anticipate the question "is the pooled coefficient meaningful given this heterogeneity?" — answer: pooled gives the average market-wide pricing, per-category gives the structure beneath it.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11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Promotional Erosion — THE KEY FINDING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~90s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Reuse </w:t>
            </w:r>
            <w:r>
              <w:rPr>
                <w:b/>
                <w:bCs/>
              </w:rPr>
              <w:t xml:space="preserve">Figure 3.3</w:t>
            </w:r>
            <w:r>
              <w:t xml:space="preserve"> (broken-axis erosion bar chart).</w:t>
            </w:r>
          </w:p>
          <w:p>
            <w:pPr>
              <w:spacing w:after="60"/>
              <w:ind w:left="120" w:hanging="120"/>
            </w:pPr>
            <w:r>
              <w:t xml:space="preserve">Compact erosion table with 4 rows (numbers from Table 3.5 of the thesis):</w:t>
            </w:r>
          </w:p>
          <w:p>
            <w:pPr>
              <w:spacing w:after="60"/>
              <w:ind w:left="120" w:hanging="120"/>
            </w:pPr>
            <w:r>
              <w:t xml:space="preserve">|  is_premium     |  −1.7%   |  STABLE    |</w:t>
            </w:r>
          </w:p>
          <w:p>
            <w:pPr>
              <w:spacing w:after="60"/>
              <w:ind w:left="120" w:hanging="120"/>
            </w:pPr>
            <w:r>
              <w:t xml:space="preserve">|  is_branded     |  +50.6%  |  ERODED    |</w:t>
            </w:r>
          </w:p>
          <w:p>
            <w:pPr>
              <w:spacing w:after="60"/>
              <w:ind w:left="120" w:hanging="120"/>
            </w:pPr>
            <w:r>
              <w:t xml:space="preserve">|  is_high_recog. |  +4.3%   |  STABLE    |</w:t>
            </w:r>
          </w:p>
          <w:p>
            <w:pPr>
              <w:spacing w:after="60"/>
              <w:ind w:left="120" w:hanging="120"/>
            </w:pPr>
            <w:r>
              <w:t xml:space="preserve">|  is_house_brand |  +475.6% |  AMPLIFIED |</w:t>
            </w:r>
          </w:p>
          <w:p>
            <w:pPr>
              <w:spacing w:after="60"/>
              <w:ind w:left="120" w:hanging="120"/>
            </w:pPr>
            <w:r>
              <w:t xml:space="preserve">"</w:t>
            </w:r>
            <w:r>
              <w:rPr>
                <w:b/>
                <w:bCs/>
              </w:rPr>
              <w:t xml:space="preserve">Promotion erodes brand-name premiums but not price-tier premiums. WinEco runs near-parity stickers and deep checkout discounts.</w:t>
            </w:r>
            <w:r>
              <w:t xml:space="preserve">"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Slow down. This slide alone justifies the entire dual-price design. Read the four rows aloud. Pause after the WinEco line.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12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Diagnostics &amp; Robustness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~45s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Compact 4-bullet diagnostics summary:</w:t>
            </w:r>
          </w:p>
          <w:p>
            <w:pPr>
              <w:spacing w:after="60"/>
              <w:ind w:left="120" w:hanging="120"/>
            </w:pPr>
            <w:r>
              <w:t xml:space="preserve">Multicollinearity: </w:t>
            </w:r>
            <w:r>
              <w:rPr>
                <w:b/>
                <w:bCs/>
              </w:rPr>
              <w:t xml:space="preserve">all VIF &lt; 2.0</w:t>
            </w:r>
            <w:r>
              <w:t xml:space="preserve"> (max 1.54 on is_branded).</w:t>
            </w:r>
          </w:p>
          <w:p>
            <w:pPr>
              <w:spacing w:after="60"/>
              <w:ind w:left="120" w:hanging="120"/>
            </w:pPr>
            <w:r>
              <w:t xml:space="preserve">Heteroskedasticity: Breusch-Pagan rejects (LM ≈ 191, p&lt;0.001) → cluster-robust SE justified.</w:t>
            </w:r>
          </w:p>
          <w:p>
            <w:pPr>
              <w:spacing w:after="60"/>
              <w:ind w:left="120" w:hanging="120"/>
            </w:pPr>
            <w:r>
              <w:t xml:space="preserve">Influence: </w:t>
            </w:r>
            <w:r>
              <w:rPr>
                <w:b/>
                <w:bCs/>
              </w:rPr>
              <w:t xml:space="preserve">86 / 2,066 products</w:t>
            </w:r>
            <w:r>
              <w:t xml:space="preserve"> (4.2%) above 4/n Cook's threshold; coefficients stable when re-estimated without them.</w:t>
            </w:r>
          </w:p>
          <w:p>
            <w:pPr>
              <w:spacing w:after="60"/>
              <w:ind w:left="120" w:hanging="120"/>
            </w:pPr>
            <w:r>
              <w:t xml:space="preserve">Temporal stability: pooled re-estimated on Dec/Jan/Feb snapshots — adj R² = </w:t>
            </w:r>
            <w:r>
              <w:rPr>
                <w:b/>
                <w:bCs/>
              </w:rPr>
              <w:t xml:space="preserve">0.669, 0.669, 0.658</w:t>
            </w:r>
            <w:r>
              <w:t xml:space="preserve"> (essentially flat).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Your robustness story is strong — present it as such. This slide pre-empts the reviewer's "what about" questions before they are asked.</w:t>
            </w:r>
          </w:p>
        </w:tc>
      </w:tr>
    </w:tbl>
    <w:p>
      <w:pPr>
        <w:pStyle w:val="Heading1"/>
      </w:pPr>
      <w:r>
        <w:t xml:space="preserve">Section E — Discussion &amp; Recommendations (Slides 13–14, ~2 min)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13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Three Principal Findings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1. Price-tier dominates</w:t>
            </w:r>
            <w:r>
              <w:t xml:space="preserve"> — Premium positioning is the single largest and most resilient attribute premium (β ≈ 0.43, erosion −1.7%). Consistent with Varian-style versioning.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2. Brand-name erodes via traffic-driving</w:t>
            </w:r>
            <w:r>
              <w:t xml:space="preserve"> — is_branded effect halves at checkout (50.6% erosion); Household Giants serve as promotional anchors (Keller 1993 awareness mechanism).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3. Category heterogeneity is systematic</w:t>
            </w:r>
            <w:r>
              <w:t xml:space="preserve"> — Import +100% in Fresh Produce vs −61% in Processed Food; health claims significant only where food-safety concerns are acute.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State all three findings before allowing pause. Tie each to one of the three research objectives stated on Slide 3.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14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Recommendations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For consumers:</w:t>
            </w:r>
            <w:r>
              <w:t xml:space="preserve"> Price tier &gt; brand name. Pack-size economies (~3.8% per 10% pack increase) are the most discount-resistant savings.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For businesses:</w:t>
            </w:r>
            <w:r>
              <w:t xml:space="preserve"> Premium-tier positioning is protected through promotion (erosion −1.7%); Household Giants are already the discount targets — discounting them further has limited remaining margin.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For policy / consumer protection:</w:t>
            </w:r>
            <w:r>
              <w:t xml:space="preserve"> Penetration (0–36% across categories) varies more than depth (12–19%) — disclosure should focus on where, not how much; WinEco's 22-pp sticker-to-checkout gap warrants broader investigation.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For future research:</w:t>
            </w:r>
            <w:r>
              <w:t xml:space="preserve"> Multi-retailer extension; transaction-volume data; instrumental-variable approach to the is_premium endogeneity.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Keep this slide tight. Vietnamese councils prize concrete, audience-segmented recommendations.</w:t>
            </w:r>
          </w:p>
        </w:tc>
      </w:tr>
    </w:tbl>
    <w:p>
      <w:pPr>
        <w:pStyle w:val="Heading1"/>
      </w:pPr>
      <w:r>
        <w:t xml:space="preserve">Section F — Limitations &amp; Closing (Slides 15–17, ~2 min)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15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Limitations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~45s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State five, paired with mitigations: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Single-retailer external validity</w:t>
            </w:r>
            <w:r>
              <w:t xml:space="preserve"> — design choice; mitigated by within-retailer fixed effects on platform fee, logistics, presentation.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No transaction volumes</w:t>
            </w:r>
            <w:r>
              <w:t xml:space="preserve"> — Jevons fallback is CPI-manual-recommended where weights are unavailable.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NLP proxy noise</w:t>
            </w:r>
            <w:r>
              <w:t xml:space="preserve"> — 310-keyword dictionary; misclassification attenuates coefficients toward zero.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is_premium partial endogeneity</w:t>
            </w:r>
            <w:r>
              <w:t xml:space="preserve"> — variable is ordinal not cardinal; subcategory FE absorb level effects; flagged in §3.7.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No formal Tết event study</w:t>
            </w:r>
            <w:r>
              <w:t xml:space="preserve"> — precluded by Confectionary cold-start (Feb 2) and Instant_food gap; replaced with descriptive Tết-window gap comparison.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State each limitation in one sentence, mitigation in the next. Move on. Do not dwell.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16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Conclusion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~45s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Return to the research question, verbatim, in large type.</w:t>
            </w:r>
          </w:p>
          <w:p>
            <w:pPr>
              <w:spacing w:after="60"/>
              <w:ind w:left="120" w:hanging="120"/>
            </w:pPr>
            <w:r>
              <w:t xml:space="preserve">Three sentences answering it:</w:t>
            </w:r>
          </w:p>
          <w:p>
            <w:pPr>
              <w:spacing w:after="60"/>
              <w:ind w:left="120" w:hanging="120"/>
            </w:pPr>
            <w:r>
              <w:t xml:space="preserve">"Yes, attribute premiums exist — price tier (+43%), pack size (−3.8% per 10%), and category-specific imports and health claims."</w:t>
            </w:r>
          </w:p>
          <w:p>
            <w:pPr>
              <w:spacing w:after="60"/>
              <w:ind w:left="120" w:hanging="120"/>
            </w:pPr>
            <w:r>
              <w:t xml:space="preserve">"Promotion erodes brand-name premiums by 50.6% but leaves price-tier premiums intact (−1.7%)."</w:t>
            </w:r>
          </w:p>
          <w:p>
            <w:pPr>
              <w:spacing w:after="60"/>
              <w:ind w:left="120" w:hanging="120"/>
            </w:pPr>
            <w:r>
              <w:t xml:space="preserve">"The first hedonic decomposition of Vietnamese online grocery using web-scraped daily dual-price data."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Read each sentence slowly. This is the last thing the council hears before Q&amp;A — make it count.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17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Acknowledgments &amp; Q&amp;A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~30s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"Thank you to my supervisor Dr. Nguyễn Mạnh Thế and my mentor Dr. Đinh Thị Hồng Thêu for their guidance throughout this project."</w:t>
            </w:r>
          </w:p>
          <w:p>
            <w:pPr>
              <w:spacing w:after="60"/>
              <w:ind w:left="120" w:hanging="120"/>
            </w:pPr>
            <w:r>
              <w:t xml:space="preserve">"Thank you to the council for your time and consideration."</w:t>
            </w:r>
          </w:p>
          <w:p>
            <w:pPr>
              <w:spacing w:after="60"/>
              <w:ind w:left="120" w:hanging="120"/>
            </w:pPr>
            <w:r>
              <w:t xml:space="preserve">"I welcome your questions."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Say:</w:t>
            </w:r>
            <w:r>
              <w:t xml:space="preserve"> Close with a small bow. Sit back, hands visible on the table, eye contact with the chair.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Slides (Hidden / On-Demand) — Use During Q&amp;A</w:t>
      </w:r>
    </w:p>
    <w:p>
      <w:pPr>
        <w:spacing w:after="120"/>
      </w:pPr>
      <w:r>
        <w:t xml:space="preserve">Keep the following 10 slides at the end of the deck, hidden from auto-advance. When a council member asks a related question, jump to the matching appendix slide. This signals depth without padding the main deck.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A1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Variance Inflation Factors (full table)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 (Q&amp;A only)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All 10 features with VIF values; max = 1.54 on is_branded; threshold = 5.0; conclusion: no multicollinearity despite hierarchical brand encoding.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Trigger phrase:</w:t>
            </w:r>
            <w:r>
              <w:t xml:space="preserve"> any council question touching this topic — jump here, narrate, then return to a neutral slide.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A2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Cook's Distance &amp; Temporal Stability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 (Q&amp;A only)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86 / 2,066 products above 4/n threshold (4.2%); spread across categories; coefficients re-estimated without high-influence set match within 0.01 log-points. Monthly snapshots Dec/Jan/Feb: R² = 0.669, 0.669, 0.658.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Trigger phrase:</w:t>
            </w:r>
            <w:r>
              <w:t xml:space="preserve"> any council question touching this topic — jump here, narrate, then return to a neutral slide.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A3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WinEco Deep-Dive (n=21)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 (Q&amp;A only)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Sticker discount −0.046 (n.s.) → checkout discount −0.266 (p&lt;0.001). Strategy: near-parity shelf, deep promotional triggers at checkout. Sample size acknowledged. Suggestive, not generalizable to other house brands.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Trigger phrase:</w:t>
            </w:r>
            <w:r>
              <w:t xml:space="preserve"> any council question touching this topic — jump here, narrate, then return to a neutral slide.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A4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Per-Category R² Bands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 (Q&amp;A only)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High (&gt;0.6): Dry Food 0.831, Baby 0.753, Dairy 0.688. Middle (0.5–0.6): Fresh Produce 0.539, Spices 0.528, Frozen 0.526. Low (&lt;0.5): Confectionary 0.422, Processed Food 0.395, Instant Food 0.227. Eggs &amp; Tofu (n=24) omitted.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Trigger phrase:</w:t>
            </w:r>
            <w:r>
              <w:t xml:space="preserve"> any council question touching this topic — jump here, narrate, then return to a neutral slide.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A5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Why Jevons, not Laspeyres or Törnqvist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 (Q&amp;A only)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Laspeyres needs base-period expenditure shares; Törnqvist (Diewert 1976 superlative) needs both periods' shares. Web scraping yields prices only — no quantities. Jevons is the CPI-manual-recommended elementary aggregation under matched-model assumption.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Trigger phrase:</w:t>
            </w:r>
            <w:r>
              <w:t xml:space="preserve"> any council question touching this topic — jump here, narrate, then return to a neutral slide.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A6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NLP Pipeline &amp; Brand Dictionary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 (Q&amp;A only)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310+ Vietnamese brand keywords, manually curated; NFC normalization, lowercasing, diacritic-preserving. 9 features: is_branded, is_premium, is_high_recognition, is_import, is_house_brand, ln_pack_size, pack_count, has_health_claim, has_freshness_claim. Misclassification attenuates toward zero.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Trigger phrase:</w:t>
            </w:r>
            <w:r>
              <w:t xml:space="preserve"> any council question touching this topic — jump here, narrate, then return to a neutral slide.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A7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Citations Backbone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 (Q&amp;A only)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Lancaster (1966); Rosen (1974); Ekeland, Heckman &amp; Nesheim (2004); Keller (1993); Aaker (1991); Costanigro &amp; McCluskey (2011); Cavallo (2017); Malpezzi (2002); Diewert (1976); Nelson (1970); Xuan (2021).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Trigger phrase:</w:t>
            </w:r>
            <w:r>
              <w:t xml:space="preserve"> any council question touching this topic — jump here, narrate, then return to a neutral slide.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A8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Decision Tree Predictor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 (Q&amp;A only)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PercentileDecisionTree returns p5/p25/p50/p75/p95 per sample. Adds prediction intervals for inventory/pricing applications, not coefficient interpretation. Complement to OLS, not replacement. Figures: thesis_dt_tree.png, thesis_dt_leaf_intervals.png, thesis_dt_diagnostics.png.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Trigger phrase:</w:t>
            </w:r>
            <w:r>
              <w:t xml:space="preserve"> any council question touching this topic — jump here, narrate, then return to a neutral slide.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A9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Tết Window Treatment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 (Q&amp;A only)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Tết = 17 Feb 2026, inside the data window. Formal event study NOT performed because Confectionary added 2 Feb (no pre-period) and Instant_food has Tết gap. Instead: descriptive Tết-vs-non-Tết brand-gap comparison (output/brand_gap_summary.csv) — significant deltas in Fresh Produce (+42 pp, p=0.021) and Processed Food (−39 pp, p=0.048).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Trigger phrase:</w:t>
            </w:r>
            <w:r>
              <w:t xml:space="preserve"> any council question touching this topic — jump here, narrate, then return to a neutral slide.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46"/>
        <w:gridCol w:w="1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A10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Daily Price Index Time Series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 (Q&amp;A only)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86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  <w:ind w:left="120" w:hanging="120"/>
            </w:pPr>
            <w:r>
              <w:t xml:space="preserve">Overall food index drifted from 1.000 (18 Dec 2025) to ~0.919 by 29 Mar 2026. Staples 0.838 (largest decline). Other-food 0.939. Disinflation is staples-led. Source: output/overall_daily_average_index.csv.</w:t>
            </w:r>
          </w:p>
          <w:p>
            <w:pPr>
              <w:spacing w:after="60"/>
              <w:ind w:left="120" w:hanging="120"/>
            </w:pPr>
            <w:r>
              <w:rPr>
                <w:b/>
                <w:bCs/>
              </w:rPr>
              <w:t xml:space="preserve">Trigger phrase:</w:t>
            </w:r>
            <w:r>
              <w:t xml:space="preserve"> any council question touching this topic — jump here, narrate, then return to a neutral slide.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Timing Discipline Summary</w:t>
      </w:r>
    </w:p>
    <w:p>
      <w:pPr>
        <w:spacing w:after="120"/>
      </w:pPr>
      <w:r>
        <w:t xml:space="preserve">Total target: </w:t>
      </w:r>
      <w:r>
        <w:rPr>
          <w:b/>
          <w:bCs/>
        </w:rPr>
        <w:t xml:space="preserve">15:00</w:t>
      </w:r>
      <w:r>
        <w:t xml:space="preserve">. If the chair signals overrun, skip Slides 12 and 15 and jump straight to Slides 16–17. Practice three full dry runs minimum, with a stopwatch.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2000"/>
        <w:gridCol w:w="334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A — Opening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1–3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2:30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2:30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B — Theory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4–5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1:30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4:00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C — Methodology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6–8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3:00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7:00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D — Results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9–12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5:00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12:00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E — Discussion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13–14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2:00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14:00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F — Closing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15–17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2:00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t xml:space="preserve">16:00 (buffer)</w:t>
            </w:r>
          </w:p>
        </w:tc>
      </w:tr>
    </w:tbl>
    <w:p>
      <w:pPr>
        <w:pStyle w:val="Heading1"/>
      </w:pPr>
      <w:r>
        <w:t xml:space="preserve">Visual Discipline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6×6 rule</w:t>
      </w:r>
      <w:r>
        <w:t xml:space="preserve"> — max 6 lines per slide, max 6 words per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Typography</w:t>
      </w:r>
      <w:r>
        <w:t xml:space="preserve"> — title ≥ 40pt, body ≥ 22pt, single sans-serif font (Arial or Calibri).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Color</w:t>
      </w:r>
      <w:r>
        <w:t xml:space="preserve"> — neutral palette: dark blue (1F3864) for headers, charcoal (404040) for body, accent red ONLY for the erosion slide.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Charts</w:t>
      </w:r>
      <w:r>
        <w:t xml:space="preserve"> — reuse existing thesis figures; do NOT redraw. Strip legends down to what is read aloud.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animations</w:t>
      </w:r>
      <w:r>
        <w:t xml:space="preserve">, no slide transitions beyond plain fade. Vietnamese defenses penalize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Table of Contents slide.</w:t>
      </w:r>
      <w:r>
        <w:t xml:space="preserve"> Section dividers are acceptable but not required.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2026-05-02T16:18:34.932Z</dcterms:created>
  <dcterms:modified xsi:type="dcterms:W3CDTF">2026-05-02T16:18:34.932Z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