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jc w:val="center"/>
      </w:pPr>
      <w:r>
        <w:rPr>
          <w:rFonts w:ascii="Times New Roman" w:cs="Times New Roman" w:eastAsia="Times New Roman" w:hAnsi="Times New Roman"/>
          <w:b/>
          <w:bCs/>
          <w:sz w:val="32"/>
          <w:szCs w:val="32"/>
        </w:rPr>
        <w:t xml:space="preserve">CHAPTER 3</w:t>
      </w:r>
    </w:p>
    <w:p>
      <w:pPr>
        <w:spacing w:after="480"/>
        <w:jc w:val="center"/>
      </w:pPr>
      <w:r>
        <w:rPr>
          <w:rFonts w:ascii="Times New Roman" w:cs="Times New Roman" w:eastAsia="Times New Roman" w:hAnsi="Times New Roman"/>
          <w:b/>
          <w:bCs/>
          <w:sz w:val="32"/>
          <w:szCs w:val="32"/>
        </w:rPr>
        <w:t xml:space="preserve">METHODOLOGY</w:t>
      </w:r>
    </w:p>
    <w:p>
      <w:pPr>
        <w:pStyle w:val="Heading2"/>
      </w:pPr>
      <w:r>
        <w:rPr>
          <w:rFonts w:ascii="Times New Roman" w:cs="Times New Roman" w:eastAsia="Times New Roman" w:hAnsi="Times New Roman"/>
          <w:b/>
          <w:bCs/>
          <w:sz w:val="26"/>
          <w:szCs w:val="26"/>
        </w:rPr>
        <w:t xml:space="preserve">3.1  Model Selection: The Hedonic Price Framework</w:t>
      </w:r>
    </w:p>
    <w:p>
      <w:pPr>
        <w:spacing w:after="120" w:line="360"/>
        <w:ind w:firstLine="720"/>
        <w:jc w:val="both"/>
      </w:pPr>
      <w:r>
        <w:rPr>
          <w:rFonts w:ascii="Times New Roman" w:cs="Times New Roman" w:eastAsia="Times New Roman" w:hAnsi="Times New Roman"/>
          <w:sz w:val="24"/>
          <w:szCs w:val="24"/>
        </w:rPr>
        <w:t xml:space="preserve">Chapter 2 concluded three things that shape the methodology used here. First, hedonic price analysis is the natural framework for recovering attribute-level implicit prices from observed food prices, and the first-stage hedonic function is interpretable as an equilibrium price schedule rather than a structural demand or supply curve. Second, brand equity theory supplies two observable dimensions (recognition and perceived quality) along which any branded premium should vary, and these can be encoded directly into a regression. Third, web-scraped prices from a single multi-channel retailer carry enough information content, and enough insulation from retail-format confounds, to sustain such an analysis. Building on these conclusions, this chapter sets out the specific methodological choices that operationalise a dual-price hedonic design for Vietnamese online grocery data.</w:t>
      </w:r>
    </w:p>
    <w:p>
      <w:pPr>
        <w:spacing w:after="120" w:line="360"/>
        <w:ind w:firstLine="720"/>
        <w:jc w:val="both"/>
      </w:pPr>
      <w:r>
        <w:rPr>
          <w:rFonts w:ascii="Times New Roman" w:cs="Times New Roman" w:eastAsia="Times New Roman" w:hAnsi="Times New Roman"/>
          <w:sz w:val="24"/>
          <w:szCs w:val="24"/>
        </w:rPr>
        <w:t xml:space="preserve">Consistent with the first-stage interpretation established in Chapter 2 (Ekeland, Heckman, and Nesheim, 2004), the coefficients recovered here describe the equilibrium price architecture of Winmart’s online grocery platform: how much more (or less) the market charges for branded versus generic products, imported versus domestic goods, or products carrying health claims versus those without. They are not estimates of consumer willingness-to-pay or retailer cost structures. This distinction carries directly into the dual-price design developed in Section 3.3, which documents how the price architecture shifts between two observable price points rather than estimating a causal mechanism.</w:t>
      </w:r>
    </w:p>
    <w:p>
      <w:pPr>
        <w:spacing w:after="120" w:line="360"/>
        <w:ind w:firstLine="720"/>
        <w:jc w:val="both"/>
      </w:pPr>
      <w:r>
        <w:rPr>
          <w:rFonts w:ascii="Times New Roman" w:cs="Times New Roman" w:eastAsia="Times New Roman" w:hAnsi="Times New Roman"/>
          <w:sz w:val="24"/>
          <w:szCs w:val="24"/>
        </w:rPr>
        <w:t xml:space="preserve">The choice of hedonic regression over competing frameworks reflects the structure of the available data and the nature of the research question. Discrete choice models (multinomial logit, mixed logit) recover willingness-to-pay from observed purchase decisions, but they require information on which product each consumer actually selected from the available alternatives, along with the attributes and prices of the products not chosen. Web-scraped data contains only listed prices and product descriptions. With no purchase quantities, no market shares, and no revealed choice sets, a discrete-choice estimator cannot be identified. The research question also concerns the structure of listed prices rather than consumer substitution patterns, so the welfare advantages of discrete choice do not actually apply here. By contrast, the hedonic framework requires only the information that web-scraped data already supplies: a panel of prices and a vector of product attributes. This alignment between data structure and estimator is the central reason hedonic regression is the right tool for this specific project, not merely a default one.</w:t>
      </w:r>
    </w:p>
    <w:p>
      <w:pPr>
        <w:spacing w:after="120" w:line="360"/>
        <w:ind w:firstLine="720"/>
        <w:jc w:val="both"/>
      </w:pPr>
      <w:r>
        <w:rPr>
          <w:rFonts w:ascii="Times New Roman" w:cs="Times New Roman" w:eastAsia="Times New Roman" w:hAnsi="Times New Roman"/>
          <w:sz w:val="24"/>
          <w:szCs w:val="24"/>
        </w:rPr>
        <w:t xml:space="preserve">Machine learning methods such as random forests and gradient boosting offer a second alternative, and they have attracted considerable attention in applied pricing research for their ability to capture nonlinear interactions and achieve high predictive accuracy. When compared directly with hedonic OLS on prediction benchmarks, the evidence is by now substantial and mostly one-sided. In a systematic review of twenty-three hedonic pricing studies, Valier (2024) found random forest to be the top-performing method in fourteen of them. Similarly, Fonseca, Jardim, and de Castro Neto (2023) ranked random forest above both artificial neural networks and hedonic OLS for Lisbon housing prices, while Hasan, du Preez, and Mare (2025) reported the same ranking for South African fine-art prices against both OLS and convolutional neural networks. Cafarella, Crone, Keaveney, O’Brien, and Tierney (2023) showed that machine-learning hedonic imputation is now viable for official consumer price index construction.</w:t>
      </w:r>
    </w:p>
    <w:p>
      <w:pPr>
        <w:spacing w:after="120" w:line="360"/>
        <w:ind w:firstLine="720"/>
        <w:jc w:val="both"/>
      </w:pPr>
      <w:r>
        <w:rPr>
          <w:rFonts w:ascii="Times New Roman" w:cs="Times New Roman" w:eastAsia="Times New Roman" w:hAnsi="Times New Roman"/>
          <w:sz w:val="24"/>
          <w:szCs w:val="24"/>
        </w:rPr>
        <w:t xml:space="preserve">The same comparative literature, however, draws a sharp line on interpretability. Machine learning wins on predictive accuracy (measured by root mean squared error, mean absolute error, or out-of-sample R-squared) but loses on the stable parametric interpretation of implicit prices that this thesis needs. Knowing that a model predicts prices accurately does not answer whether brand-name premiums survive promotional discounting. That question requires the magnitude, direction, and statistical significance of each attribute’s contribution to price. More importantly, the erosion metric central to this thesis (the change in a coefficient between the marked-price and final-price specifications) is only meaningful when coefficients are on a stable parametric scale that permits direct comparison across two regressions. A random-forest variable-importance score does not share that property: it reflects a model-specific split-reduction metric, not a cardinal implicit price. For the dual-price research question specifically, therefore, hedonic regression is not merely a reasonable default; it is the only framework among those reviewed that produces directly comparable attribute-level coefficients for the marked and final price equations. Machine learning is retained only in a supplementary role in this study: a decision-tree analysis validates the brand positioning typology described in Section 3.4.</w:t>
      </w:r>
    </w:p>
    <w:p>
      <w:pPr>
        <w:pStyle w:val="Heading2"/>
      </w:pPr>
      <w:r>
        <w:rPr>
          <w:rFonts w:ascii="Times New Roman" w:cs="Times New Roman" w:eastAsia="Times New Roman" w:hAnsi="Times New Roman"/>
          <w:b/>
          <w:bCs/>
          <w:sz w:val="26"/>
          <w:szCs w:val="26"/>
        </w:rPr>
        <w:t xml:space="preserve">3.2  Functional Form and Estimation Strategy</w:t>
      </w:r>
    </w:p>
    <w:p>
      <w:pPr>
        <w:spacing w:after="120" w:line="360"/>
        <w:ind w:firstLine="720"/>
        <w:jc w:val="both"/>
      </w:pPr>
      <w:r>
        <w:rPr>
          <w:rFonts w:ascii="Times New Roman" w:cs="Times New Roman" w:eastAsia="Times New Roman" w:hAnsi="Times New Roman"/>
          <w:sz w:val="24"/>
          <w:szCs w:val="24"/>
        </w:rPr>
        <w:t xml:space="preserve">The hedonic price equation takes a log-linear form, with the natural logarithm of the price per standardized unit as the dependent variable. Solid products are standardized to price per 100 grams, liquid products to price per 100 milliliters, and products sold by count (principally eggs) undergo a separate unit normalization procedure that recovers approximately 100 fresh-produce products that would otherwise be excluded. This standardization serves two purposes: it removes mechanical pack-size effects from the price variable, and it ensures that the estimated coefficients can be interpreted directly as approximate percentage premiums or discounts relative to the omitted category.</w:t>
      </w:r>
    </w:p>
    <w:p>
      <w:pPr>
        <w:spacing w:after="120" w:line="360"/>
        <w:ind w:firstLine="720"/>
        <w:jc w:val="both"/>
      </w:pPr>
      <w:r>
        <w:rPr>
          <w:rFonts w:ascii="Times New Roman" w:cs="Times New Roman" w:eastAsia="Times New Roman" w:hAnsi="Times New Roman"/>
          <w:sz w:val="24"/>
          <w:szCs w:val="24"/>
        </w:rPr>
        <w:t xml:space="preserve">The model specification is as follows:</w:t>
      </w:r>
    </w:p>
    <w:p>
      <w:pPr>
        <w:spacing w:after="200" w:before="200" w:line="360"/>
        <w:jc w:val="center"/>
      </w:pPr>
      <w:r>
        <w:rPr>
          <w:rFonts w:ascii="Times New Roman" w:cs="Times New Roman" w:eastAsia="Times New Roman" w:hAnsi="Times New Roman"/>
          <w:i/>
          <w:iCs/>
          <w:sz w:val="24"/>
          <w:szCs w:val="24"/>
        </w:rPr>
        <w:t xml:space="preserve">ln(P/unit) = α + β</w:t>
      </w:r>
      <w:r>
        <w:rPr>
          <w:rFonts w:ascii="Times New Roman" w:cs="Times New Roman" w:eastAsia="Times New Roman" w:hAnsi="Times New Roman"/>
          <w:sz w:val="24"/>
          <w:szCs w:val="24"/>
        </w:rPr>
        <w:t xml:space="preserve">₁</w:t>
      </w:r>
      <w:r>
        <w:rPr>
          <w:rFonts w:ascii="Times New Roman" w:cs="Times New Roman" w:eastAsia="Times New Roman" w:hAnsi="Times New Roman"/>
          <w:i/>
          <w:iCs/>
          <w:sz w:val="24"/>
          <w:szCs w:val="24"/>
        </w:rPr>
        <w:t xml:space="preserve">·is_branded + β</w:t>
      </w:r>
      <w:r>
        <w:rPr>
          <w:rFonts w:ascii="Times New Roman" w:cs="Times New Roman" w:eastAsia="Times New Roman" w:hAnsi="Times New Roman"/>
          <w:sz w:val="24"/>
          <w:szCs w:val="24"/>
        </w:rPr>
        <w:t xml:space="preserve">₂</w:t>
      </w:r>
      <w:r>
        <w:rPr>
          <w:rFonts w:ascii="Times New Roman" w:cs="Times New Roman" w:eastAsia="Times New Roman" w:hAnsi="Times New Roman"/>
          <w:i/>
          <w:iCs/>
          <w:sz w:val="24"/>
          <w:szCs w:val="24"/>
        </w:rPr>
        <w:t xml:space="preserve">·is_premium + β</w:t>
      </w:r>
      <w:r>
        <w:rPr>
          <w:rFonts w:ascii="Times New Roman" w:cs="Times New Roman" w:eastAsia="Times New Roman" w:hAnsi="Times New Roman"/>
          <w:sz w:val="24"/>
          <w:szCs w:val="24"/>
        </w:rPr>
        <w:t xml:space="preserve">₃</w:t>
      </w:r>
      <w:r>
        <w:rPr>
          <w:rFonts w:ascii="Times New Roman" w:cs="Times New Roman" w:eastAsia="Times New Roman" w:hAnsi="Times New Roman"/>
          <w:i/>
          <w:iCs/>
          <w:sz w:val="24"/>
          <w:szCs w:val="24"/>
        </w:rPr>
        <w:t xml:space="preserve">·is_high_recognition + β</w:t>
      </w:r>
      <w:r>
        <w:rPr>
          <w:rFonts w:ascii="Times New Roman" w:cs="Times New Roman" w:eastAsia="Times New Roman" w:hAnsi="Times New Roman"/>
          <w:sz w:val="24"/>
          <w:szCs w:val="24"/>
        </w:rPr>
        <w:t xml:space="preserve">₄</w:t>
      </w:r>
      <w:r>
        <w:rPr>
          <w:rFonts w:ascii="Times New Roman" w:cs="Times New Roman" w:eastAsia="Times New Roman" w:hAnsi="Times New Roman"/>
          <w:i/>
          <w:iCs/>
          <w:sz w:val="24"/>
          <w:szCs w:val="24"/>
        </w:rPr>
        <w:t xml:space="preserve">·is_import + β</w:t>
      </w:r>
      <w:r>
        <w:rPr>
          <w:rFonts w:ascii="Times New Roman" w:cs="Times New Roman" w:eastAsia="Times New Roman" w:hAnsi="Times New Roman"/>
          <w:sz w:val="24"/>
          <w:szCs w:val="24"/>
        </w:rPr>
        <w:t xml:space="preserve">₅</w:t>
      </w:r>
      <w:r>
        <w:rPr>
          <w:rFonts w:ascii="Times New Roman" w:cs="Times New Roman" w:eastAsia="Times New Roman" w:hAnsi="Times New Roman"/>
          <w:i/>
          <w:iCs/>
          <w:sz w:val="24"/>
          <w:szCs w:val="24"/>
        </w:rPr>
        <w:t xml:space="preserve">·is_house_brand + β</w:t>
      </w:r>
      <w:r>
        <w:rPr>
          <w:rFonts w:ascii="Times New Roman" w:cs="Times New Roman" w:eastAsia="Times New Roman" w:hAnsi="Times New Roman"/>
          <w:sz w:val="24"/>
          <w:szCs w:val="24"/>
        </w:rPr>
        <w:t xml:space="preserve">₆</w:t>
      </w:r>
      <w:r>
        <w:rPr>
          <w:rFonts w:ascii="Times New Roman" w:cs="Times New Roman" w:eastAsia="Times New Roman" w:hAnsi="Times New Roman"/>
          <w:i/>
          <w:iCs/>
          <w:sz w:val="24"/>
          <w:szCs w:val="24"/>
        </w:rPr>
        <w:t xml:space="preserve">·ln(pack_size) + β</w:t>
      </w:r>
      <w:r>
        <w:rPr>
          <w:rFonts w:ascii="Times New Roman" w:cs="Times New Roman" w:eastAsia="Times New Roman" w:hAnsi="Times New Roman"/>
          <w:sz w:val="24"/>
          <w:szCs w:val="24"/>
        </w:rPr>
        <w:t xml:space="preserve">₇</w:t>
      </w:r>
      <w:r>
        <w:rPr>
          <w:rFonts w:ascii="Times New Roman" w:cs="Times New Roman" w:eastAsia="Times New Roman" w:hAnsi="Times New Roman"/>
          <w:i/>
          <w:iCs/>
          <w:sz w:val="24"/>
          <w:szCs w:val="24"/>
        </w:rPr>
        <w:t xml:space="preserve">·pack_count + β</w:t>
      </w:r>
      <w:r>
        <w:rPr>
          <w:rFonts w:ascii="Times New Roman" w:cs="Times New Roman" w:eastAsia="Times New Roman" w:hAnsi="Times New Roman"/>
          <w:sz w:val="24"/>
          <w:szCs w:val="24"/>
        </w:rPr>
        <w:t xml:space="preserve">₈</w:t>
      </w:r>
      <w:r>
        <w:rPr>
          <w:rFonts w:ascii="Times New Roman" w:cs="Times New Roman" w:eastAsia="Times New Roman" w:hAnsi="Times New Roman"/>
          <w:i/>
          <w:iCs/>
          <w:sz w:val="24"/>
          <w:szCs w:val="24"/>
        </w:rPr>
        <w:t xml:space="preserve">·has_health_claim + β</w:t>
      </w:r>
      <w:r>
        <w:rPr>
          <w:rFonts w:ascii="Times New Roman" w:cs="Times New Roman" w:eastAsia="Times New Roman" w:hAnsi="Times New Roman"/>
          <w:sz w:val="24"/>
          <w:szCs w:val="24"/>
        </w:rPr>
        <w:t xml:space="preserve">₉</w:t>
      </w:r>
      <w:r>
        <w:rPr>
          <w:rFonts w:ascii="Times New Roman" w:cs="Times New Roman" w:eastAsia="Times New Roman" w:hAnsi="Times New Roman"/>
          <w:i/>
          <w:iCs/>
          <w:sz w:val="24"/>
          <w:szCs w:val="24"/>
        </w:rPr>
        <w:t xml:space="preserve">·has_freshness_claim + β</w:t>
      </w:r>
      <w:r>
        <w:rPr>
          <w:rFonts w:ascii="Times New Roman" w:cs="Times New Roman" w:eastAsia="Times New Roman" w:hAnsi="Times New Roman"/>
          <w:sz w:val="24"/>
          <w:szCs w:val="24"/>
        </w:rPr>
        <w:t xml:space="preserve">₁₀</w:t>
      </w:r>
      <w:r>
        <w:rPr>
          <w:rFonts w:ascii="Times New Roman" w:cs="Times New Roman" w:eastAsia="Times New Roman" w:hAnsi="Times New Roman"/>
          <w:i/>
          <w:iCs/>
          <w:sz w:val="24"/>
          <w:szCs w:val="24"/>
        </w:rPr>
        <w:t xml:space="preserve">·name_length + γ·subcategory_FE + ε</w:t>
      </w:r>
    </w:p>
    <w:p>
      <w:pPr>
        <w:spacing w:after="120" w:line="360"/>
        <w:ind w:firstLine="72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sz w:val="24"/>
          <w:szCs w:val="24"/>
        </w:rPr>
        <w:t xml:space="preserve">ln(P/unit)</w:t>
      </w:r>
      <w:r>
        <w:rPr>
          <w:rFonts w:ascii="Times New Roman" w:cs="Times New Roman" w:eastAsia="Times New Roman" w:hAnsi="Times New Roman"/>
          <w:sz w:val="24"/>
          <w:szCs w:val="24"/>
        </w:rPr>
        <w:t xml:space="preserve"> is the natural logarithm of the price per standardised unit for each product (in grams, millilitres, or count, as appropriate); </w:t>
      </w:r>
      <w:r>
        <w:rPr>
          <w:rFonts w:ascii="Times New Roman" w:cs="Times New Roman" w:eastAsia="Times New Roman" w:hAnsi="Times New Roman"/>
          <w:i/>
          <w:sz w:val="24"/>
          <w:szCs w:val="24"/>
        </w:rPr>
        <w:t xml:space="preserve">α</w:t>
      </w:r>
      <w:r>
        <w:rPr>
          <w:rFonts w:ascii="Times New Roman" w:cs="Times New Roman" w:eastAsia="Times New Roman" w:hAnsi="Times New Roman"/>
          <w:sz w:val="24"/>
          <w:szCs w:val="24"/>
        </w:rPr>
        <w:t xml:space="preserve"> is the intercept, representing the baseline log-price of an unbranded (Generic) product in the reference subcategory; </w:t>
      </w:r>
      <w:r>
        <w:rPr>
          <w:rFonts w:ascii="Times New Roman" w:cs="Times New Roman" w:eastAsia="Times New Roman" w:hAnsi="Times New Roman"/>
          <w:i/>
          <w:sz w:val="24"/>
          <w:szCs w:val="24"/>
        </w:rPr>
        <w:t xml:space="preserve">β₁</w:t>
      </w:r>
      <w:r>
        <w:rPr>
          <w:rFonts w:ascii="Times New Roman" w:cs="Times New Roman" w:eastAsia="Times New Roman" w:hAnsi="Times New Roman"/>
          <w:sz w:val="24"/>
          <w:szCs w:val="24"/>
        </w:rPr>
        <w:t xml:space="preserve"> through </w:t>
      </w:r>
      <w:r>
        <w:rPr>
          <w:rFonts w:ascii="Times New Roman" w:cs="Times New Roman" w:eastAsia="Times New Roman" w:hAnsi="Times New Roman"/>
          <w:i/>
          <w:sz w:val="24"/>
          <w:szCs w:val="24"/>
        </w:rPr>
        <w:t xml:space="preserve">β₁₀</w:t>
      </w:r>
      <w:r>
        <w:rPr>
          <w:rFonts w:ascii="Times New Roman" w:cs="Times New Roman" w:eastAsia="Times New Roman" w:hAnsi="Times New Roman"/>
          <w:sz w:val="24"/>
          <w:szCs w:val="24"/>
        </w:rPr>
        <w:t xml:space="preserve"> are the implicit percentage premiums associated with each of the ten product-level regressors listed in the equation; </w:t>
      </w:r>
      <w:r>
        <w:rPr>
          <w:rFonts w:ascii="Times New Roman" w:cs="Times New Roman" w:eastAsia="Times New Roman" w:hAnsi="Times New Roman"/>
          <w:i/>
          <w:sz w:val="24"/>
          <w:szCs w:val="24"/>
        </w:rPr>
        <w:t xml:space="preserve">γ·subcategory_FE</w:t>
      </w:r>
      <w:r>
        <w:rPr>
          <w:rFonts w:ascii="Times New Roman" w:cs="Times New Roman" w:eastAsia="Times New Roman" w:hAnsi="Times New Roman"/>
          <w:sz w:val="24"/>
          <w:szCs w:val="24"/>
        </w:rPr>
        <w:t xml:space="preserve"> denotes the vector of forty subcategory fixed-effect indicators with their corresponding coefficients, absorbing mean price differences across subcategories; and </w:t>
      </w:r>
      <w:r>
        <w:rPr>
          <w:rFonts w:ascii="Times New Roman" w:cs="Times New Roman" w:eastAsia="Times New Roman" w:hAnsi="Times New Roman"/>
          <w:i/>
          <w:sz w:val="24"/>
          <w:szCs w:val="24"/>
        </w:rPr>
        <w:t xml:space="preserve">ε</w:t>
      </w:r>
      <w:r>
        <w:rPr>
          <w:rFonts w:ascii="Times New Roman" w:cs="Times New Roman" w:eastAsia="Times New Roman" w:hAnsi="Times New Roman"/>
          <w:sz w:val="24"/>
          <w:szCs w:val="24"/>
        </w:rPr>
        <w:t xml:space="preserve"> is the product-level error term.</w:t>
      </w:r>
    </w:p>
    <w:p>
      <w:pPr>
        <w:spacing w:after="120" w:line="360"/>
        <w:ind w:firstLine="720"/>
        <w:jc w:val="both"/>
      </w:pPr>
      <w:r>
        <w:rPr>
          <w:rFonts w:ascii="Times New Roman" w:cs="Times New Roman" w:eastAsia="Times New Roman" w:hAnsi="Times New Roman"/>
          <w:sz w:val="24"/>
          <w:szCs w:val="24"/>
        </w:rPr>
        <w:t xml:space="preserve">The specification includes ten product-level regressors and forty subcategory fixed effects. The product-level variables fall into three groups: brand positioning indicators (is_branded, is_premium, is_high_recognition), product characteristics (is_import, is_house_brand, ln(pack_size), pack_count), and quality signals (has_health_claim, has_freshness_claim, name_length). The construction of brand positioning variables and their hierarchical encoding is detailed in Section 3.4. All product-level features are extracted from product names using a natural language processing pipeline developed for Vietnamese grocery text. The subcategory fixed effects absorb mean price differences across the forty subcategories, so that all coefficients are identified from within-subcategory variation, that is, from comparing products that compete on the same shelf.</w:t>
      </w:r>
    </w:p>
    <w:p>
      <w:pPr>
        <w:spacing w:after="120" w:line="360"/>
        <w:ind w:firstLine="720"/>
        <w:jc w:val="both"/>
      </w:pPr>
      <w:r>
        <w:rPr>
          <w:rFonts w:ascii="Times New Roman" w:cs="Times New Roman" w:eastAsia="Times New Roman" w:hAnsi="Times New Roman"/>
          <w:sz w:val="24"/>
          <w:szCs w:val="24"/>
        </w:rPr>
        <w:t xml:space="preserve">The log-linear functional form is standard in hedonic price analysis (Malpezzi, 2002; Costanigro &amp; McCluskey, 2011) and is consistent with the original Rosen (1974) framework. It accommodates the multiplicative nature of pricing (a brand premium is more naturally expressed as a percentage markup than as a fixed monetary amount), and it produces residuals that are more nearly homoskedastic than those from a linear specification. The log transformation of pack size captures the well-documented nonlinear relationship between package quantity and unit price.</w:t>
      </w:r>
    </w:p>
    <w:p>
      <w:pPr>
        <w:spacing w:after="120" w:line="360"/>
        <w:ind w:firstLine="720"/>
        <w:jc w:val="both"/>
      </w:pPr>
      <w:r>
        <w:rPr>
          <w:rFonts w:ascii="Times New Roman" w:cs="Times New Roman" w:eastAsia="Times New Roman" w:hAnsi="Times New Roman"/>
          <w:sz w:val="24"/>
          <w:szCs w:val="24"/>
        </w:rPr>
        <w:t xml:space="preserve">Estimation proceeds by pooled ordinary least squares with cluster-robust standard errors at the subcategory level, yielding forty clusters. The Breusch-Pagan test rejects the null hypothesis of homoskedasticity (p &lt; 0.01), confirming that conventional standard errors would be unreliable. Clustering at the subcategory level addresses both this heteroskedasticity and the within-subcategory correlation structure: products within the same subcategory share competitive intensity, supplier relationships, seasonal demand patterns, and category-management practices imposed by the retailer. Cluster-robust standard errors absorb these correlated unobservables without requiring explicit modeling of the dependence structure.</w:t>
      </w:r>
    </w:p>
    <w:p>
      <w:pPr>
        <w:spacing w:after="120" w:line="360"/>
        <w:ind w:firstLine="720"/>
        <w:jc w:val="both"/>
      </w:pPr>
      <w:r>
        <w:rPr>
          <w:rFonts w:ascii="Times New Roman" w:cs="Times New Roman" w:eastAsia="Times New Roman" w:hAnsi="Times New Roman"/>
          <w:sz w:val="24"/>
          <w:szCs w:val="24"/>
        </w:rPr>
        <w:t xml:space="preserve">The effective sample consists of approximately 2,203 products after applying two filters. A sparse product filter removes products observed on fewer than seven days (83 products, representing 3.6 percent of the initial catalog), guarding against transient listings and data artifacts that would distort time-averaged prices. A regex-based unit standardization procedure recovers approximately 100 fresh-produce products sold by kilogram with non-standard weight descriptions, products that would otherwise be dropped for lacking a parseable unit field.</w:t>
      </w:r>
    </w:p>
    <w:p>
      <w:pPr>
        <w:spacing w:after="120" w:line="360"/>
        <w:ind w:firstLine="720"/>
        <w:jc w:val="both"/>
      </w:pPr>
      <w:r>
        <w:rPr>
          <w:rFonts w:ascii="Times New Roman" w:cs="Times New Roman" w:eastAsia="Times New Roman" w:hAnsi="Times New Roman"/>
          <w:sz w:val="24"/>
          <w:szCs w:val="24"/>
        </w:rPr>
        <w:t xml:space="preserve">Three alternative estimation strategies were considered, and each was rejected for a reason that ultimately points back to OLS as the right tool for this particular design. The first is the Box-Cox transformation, a family of power transformations that nests both the linear and log-linear specifications as special cases, allowing the data to select the optimal functional form through estimation of a parameter λ. The hedonic literature has debated this choice extensively. Goodman (1978) and Halvorsen and Pollakowski (1981) rejected linear functional forms in favor of Box-Cox, characterizing the linear specification as overly restrictive. However, evidence that Box-Cox materially outperforms the log-linear form is mixed. Cassel and Mendelsohn (1985) cautioned that the goodness-of-fit advantage of the Box-Cox transformation does not translate into better implicit price estimates. Spitzer (1978) and subsequent Monte Carlo work documented that the maximum likelihood estimators underlying Box-Cox exhibit substantial finite-sample bias, with Hessian-based standard errors that are unreliable. Formal specification tests (Davidson &amp; MacKinnon, 1985; Baltagi, 1997) have often failed to reject the log-linear form against Box-Cox alternatives. Beyond these general concerns, the Box-Cox approach introduces a specific complication for the dual-price design of this thesis. If the estimated λ differs between the marked-price and final-price specifications (which is plausible given the different distributional characteristics of sticker and checkout prices), the resulting coefficients would no longer be on the same scale, invalidating the erosion comparison that is central to this analysis. The log-linear form also has the practical advantage of producing directly interpretable percentage-premium coefficients, which the Box-Cox transformation does not guarantee for arbitrary values of λ.</w:t>
      </w:r>
    </w:p>
    <w:p>
      <w:pPr>
        <w:spacing w:after="120" w:line="360"/>
        <w:ind w:firstLine="720"/>
        <w:jc w:val="both"/>
      </w:pPr>
      <w:r>
        <w:rPr>
          <w:rFonts w:ascii="Times New Roman" w:cs="Times New Roman" w:eastAsia="Times New Roman" w:hAnsi="Times New Roman"/>
          <w:sz w:val="24"/>
          <w:szCs w:val="24"/>
        </w:rPr>
        <w:t xml:space="preserve">The second alternative is quantile regression, which estimates the relationship between covariates and the dependent variable at specified points of the conditional distribution, revealing whether attribute premiums differ for products at, say, the 75th percentile of price compared to the 25th percentile. Several studies have demonstrated the value of this approach in hedonic settings. Zietz, Zietz, and Sirmans (2008), Liao and Wang (2012), and Evangelista, Ramalho, and Aragón (2022) all found that ordinary least squares masks substantial heterogeneity in implicit prices across the price distribution, with some housing characteristics changing sign between the lower and upper quantiles. These findings confirm that quantile regression can reveal important distributional patterns that the conditional mean obscures. Nevertheless, quantile regression is better understood as complementary to OLS rather than as a substitute: it reveals which segments of the distribution drive the mean effect, but the mean effect itself remains the relevant summary when the research question concerns average premiums and their aggregate erosion between two price measures. The dual-price design already provides a richer comparison than single-price quantile analysis could deliver, and implementing quantile regression with forty subcategory fixed effects and cluster-robust inference would add substantial computational complexity without advancing the primary analytical objective. Quantile regression could be reported as a robustness check in future extensions but does not replace the OLS headline estimates.</w:t>
      </w:r>
    </w:p>
    <w:p>
      <w:pPr>
        <w:spacing w:after="120" w:line="360"/>
        <w:ind w:firstLine="720"/>
        <w:jc w:val="both"/>
      </w:pPr>
      <w:r>
        <w:rPr>
          <w:rFonts w:ascii="Times New Roman" w:cs="Times New Roman" w:eastAsia="Times New Roman" w:hAnsi="Times New Roman"/>
          <w:sz w:val="24"/>
          <w:szCs w:val="24"/>
        </w:rPr>
        <w:t xml:space="preserve">The third alternative involves panel fixed-effects and random-effects models, which are designed for data that track the same units over time. A product-level fixed-effects specification would control for all time-invariant characteristics of each product (its brand identity, country of origin, health claims, and every other stable attribute). These time-invariant attributes are precisely what the hedonic model seeks to estimate: product-level fixed effects would absorb the very variation that the research question asks to explain. The cross-sectional design, using each product’s time-averaged price over the observation window, is therefore the appropriate framework for asking which attributes explain price differences across products rather than price changes within products. That said, the panel hedonic literature does offer compelling results that deserve acknowledgment. Francke and van de Minne (2021) showed that adding property-level random effects to a hedonic model substantially improves out-of-sample prediction by absorbing time-invariant unobserved heterogeneity. Krsinich (2016) proved that the fixed-effects time-product-dummy (FEWS) index is equivalent to a fully interacted hedonic time-dummy index that includes all price-determining characteristics, even unobserved ones. Benkard and Bajari (2005) derived the bias from ignoring unobserved product characteristics (approximately 1.4 percent per year in their personal computer data) and showed that fixed-effects-style corrections eliminate most of it. The key condition for these approaches is sufficient within-product price variation across time; this direction is a viable extension for future work if panel depth permits it, but the cross-sectional objective of the present study calls for a different identification strategy. Read together, the three alternatives point toward the same conclusion: Box-Cox would break the cross-specification comparability on which the erosion metric depends, quantile regression answers a different question than the one posed here, and panel fixed effects would absorb exactly the attribute variation the hedonic analysis is designed to measure. Pooled OLS with a log-linear specification, subcategory fixed effects, and cluster-robust standard errors is therefore not a methodological default; it is the estimator that preserves the interpretability of coefficients, the comparability of coefficients across the marked-price and final-price equations, and the cross-sectional identification of attribute premiums that the research design requires.</w:t>
      </w:r>
    </w:p>
    <w:p>
      <w:pPr>
        <w:pStyle w:val="Heading2"/>
      </w:pPr>
      <w:r>
        <w:rPr>
          <w:rFonts w:ascii="Times New Roman" w:cs="Times New Roman" w:eastAsia="Times New Roman" w:hAnsi="Times New Roman"/>
          <w:b/>
          <w:bCs/>
          <w:sz w:val="26"/>
          <w:szCs w:val="26"/>
        </w:rPr>
        <w:t xml:space="preserve">3.3  Dual-Price Design</w:t>
      </w:r>
    </w:p>
    <w:p>
      <w:pPr>
        <w:spacing w:after="120" w:line="360"/>
        <w:ind w:firstLine="720"/>
        <w:jc w:val="both"/>
      </w:pPr>
      <w:r>
        <w:rPr>
          <w:rFonts w:ascii="Times New Roman" w:cs="Times New Roman" w:eastAsia="Times New Roman" w:hAnsi="Times New Roman"/>
          <w:sz w:val="24"/>
          <w:szCs w:val="24"/>
        </w:rPr>
        <w:t xml:space="preserve">The methodological contribution of this thesis lies in the dual-price design, which exploits the institutional structure of online grocery pricing to examine how promotional strategies interact with product attribute premiums. Winmart’s online platform publishes two prices for every product simultaneously: a marked price (the sticker or original price displayed to consumers as the reference point) and a final price (the actual checkout price after all applied promotions). When the marked price exceeds the final price, the product is on promotion, and the gap between the two prices represents the observable promotional discount. This dual-price structure is captured at the point of data collection without requiring any matching, imputation, or retrospective identification of promotional events.</w:t>
      </w:r>
    </w:p>
    <w:p>
      <w:pPr>
        <w:spacing w:after="120" w:line="360"/>
        <w:ind w:firstLine="720"/>
        <w:jc w:val="both"/>
      </w:pPr>
      <w:r>
        <w:rPr>
          <w:rFonts w:ascii="Times New Roman" w:cs="Times New Roman" w:eastAsia="Times New Roman" w:hAnsi="Times New Roman"/>
          <w:sz w:val="24"/>
          <w:szCs w:val="24"/>
        </w:rPr>
        <w:t xml:space="preserve">The identical hedonic specification described in Section 3.2 is estimated twice, each time with a different dependent variable. Specification A uses the natural logarithm of the marked price per standardized unit as the dependent variable, recovering what might be termed sticker-price premiums: the implicit attribute valuations that the retailer signals on the shelf. Specification B uses the natural logarithm of the final price per standardized unit, recovering checkout-price premiums: the implicit attribute valuations embedded in what the consumer actually pays. Because both specifications use the same sample of products and the same set of regressors, the resulting coefficient estimates are directly comparable.</w:t>
      </w:r>
    </w:p>
    <w:p>
      <w:pPr>
        <w:spacing w:after="120" w:line="360"/>
        <w:ind w:firstLine="720"/>
        <w:jc w:val="both"/>
      </w:pPr>
      <w:r>
        <w:rPr>
          <w:rFonts w:ascii="Times New Roman" w:cs="Times New Roman" w:eastAsia="Times New Roman" w:hAnsi="Times New Roman"/>
          <w:sz w:val="24"/>
          <w:szCs w:val="24"/>
        </w:rPr>
        <w:t xml:space="preserve">The interpretive logic is straightforward. If a coefficient is larger in Specification A than in Specification B, promotional pricing is eroding that attribute’s premium: the sticker-price signals a larger markup for the attribute than consumers actually pay at checkout. If a coefficient remains stable across the two specifications, the premium survives the promotional cycle intact. If a coefficient is larger in Specification B than in Specification A, promotions are amplifying that attribute’s advantage (an outcome that, while counterintuitive, can arise when the retailer strategically discounts competing products more heavily than the focal attribute group).</w:t>
      </w:r>
    </w:p>
    <w:p>
      <w:pPr>
        <w:spacing w:after="120" w:line="360"/>
        <w:ind w:firstLine="720"/>
        <w:jc w:val="both"/>
      </w:pPr>
      <w:r>
        <w:rPr>
          <w:rFonts w:ascii="Times New Roman" w:cs="Times New Roman" w:eastAsia="Times New Roman" w:hAnsi="Times New Roman"/>
          <w:sz w:val="24"/>
          <w:szCs w:val="24"/>
        </w:rPr>
        <w:t xml:space="preserve">To formalize this comparison, an erosion metric is defined as:</w:t>
      </w:r>
    </w:p>
    <w:p>
      <w:pPr>
        <w:spacing w:after="200" w:before="200" w:line="360"/>
        <w:jc w:val="center"/>
      </w:pPr>
      <w:r>
        <w:rPr>
          <w:rFonts w:ascii="Times New Roman" w:cs="Times New Roman" w:eastAsia="Times New Roman" w:hAnsi="Times New Roman"/>
          <w:i/>
          <w:iCs/>
          <w:sz w:val="24"/>
          <w:szCs w:val="24"/>
        </w:rPr>
        <w:t xml:space="preserve">Erosion (%) = (β</w:t>
      </w:r>
      <w:r>
        <w:rPr>
          <w:rFonts w:ascii="Times New Roman" w:cs="Times New Roman" w:eastAsia="Times New Roman" w:hAnsi="Times New Roman"/>
          <w:i/>
          <w:iCs/>
          <w:sz w:val="20"/>
          <w:szCs w:val="20"/>
          <w:vertAlign w:val="subscript"/>
        </w:rPr>
        <w:t xml:space="preserve">marked</w:t>
      </w:r>
      <w:r>
        <w:rPr>
          <w:rFonts w:ascii="Times New Roman" w:cs="Times New Roman" w:eastAsia="Times New Roman" w:hAnsi="Times New Roman"/>
          <w:i/>
          <w:iCs/>
          <w:sz w:val="24"/>
          <w:szCs w:val="24"/>
        </w:rPr>
        <w:t xml:space="preserve"> − β</w:t>
      </w:r>
      <w:r>
        <w:rPr>
          <w:rFonts w:ascii="Times New Roman" w:cs="Times New Roman" w:eastAsia="Times New Roman" w:hAnsi="Times New Roman"/>
          <w:i/>
          <w:iCs/>
          <w:sz w:val="20"/>
          <w:szCs w:val="20"/>
          <w:vertAlign w:val="subscript"/>
        </w:rPr>
        <w:t xml:space="preserve">final</w:t>
      </w:r>
      <w:r>
        <w:rPr>
          <w:rFonts w:ascii="Times New Roman" w:cs="Times New Roman" w:eastAsia="Times New Roman" w:hAnsi="Times New Roman"/>
          <w:i/>
          <w:iCs/>
          <w:sz w:val="24"/>
          <w:szCs w:val="24"/>
        </w:rPr>
        <w:t xml:space="preserve">) / β</w:t>
      </w:r>
      <w:r>
        <w:rPr>
          <w:rFonts w:ascii="Times New Roman" w:cs="Times New Roman" w:eastAsia="Times New Roman" w:hAnsi="Times New Roman"/>
          <w:i/>
          <w:iCs/>
          <w:sz w:val="20"/>
          <w:szCs w:val="20"/>
          <w:vertAlign w:val="subscript"/>
        </w:rPr>
        <w:t xml:space="preserve">marked</w:t>
      </w:r>
      <w:r>
        <w:rPr>
          <w:rFonts w:ascii="Times New Roman" w:cs="Times New Roman" w:eastAsia="Times New Roman" w:hAnsi="Times New Roman"/>
          <w:i/>
          <w:iCs/>
          <w:sz w:val="24"/>
          <w:szCs w:val="24"/>
        </w:rPr>
        <w:t xml:space="preserve"> × 100</w:t>
      </w:r>
    </w:p>
    <w:p>
      <w:pPr>
        <w:spacing w:after="120" w:line="360"/>
        <w:ind w:firstLine="720"/>
        <w:jc w:val="both"/>
      </w:pPr>
      <w:r>
        <w:rPr>
          <w:rFonts w:ascii="Times New Roman" w:cs="Times New Roman" w:eastAsia="Times New Roman" w:hAnsi="Times New Roman"/>
          <w:sz w:val="24"/>
          <w:szCs w:val="24"/>
        </w:rPr>
        <w:t xml:space="preserve">A positive erosion value indicates that the premium shrinks from shelf to checkout; a negative value indicates that the premium grows. This metric provides a standardised basis for comparing erosion across attributes with different coefficient magnitudes. Chapter 4 reports the estimated erosion values for each attribute and discusses their interpretation.</w:t>
      </w:r>
    </w:p>
    <w:p>
      <w:pPr>
        <w:spacing w:after="120" w:line="360"/>
        <w:ind w:firstLine="720"/>
        <w:jc w:val="both"/>
      </w:pPr>
      <w:r>
        <w:rPr>
          <w:rFonts w:ascii="Times New Roman" w:cs="Times New Roman" w:eastAsia="Times New Roman" w:hAnsi="Times New Roman"/>
          <w:sz w:val="24"/>
          <w:szCs w:val="24"/>
        </w:rPr>
        <w:t xml:space="preserve">A critical framing point must be emphasized. The dual-price design is descriptive, not causal. It documents the observable relationship between product attributes and prices at two stages of the retailer’s pricing pipeline (the price architecture). It does not identify the causal mechanism behind the retailer’s promotional decisions. As Varian (1997) argued in the context of versioning and price discrimination, differential discounting across product tiers reflects strategic retailer choices; the present analysis observes the revealed pricing logic but does not claim to explain why those choices were made. Whether the retailer erodes brand-name premiums as a deliberate traffic-driving strategy, as a response to competitive pressure, or through an algorithmic pricing rule is beyond the scope of what the data can establish.</w:t>
      </w:r>
    </w:p>
    <w:p>
      <w:pPr>
        <w:spacing w:after="120" w:line="360"/>
        <w:ind w:firstLine="720"/>
        <w:jc w:val="both"/>
      </w:pPr>
      <w:r>
        <w:rPr>
          <w:rFonts w:ascii="Times New Roman" w:cs="Times New Roman" w:eastAsia="Times New Roman" w:hAnsi="Times New Roman"/>
          <w:sz w:val="24"/>
          <w:szCs w:val="24"/>
        </w:rPr>
        <w:t xml:space="preserve">The dual-price approach was selected over two alternatives that might appear to address similar questions. The first is a single-price hedonic model, which is the conventional approach in most hedonic studies, estimating attribute premiums using only the checkout price as the dependent variable. This would recover the final-price premiums but provide no information about whether those premiums differ from what the retailer signals at the shelf via the marked price. The central finding of this thesis (that promotional pricing erodes brand-name premiums but not price-tier premiums) depends entirely on the comparison of coefficients across both specifications, a comparison that a single-price model cannot produce. The relevance of incorporating both price measures finds support in the scanner-data literature. Fox and Syed (2016) demonstrated that excluding sale prices from consumer price index construction introduces substantial bias, and that even when sale prices are included, they are systematically under-weighted relative to their economic significance. Silver and Heravi (2001, 2002) made a related argument: matched-model approaches based on single observed prices systematically understate quality-driven price declines relative to hedonic approaches that exploit richer price information. The dual-price design of this study is consistent with this broader lesson: using both shelf and checkout prices recovers information about the discount margin that a single-price specification cannot identify.</w:t>
      </w:r>
    </w:p>
    <w:p>
      <w:pPr>
        <w:spacing w:after="120" w:line="360"/>
        <w:ind w:firstLine="720"/>
        <w:jc w:val="both"/>
      </w:pPr>
      <w:r>
        <w:rPr>
          <w:rFonts w:ascii="Times New Roman" w:cs="Times New Roman" w:eastAsia="Times New Roman" w:hAnsi="Times New Roman"/>
          <w:sz w:val="24"/>
          <w:szCs w:val="24"/>
        </w:rPr>
        <w:t xml:space="preserve">The second alternative is difference-in-differences estimation, a quasi-experimental method that compares the change over time in a treated group to the change in an untreated control group, requiring a clearly defined treatment event with identifiable before-and-after periods and a valid comparison group unaffected by the treatment. The promotional environment at Winmart does not satisfy these requirements. Promotions are applied continuously and heterogeneously across the product catalog, with no identifiable boundary separating a pre-promotion from a post-promotion period for most products. Banzhaf (2019) provides the canonical treatment of difference-in-differences in hedonic settings and establishes that DiD hedonic estimates identify the direct unmediated effect of an attribute change, which serves as a lower bound on the Hicksian equivalent surplus rather than the full marginal willingness-to-pay. Chay and Greenstone (2005) further showed that DiD estimates on observed amenity changes can be biased downward when the treatment is endogenous to pre-existing trends. Difference-in-differences is therefore a cleaner approach for causal identification of a discrete policy or amenity shock, but it is narrower in scope than the dual-price design, which recovers the entire implicit-price schedule for shelf-to-checkout wedges without requiring a specific policy shock for identification. The routine, continuous promotional environment studied here is better suited to the cross-sectional dual-price framework.</w:t>
      </w:r>
    </w:p>
    <w:p>
      <w:pPr>
        <w:pStyle w:val="Heading2"/>
      </w:pPr>
      <w:r>
        <w:rPr>
          <w:rFonts w:ascii="Times New Roman" w:cs="Times New Roman" w:eastAsia="Times New Roman" w:hAnsi="Times New Roman"/>
          <w:b/>
          <w:bCs/>
          <w:sz w:val="26"/>
          <w:szCs w:val="26"/>
        </w:rPr>
        <w:t xml:space="preserve">3.4  Feature Extraction and Brand Positioning Typology</w:t>
      </w:r>
    </w:p>
    <w:p>
      <w:pPr>
        <w:spacing w:after="120" w:line="360"/>
        <w:ind w:firstLine="720"/>
        <w:jc w:val="both"/>
      </w:pPr>
      <w:r>
        <w:rPr>
          <w:rFonts w:ascii="Times New Roman" w:cs="Times New Roman" w:eastAsia="Times New Roman" w:hAnsi="Times New Roman"/>
          <w:sz w:val="24"/>
          <w:szCs w:val="24"/>
        </w:rPr>
        <w:t xml:space="preserve">The hedonic regression requires a set of product-level attributes as regressors, yet the raw data contain only product names, unit descriptions, and prices. All product characteristics used in the analysis are therefore extracted from Vietnamese-language product names through a natural language processing pipeline developed specifically for this study. The pipeline produces nine features: three brand positioning indicators (is_branded, is_premium, is_high_recognition), two product descriptors (is_import, is_house_brand), two physical characteristics (pack_size, pack_count), and two quality signals (has_health_claim, has_freshness_claim). An additional variable, name_length, measured as the character count of the product name, serves as a proxy for product complexity and descriptive richness. Import status is identified through keyword matching for country-of-origin terms and foreign brand indicators in the product name. Health claims are flagged by the presence of nutrition-related keywords (e.g., references to calcium, organic ingredients, or dietary benefits), while freshness claims capture terms signaling short shelf life or natural preservation.</w:t>
      </w:r>
    </w:p>
    <w:p>
      <w:pPr>
        <w:spacing w:after="120" w:line="360"/>
        <w:ind w:firstLine="720"/>
        <w:jc w:val="both"/>
      </w:pPr>
      <w:r>
        <w:rPr>
          <w:rFonts w:ascii="Times New Roman" w:cs="Times New Roman" w:eastAsia="Times New Roman" w:hAnsi="Times New Roman"/>
          <w:sz w:val="24"/>
          <w:szCs w:val="24"/>
        </w:rPr>
        <w:t xml:space="preserve">The brand positioning typology is the most substantive feature engineering decision and requires detailed exposition. Rather than treating brand status as a single binary variable (branded versus unbranded), the present study constructs a four-quadrant classification grounded in two established theoretical dimensions. The first dimension, brand recognition, distinguishes between brands with high consumer awareness and those with low awareness. It is operationalized through substring matching against a curated list of approximately thirty nationally distributed brands in Vietnam (including names such as Vinamilk, TH True Milk, and Dutch Lady), drawing on Keller’s (1993) conceptualization of brand awareness as the foundational dimension of customer-based brand equity. The second dimension, price tier, distinguishes between premium and non-premium positioning. It is operationalized by comparing each product’s time-averaged price to its subcategory median: products priced above the median are classified as premium-tier. This dimension draws on Aaker’s (1991) treatment of perceived quality as a core component of brand equity.</w:t>
      </w:r>
    </w:p>
    <w:p>
      <w:pPr>
        <w:spacing w:after="120" w:line="360"/>
        <w:ind w:firstLine="720"/>
        <w:jc w:val="both"/>
      </w:pPr>
      <w:r>
        <w:rPr>
          <w:rFonts w:ascii="Times New Roman" w:cs="Times New Roman" w:eastAsia="Times New Roman" w:hAnsi="Times New Roman"/>
          <w:sz w:val="24"/>
          <w:szCs w:val="24"/>
        </w:rPr>
        <w:t xml:space="preserve">The intersection of these two dimensions produces four quadrants of branded products, plus a fifth group of unbranded or generic products. Generic products (approximately 705 in the sample) carry no identifiable brand name and serve as the baseline category in all regressions. Local and Value brands (564 products) are branded but exhibit low recognition and below-median pricing; these are regional or lesser-known labels competing primarily on price. Household Giants (565 products) combine high brand recognition with below-median pricing, representing nationally known mass-market brands such as those dominating the dairy and instant noodle categories. Niche Professional brands (308 products) are characterized by low recognition but above-median pricing, capturing specialty, artisanal, or imported products that command premiums through product differentiation rather than brand familiarity. Prestige Leaders (144 products) occupy the top-right quadrant, combining both high recognition and premium pricing.</w:t>
      </w:r>
    </w:p>
    <w:p>
      <w:pPr>
        <w:spacing w:after="120" w:line="360"/>
        <w:ind w:firstLine="720"/>
        <w:jc w:val="both"/>
      </w:pPr>
      <w:r>
        <w:rPr>
          <w:rFonts w:ascii="Times New Roman" w:cs="Times New Roman" w:eastAsia="Times New Roman" w:hAnsi="Times New Roman"/>
          <w:sz w:val="24"/>
          <w:szCs w:val="24"/>
        </w:rPr>
        <w:t xml:space="preserve">The brand variables enter the regression through a hierarchical dummy encoding scheme that is critical for correct interpretation of the coefficients. The hierarchy is constructed so that is_premium equal to one implies is_branded equal to one, and is_high_recognition equal to one likewise implies is_branded equal to one. As a consequence, the regression coefficients are incremental rather than total effects. The coefficient on is_branded captures the premium that a Local and Value brand commands over a generic product, namely the price effect of having any brand identity at all, net of recognition and price-tier positioning. The total premium for a Niche Professional product over a generic equivalent is the sum of the coefficients on is_branded and is_premium. For a Household Giant, it is the sum of is_branded and is_high_recognition. For a Prestige Leader, the total premium is the sum of all three brand coefficients. This encoding decomposes what is conventionally called the “brand premium” into three separable questions: Does carrying any brand name generate a price premium? Does premium positioning add an incremental markup beyond the baseline brand effect? Does high consumer recognition add an incremental markup? A single branded-versus-unbranded dummy variable cannot answer these three questions separately, and the decomposition proves essential for the erosion analysis, where brand-name and price-tier premiums exhibit sharply different responses to promotional pricing.</w:t>
      </w:r>
    </w:p>
    <w:p>
      <w:pPr>
        <w:pStyle w:val="Heading2"/>
      </w:pPr>
      <w:r>
        <w:rPr>
          <w:rFonts w:ascii="Times New Roman" w:cs="Times New Roman" w:eastAsia="Times New Roman" w:hAnsi="Times New Roman"/>
          <w:b/>
          <w:bCs/>
          <w:sz w:val="26"/>
          <w:szCs w:val="26"/>
        </w:rPr>
        <w:t xml:space="preserve">3.5  Price Index Methodology</w:t>
      </w:r>
    </w:p>
    <w:p>
      <w:pPr>
        <w:spacing w:after="120" w:line="360"/>
        <w:ind w:firstLine="720"/>
        <w:jc w:val="both"/>
      </w:pPr>
      <w:r>
        <w:rPr>
          <w:rFonts w:ascii="Times New Roman" w:cs="Times New Roman" w:eastAsia="Times New Roman" w:hAnsi="Times New Roman"/>
          <w:sz w:val="24"/>
          <w:szCs w:val="24"/>
        </w:rPr>
        <w:t xml:space="preserve">Alongside the hedonic analysis, this study constructs daily price indices that serve three concrete functions in the wider project. First, they provide a time-series cross-check on the cross-sectional hedonic estimates: the hedonic regression uses each product’s time-averaged price as a single summary observation, and the daily index shows whether that averaging hides or flattens material price movements over the 88-day window. Second, they support a real-time nowcasting exercise against the official General Statistics Office Consumer Price Index: monthly Jevons changes computed from the web-scraped panel are compared with the published GSO CPI food component to assess whether a web-scraped online index can stand in for the field-collected index at higher frequency. Third, they allow the Tết period (February 17, 2026), which falls inside the observation window, to be tracked explicitly rather than smoothed away, and they separate staple-food inflation (rice, cereals) from the remaining food basket so that pre-Tet stocking pressure and post-Tet pullback can be read off the aggregate indices. The index methodology is therefore complementary to the hedonic regression (it tracks how overall price levels evolve over the 88-day observation period) and feeds directly into the Chapter 4 diagnostics and the Chapter 5 discussion of the Tet period.</w:t>
      </w:r>
    </w:p>
    <w:p>
      <w:pPr>
        <w:spacing w:after="120" w:line="360"/>
        <w:ind w:firstLine="720"/>
        <w:jc w:val="both"/>
      </w:pPr>
      <w:r>
        <w:rPr>
          <w:rFonts w:ascii="Times New Roman" w:cs="Times New Roman" w:eastAsia="Times New Roman" w:hAnsi="Times New Roman"/>
          <w:sz w:val="24"/>
          <w:szCs w:val="24"/>
        </w:rPr>
        <w:t xml:space="preserve">The index is constructed using the Jevons formula, implemented as a chain-linked geometric mean of matched-product price relatives. On each day </w:t>
      </w:r>
      <w:r>
        <w:rPr>
          <w:rFonts w:ascii="Times New Roman" w:cs="Times New Roman" w:eastAsia="Times New Roman" w:hAnsi="Times New Roman"/>
          <w:i/>
          <w:sz w:val="24"/>
          <w:szCs w:val="24"/>
        </w:rPr>
        <w:t xml:space="preserve">t</w:t>
      </w:r>
      <w:r>
        <w:rPr>
          <w:rFonts w:ascii="Times New Roman" w:cs="Times New Roman" w:eastAsia="Times New Roman" w:hAnsi="Times New Roman"/>
          <w:sz w:val="24"/>
          <w:szCs w:val="24"/>
        </w:rPr>
        <w:t xml:space="preserve">, the index value is computed as the previous day’s index multiplied by the geometric mean of the price relative </w:t>
      </w:r>
      <w:r>
        <w:rPr>
          <w:rFonts w:ascii="Times New Roman" w:cs="Times New Roman" w:eastAsia="Times New Roman" w:hAnsi="Times New Roman"/>
          <w:i/>
          <w:sz w:val="24"/>
          <w:szCs w:val="24"/>
        </w:rPr>
        <w:t xml:space="preserve">P</w:t>
      </w:r>
      <w:r>
        <w:rPr>
          <w:rFonts w:ascii="Times New Roman" w:cs="Times New Roman" w:eastAsia="Times New Roman" w:hAnsi="Times New Roman"/>
          <w:i/>
          <w:sz w:val="24"/>
          <w:szCs w:val="24"/>
          <w:vertAlign w:val="subscript"/>
        </w:rPr>
        <w:t xml:space="preserve">i,t</w:t>
      </w:r>
      <w:r>
        <w:rPr>
          <w:rFonts w:ascii="Times New Roman" w:cs="Times New Roman" w:eastAsia="Times New Roman" w:hAnsi="Times New Roman"/>
          <w:sz w:val="24"/>
          <w:szCs w:val="24"/>
        </w:rPr>
        <w:t xml:space="preserve"> / </w:t>
      </w:r>
      <w:r>
        <w:rPr>
          <w:rFonts w:ascii="Times New Roman" w:cs="Times New Roman" w:eastAsia="Times New Roman" w:hAnsi="Times New Roman"/>
          <w:i/>
          <w:sz w:val="24"/>
          <w:szCs w:val="24"/>
        </w:rPr>
        <w:t xml:space="preserve">P</w:t>
      </w:r>
      <w:r>
        <w:rPr>
          <w:rFonts w:ascii="Times New Roman" w:cs="Times New Roman" w:eastAsia="Times New Roman" w:hAnsi="Times New Roman"/>
          <w:i/>
          <w:sz w:val="24"/>
          <w:szCs w:val="24"/>
          <w:vertAlign w:val="subscript"/>
        </w:rPr>
        <w:t xml:space="preserve">i,t−1</w:t>
      </w:r>
      <w:r>
        <w:rPr>
          <w:rFonts w:ascii="Times New Roman" w:cs="Times New Roman" w:eastAsia="Times New Roman" w:hAnsi="Times New Roman"/>
          <w:sz w:val="24"/>
          <w:szCs w:val="24"/>
        </w:rPr>
        <w:t xml:space="preserve"> taken across all products </w:t>
      </w:r>
      <w:r>
        <w:rPr>
          <w:rFonts w:ascii="Times New Roman" w:cs="Times New Roman" w:eastAsia="Times New Roman" w:hAnsi="Times New Roman"/>
          <w:i/>
          <w:sz w:val="24"/>
          <w:szCs w:val="24"/>
        </w:rPr>
        <w:t xml:space="preserve">i</w:t>
      </w:r>
      <w:r>
        <w:rPr>
          <w:rFonts w:ascii="Times New Roman" w:cs="Times New Roman" w:eastAsia="Times New Roman" w:hAnsi="Times New Roman"/>
          <w:sz w:val="24"/>
          <w:szCs w:val="24"/>
        </w:rPr>
        <w:t xml:space="preserve"> observed on both days </w:t>
      </w:r>
      <w:r>
        <w:rPr>
          <w:rFonts w:ascii="Times New Roman" w:cs="Times New Roman" w:eastAsia="Times New Roman" w:hAnsi="Times New Roman"/>
          <w:i/>
          <w:sz w:val="24"/>
          <w:szCs w:val="24"/>
        </w:rPr>
        <w:t xml:space="preserve">t</w:t>
      </w:r>
      <w:r>
        <w:rPr>
          <w:rFonts w:ascii="Times New Roman" w:cs="Times New Roman" w:eastAsia="Times New Roman" w:hAnsi="Times New Roman"/>
          <w:sz w:val="24"/>
          <w:szCs w:val="24"/>
        </w:rPr>
        <w:t xml:space="preserve"> and </w:t>
      </w:r>
      <w:r>
        <w:rPr>
          <w:rFonts w:ascii="Times New Roman" w:cs="Times New Roman" w:eastAsia="Times New Roman" w:hAnsi="Times New Roman"/>
          <w:i/>
          <w:sz w:val="24"/>
          <w:szCs w:val="24"/>
        </w:rPr>
        <w:t xml:space="preserve">t−1</w:t>
      </w:r>
      <w:r>
        <w:rPr>
          <w:rFonts w:ascii="Times New Roman" w:cs="Times New Roman" w:eastAsia="Times New Roman" w:hAnsi="Times New Roman"/>
          <w:sz w:val="24"/>
          <w:szCs w:val="24"/>
        </w:rPr>
        <w:t xml:space="preserve">. Products listed on only one of the two days are excluded from that day’s link, so that the index reflects genuine price changes rather than compositional shifts in the product catalogue. The base date is December 18, 2025, with an index value of 1.0. This chain-linking approach accommodates the dynamic product catalogue characteristic of online grocery platforms, where products are frequently added, removed, or relisted.</w:t>
      </w:r>
    </w:p>
    <w:p>
      <w:pPr>
        <w:spacing w:after="120" w:line="360"/>
        <w:ind w:firstLine="720"/>
        <w:jc w:val="both"/>
      </w:pPr>
      <w:r>
        <w:rPr>
          <w:rFonts w:ascii="Times New Roman" w:cs="Times New Roman" w:eastAsia="Times New Roman" w:hAnsi="Times New Roman"/>
          <w:sz w:val="24"/>
          <w:szCs w:val="24"/>
        </w:rPr>
        <w:t xml:space="preserve">The Jevons index was selected over two weighted alternatives, and the choice is grounded in both data constraints and the empirical properties of alternative formulas. The Laspeyres index is a fixed-basket price index that weights each product’s price change by its expenditure share in a base period, reflecting the economic importance of each product in the consumer’s budget. Most official consumer price indices are constructed using Laspeyres or Laspeyres-type formulas. However, the Laspeyres approach requires base-period expenditure data (specifically, how much of each product consumers purchased or how much they spent on it), which web-scraped data does not contain. Beyond this data constraint, the empirical literature has documented systematic upward bias in the Laspeyres formula at the elementary aggregation level. Silver (2010), in a European Central Bank working paper examining ten countries, found that Laspeyres exhibits the highest bias among common elementary indices, substantially above Jevons, a finding attributed to elementary-level substitution bias. Armknecht and Silver (2012) and the IMF Consumer Price Index Manual reached the same conclusion: since the Boskin Commission report of 1996, the professional consensus has favored Jevons over Laspeyres-type arithmetic averages at the elementary level, because the Jevons formula implicitly allows for substitution behavior while the Laspeyres formula holds base-period quantities fixed. The United Kingdom Office for National Statistics (2025), in a study using scanner data, confirmed that the Laspeyres formula systematically exceeds the Fisher ideal index, while the Jevons formula is symmetrically distributed around Fisher: Jevons approximates superlative indices more closely in practice. The Laspeyres formula is therefore rejected both on data-availability grounds and on the basis of its documented upward bias at the elementary level.</w:t>
      </w:r>
    </w:p>
    <w:p>
      <w:pPr>
        <w:spacing w:after="120" w:line="360"/>
        <w:ind w:firstLine="720"/>
        <w:jc w:val="both"/>
      </w:pPr>
      <w:r>
        <w:rPr>
          <w:rFonts w:ascii="Times New Roman" w:cs="Times New Roman" w:eastAsia="Times New Roman" w:hAnsi="Times New Roman"/>
          <w:sz w:val="24"/>
          <w:szCs w:val="24"/>
        </w:rPr>
        <w:t xml:space="preserve">The Törnqvist index, which uses the geometric mean of base-period and current-period expenditure shares as weights, is theoretically superior to Jevons: Diewert (1976) proved that it is superlative, while Jevons is not. The practical barrier in this study, however, is that expenditure weights are simply unavailable. Web-scraped data contains listed prices and no information on quantities sold or total consumer expenditure, so any weighted formula is infeasible at the product level. The Jevons index is therefore retained as the elementary-aggregation fallback recommended by the CPI Manual when expenditure weights cannot be obtained (Cavallo, 2017). The welfare cost of this choice, and its implications for interpreting the nowcasting comparison against the official CPI, are discussed as a limitation in Chapter 5.</w:t>
      </w:r>
    </w:p>
    <w:p>
      <w:pPr>
        <w:spacing w:after="120" w:line="360"/>
        <w:ind w:firstLine="720"/>
        <w:jc w:val="both"/>
      </w:pPr>
      <w:r>
        <w:rPr>
          <w:rFonts w:ascii="Times New Roman" w:cs="Times New Roman" w:eastAsia="Times New Roman" w:hAnsi="Times New Roman"/>
          <w:sz w:val="24"/>
          <w:szCs w:val="24"/>
        </w:rPr>
        <w:t xml:space="preserve">The subcategory-level Jevons indices are aggregated into three composite indices. The staples index covers two subcategories from the Dry Food category: rice and dried agricultural products (Gạo-Nông Sản Khô) and cereals and oats (Ngũ Cốc-Yến Mạch). The other-food index encompasses all remaining subcategories, including infant formula (Sữa Bột-Dinh Dưỡng) from the Baby Product category, but excluding the non-food baby product subcategories. The overall index is computed as the geometric mean of the staples and other-food indices. This two-tier aggregation separates the price dynamics of staple grains (which are subject to distinct supply-chain and policy influences) from the broader food basket, allowing for a more nuanced reading of aggregate price trends.</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Chapter 3: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2026-04-13T07:19:16.103Z</dcterms:created>
  <dcterms:modified xsi:type="dcterms:W3CDTF">2026-04-13T07:19:16.104Z</dcterms:modified>
</cp:coreProperties>
</file>

<file path=docProps/custom.xml><?xml version="1.0" encoding="utf-8"?>
<Properties xmlns="http://schemas.openxmlformats.org/officeDocument/2006/custom-properties" xmlns:vt="http://schemas.openxmlformats.org/officeDocument/2006/docPropsVTypes"/>
</file>