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sz w:val="32"/>
          <w:szCs w:val="32"/>
        </w:rPr>
        <w:t xml:space="preserve">Chapter 5</w:t>
      </w:r>
    </w:p>
    <w:p>
      <w:pPr>
        <w:pStyle w:val="Heading1"/>
        <w:spacing w:after="240" w:before="120"/>
        <w:jc w:val="center"/>
      </w:pPr>
      <w:r>
        <w:rPr>
          <w:rFonts w:ascii="Times New Roman" w:cs="Times New Roman" w:eastAsia="Times New Roman" w:hAnsi="Times New Roman"/>
          <w:b/>
          <w:bCs/>
          <w:sz w:val="32"/>
          <w:szCs w:val="32"/>
        </w:rPr>
        <w:t xml:space="preserve">Conclusions and Recommendations</w:t>
      </w:r>
    </w:p>
    <w:p>
      <w:pPr>
        <w:spacing w:after="120" w:line="360"/>
        <w:ind w:firstLine="720"/>
        <w:jc w:val="both"/>
      </w:pPr>
      <w:r>
        <w:rPr>
          <w:rFonts w:ascii="Times New Roman" w:cs="Times New Roman" w:eastAsia="Times New Roman" w:hAnsi="Times New Roman"/>
          <w:sz w:val="24"/>
          <w:szCs w:val="24"/>
        </w:rPr>
        <w:t xml:space="preserve">This chapter closes the thesis. A brief reminder of the context is useful before the discussion begins. The project was prompted by a concrete observation about Vietnamese online grocery pricing: near-equivalent food items on Winmart’s platform routinely carry markedly different prices, and most items display two prices simultaneously, a sticker (marked) price and a checkout (final) price, with the gap between them varying from category to category. That pattern raised two linked research questions: which product attributes generate price premiums in Vietnamese online grocery, and to what extent do promotional pricing strategies erode those premiums between sticker and checkout? The earlier chapters developed the hedonic framework, the dual-price design, the feature-extraction pipeline, and the per-category empirical evidence that together answer those questions. This chapter brings the pieces together. Section 5.1 discusses the substantive interpretation of the findings, Section 5.2 sets out the limitations, Section 5.3 states the conclusions, and Section 5.4 offers practical recommendations for consumers, businesses, public policy, and future research.</w:t>
      </w:r>
    </w:p>
    <w:p>
      <w:pPr>
        <w:spacing w:after="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80" w:before="360"/>
      </w:pPr>
      <w:r>
        <w:rPr>
          <w:rFonts w:ascii="Times New Roman" w:cs="Times New Roman" w:eastAsia="Times New Roman" w:hAnsi="Times New Roman"/>
          <w:b/>
          <w:bCs/>
          <w:sz w:val="26"/>
          <w:szCs w:val="26"/>
        </w:rPr>
        <w:t xml:space="preserve">5.1  Discussion</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first question the discussion must settle is why price-tier positioning produces the largest and most resilient attribute premium in the regression. The pattern admits a coherent economic interpretation. The is_premium coefficient of 0.43–0.44 log-points represents a 43–44 percent markup over non-premium branded products, and its near-zero erosion between marked and final prices (−1.7 percent) indicates that the retailer preserves this premium through the promotional cycle rather than discounting it away. This pattern is consistent with Varian’s (1997) versioning framework: a retailer serving consumers with heterogeneous willingness-to-pay has an economic interest in maintaining distinct price tiers, because the premium tier’s value to quality-seeking shoppers depends on its contrast with discounted alternatives. Discounting premium products would collapse the very signal that justifies premium margins.</w:t>
      </w:r>
    </w:p>
    <w:p>
      <w:pPr>
        <w:spacing w:after="120" w:line="360"/>
        <w:ind/>
        <w:jc w:val="both"/>
      </w:pPr>
      <w:r>
        <w:rPr>
          <w:rFonts w:ascii="Times New Roman" w:cs="Times New Roman" w:eastAsia="Times New Roman" w:hAnsi="Times New Roman"/>
          <w:b w:val="false"/>
          <w:bCs w:val="false"/>
          <w:i w:val="false"/>
          <w:iCs w:val="false"/>
          <w:sz w:val="24"/>
          <w:szCs w:val="24"/>
        </w:rPr>
        <w:t xml:space="preserve">Taken together with that versioning logic, premium positioning in this market reflects genuine product differentiation, higher-quality ingredients, imported inputs, specialised packaging, or niche brand identity, rather than a mere labelling effect. The retailer has little reason to erode these attributes through promotional pricing, since doing so would undermine its ability to extract premium margins from the segment of consumers who select products based on perceived quality rather than price alone. The near-zero erosion is therefore not incidental: it reflects a deliberate pricing discipline applied to the premium segment, and it is the mirror image of the brand-name behaviour examined in the next paragraph.</w:t>
      </w:r>
    </w:p>
    <w:p>
      <w:pPr>
        <w:spacing w:after="120" w:line="360"/>
        <w:ind/>
        <w:jc w:val="both"/>
      </w:pPr>
      <w:r>
        <w:rPr>
          <w:rFonts w:ascii="Times New Roman" w:cs="Times New Roman" w:eastAsia="Times New Roman" w:hAnsi="Times New Roman"/>
          <w:b w:val="false"/>
          <w:bCs w:val="false"/>
          <w:i w:val="false"/>
          <w:iCs w:val="false"/>
          <w:sz w:val="24"/>
          <w:szCs w:val="24"/>
        </w:rPr>
        <w:t xml:space="preserve">If price-tier positioning behaves as a protected premium, the brand-name signal behaves in almost the opposite way. The is_branded coefficient is small (0.02 log-points in the marked-price specification) and statistically insignificant, and what little premium exists loses half its magnitude at checkout (50.6 percent erosion). This pattern becomes intelligible through the lens of the four-quadrant brand typology introduced in Chapter 3. Brand recognition without premium positioning places a product in the Household Giant quadrant: well-known, widely distributed, but priced at or below the subcategory median. These are precisely the products that retailers deploy as promotional vehicles: a familiar brand name on a discounted product attracts consumer attention and drives store traffic, a logic well established in the retail pricing literature.</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mechanism behind that traffic-driving pattern is supplied by Keller’s (1993) customer-based brand equity framework. Brand awareness facilitates retrieval and recognition at the point of purchase, making high-awareness brands effective promotional anchors even when the underlying brand-name premium in prices is modest. The retailer does not need these brands to carry large shelf premiums; their promotional value lies in their recognizability, which draws consumers into the store or onto the platform. The 50.6 percent erosion thus reflects a traffic-driving strategy in which brand-name recognition is leveraged for promotional salience rather than preserved as a price-tier signal.</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same pattern, pushed to its extreme, produces the most striking promotional finding in the dataset: WinEco, Winmart’s house brand. The 476 percent erosion (from a modest −4.6 percent sticker discount to a −26.6 percent checkout discount relative to non-house-brand products) reveals a private-label pricing strategy of some sophistication. By maintaining near-parity sticker prices, WinEco avoids the shelf-price stigma that has historically limited the appeal of discount private labels. Consumers browsing the platform encounter WinEco products priced comparably to national brands and close to typical prices in traditional wet markets; the posted discount on WinEco, though visible alongside the marked price on the product listing, is substantially deeper than on comparably priced national brands, so WinEco’s shelf position looks ordinary while the transacted price is aggressively low. This sticker-to-checkout transformation suggests that Winmart deploys WinEco promotions as loss-leaders or category anchors, leveraging the house brand’s zero acquisition cost to offer the deepest discounts in the promotional mix without signaling low quality on the shelf.</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per-category results in Section 4.5 make clear that these pooled patterns are averages over very different category-level realities. Two per-category findings deserve particular discussion. First, the import premium in fresh produce reaches 100.4 percent (effectively doubling the price) while in processed food import origin carries a </w:t>
      </w:r>
      <w:r>
        <w:rPr>
          <w:rFonts w:ascii="Times New Roman" w:cs="Times New Roman" w:eastAsia="Times New Roman" w:hAnsi="Times New Roman"/>
          <w:b w:val="false"/>
          <w:bCs w:val="false"/>
          <w:i/>
          <w:iCs/>
          <w:sz w:val="24"/>
          <w:szCs w:val="24"/>
        </w:rPr>
        <w:t xml:space="preserve">negative</w:t>
      </w:r>
      <w:r>
        <w:rPr>
          <w:rFonts w:ascii="Times New Roman" w:cs="Times New Roman" w:eastAsia="Times New Roman" w:hAnsi="Times New Roman"/>
          <w:b w:val="false"/>
          <w:bCs w:val="false"/>
          <w:i w:val="false"/>
          <w:iCs w:val="false"/>
          <w:sz w:val="24"/>
          <w:szCs w:val="24"/>
        </w:rPr>
        <w:t xml:space="preserve"> premium of −60.8 percent. The fresh produce result is consistent with Mergenthaler et al.’s (2009) finding that Vietnamese consumers express a 60 percent willingness-to-pay premium for low-residue attributes in fruits and vegetables, a category where food safety concerns are especially salient. Imported fresh produce signals both quality and safety assurance in a market where domestic supply chains are perceived as having less consistent residue controls. The negative import premium in processed food, by contrast, reflects the dominance of well-established domestic brands in that category: imported alternatives lack the local brand equity that commands a premium, and may in fact signal unfamiliarity rather than quality.</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second per-category finding concerns health claims, which carry statistically significant premiums only in spices (+38.2 percent, p = 0.03) and fresh produce: categories where food-safety and chemical-residue concerns are most salient to Vietnamese consumers. In snack foods, frozen products, or confectionary, health claims do not generate measurable premiums. This category-specific pattern aligns with Bell et al.’s (2021) finding that food values in peri-urban Hanoi vary by product category, with stronger quality and safety concerns for primary cooking ingredients than for processed convenience foods. The implication is that credence attributes are not uniformly valued; their premium depends on the product context in which they appear.</w:t>
      </w:r>
    </w:p>
    <w:p>
      <w:pPr>
        <w:spacing w:after="120" w:line="360"/>
        <w:ind/>
        <w:jc w:val="both"/>
      </w:pPr>
      <w:r>
        <w:rPr>
          <w:rFonts w:ascii="Times New Roman" w:cs="Times New Roman" w:eastAsia="Times New Roman" w:hAnsi="Times New Roman"/>
          <w:b w:val="false"/>
          <w:bCs w:val="false"/>
          <w:i w:val="false"/>
          <w:iCs w:val="false"/>
          <w:sz w:val="24"/>
          <w:szCs w:val="24"/>
        </w:rPr>
        <w:t xml:space="preserve">A final result that is directly relevant to the recommendations in Section 5.4 concerns pack-size economies. The ln_pack_size coefficient (β ≈ −0.39, p &lt; 0.001 in both specifications) indicates that a 10 percent increase in pack size reduces unit price by approximately 3.8 percent (a substantial scale economy). More importantly, this premium erodes by only 2.8 percent between marked and final prices, making pack-size savings among the most promotion-resistant attributes in the model. Physical product characteristics, unlike brand signals, are not targets of promotional strategy; the retailer has no reason to selectively discount larger pack sizes relative to smaller ones. This stability sets pack-size economies apart from brand-name premiums and underscores the value of unit-price comparison as a consumer decision tool.</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observation window spans Tết Nguyên Đán 2026 (February 17), Vietnam’s most significant consumption event, and the treatment of Tết in this thesis deserves a final note. A formal Tết event study is precluded by data gaps in the two most Tết-sensitive categories, Confectionary (cold start, no pre-Tết baseline) and Instant Food (mid-February gap), the temporal stability of brand premiums across this period can be assessed for the remaining eight categories through the three-month snapshot robustness check reported in Section 4.7. The consistency of estimates across monthly sub-windows suggests that the cross-sectional hedonic coefficients are not artifacts of a single seasonal pricing regime. If anything, the data window, which spans pre-Tết stockpiling, the holiday itself, and post-Tết normalisation, may produce more representative average premiums than a non-holiday window would, since prices are averaged across the full cycle rather than capturing any single moment in it.</w:t>
      </w:r>
    </w:p>
    <w:p>
      <w:pPr>
        <w:pStyle w:val="Heading2"/>
        <w:spacing w:after="180" w:before="360"/>
      </w:pPr>
      <w:r>
        <w:rPr>
          <w:rFonts w:ascii="Times New Roman" w:cs="Times New Roman" w:eastAsia="Times New Roman" w:hAnsi="Times New Roman"/>
          <w:b/>
          <w:bCs/>
          <w:sz w:val="26"/>
          <w:szCs w:val="26"/>
        </w:rPr>
        <w:t xml:space="preserve">5.2  Limitations</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results reported above rest on several choices, some imposed by the data and some made by design, and each of those choices limits how far the findings can be pushed. This section sets out the limitations that matter most for interpreting the conclusions in Section 5.3 and the recommendations in Section 5.4, and, where useful, points to the extensions that would address them.</w:t>
      </w:r>
    </w:p>
    <w:p>
      <w:pPr>
        <w:spacing w:after="120" w:line="360"/>
        <w:ind/>
        <w:jc w:val="both"/>
      </w:pPr>
      <w:r>
        <w:rPr>
          <w:rFonts w:ascii="Times New Roman" w:cs="Times New Roman" w:eastAsia="Times New Roman" w:hAnsi="Times New Roman"/>
          <w:b/>
          <w:bCs/>
          <w:i w:val="false"/>
          <w:iCs w:val="false"/>
          <w:sz w:val="24"/>
          <w:szCs w:val="24"/>
        </w:rPr>
        <w:t xml:space="preserve">Single-retailer external validity.</w:t>
      </w:r>
      <w:r>
        <w:rPr>
          <w:rFonts w:ascii="Times New Roman" w:cs="Times New Roman" w:eastAsia="Times New Roman" w:hAnsi="Times New Roman"/>
          <w:b w:val="false"/>
          <w:bCs w:val="false"/>
          <w:i w:val="false"/>
          <w:iCs w:val="false"/>
          <w:sz w:val="24"/>
          <w:szCs w:val="24"/>
        </w:rPr>
        <w:t xml:space="preserve">  All findings are specific to Winmart’s online channel and cannot be generalized to the Vietnamese food retail sector as a whole. Winmart occupies a mid-market position in Vietnam’s modern trade segment; premium retailers such as Annam Gourmet, discount-oriented chains such as Bách Hóa Xanh, and traditional wet markets would likely exhibit different premium structures and promotional strategies. The product assortment on Winmart’s platform over-represents branded and packaged goods relative to traditional trade channels, where unbranded fresh produce and bulk staples dominate. Whether the attribute premiums identified here reflect retailer-specific pricing decisions or broader market-level consumer valuations remains an open question that multi-retailer studies could resolve.</w:t>
      </w:r>
    </w:p>
    <w:p>
      <w:pPr>
        <w:spacing w:after="120" w:line="360"/>
        <w:ind/>
        <w:jc w:val="both"/>
      </w:pPr>
      <w:r>
        <w:rPr>
          <w:rFonts w:ascii="Times New Roman" w:cs="Times New Roman" w:eastAsia="Times New Roman" w:hAnsi="Times New Roman"/>
          <w:b/>
          <w:bCs/>
          <w:i w:val="false"/>
          <w:iCs w:val="false"/>
          <w:sz w:val="24"/>
          <w:szCs w:val="24"/>
        </w:rPr>
        <w:t xml:space="preserve">NLP proxy quality.</w:t>
      </w:r>
      <w:r>
        <w:rPr>
          <w:rFonts w:ascii="Times New Roman" w:cs="Times New Roman" w:eastAsia="Times New Roman" w:hAnsi="Times New Roman"/>
          <w:b w:val="false"/>
          <w:bCs w:val="false"/>
          <w:i w:val="false"/>
          <w:iCs w:val="false"/>
          <w:sz w:val="24"/>
          <w:szCs w:val="24"/>
        </w:rPr>
        <w:t xml:space="preserve">  Brand identification and feature extraction from product name strings are inherently imperfect. The 310-keyword dictionary may miss brands that use non-standard spellings or that entered the market after the dictionary was compiled; some products may be misclassified due to ambiguous naming conventions. The four-quadrant brand typology depends on the accuracy of both the brand list (for is_branded and is_high_recognition) and the within-subcategory price ranking (for is_premium). Validation of the NLP outputs against a manually coded subsample would strengthen confidence in classification accuracy, particularly for the is_premium variable, whose definition partially overlaps with the price-based dependent variable.</w:t>
      </w:r>
    </w:p>
    <w:p>
      <w:pPr>
        <w:spacing w:after="120" w:line="360"/>
        <w:ind/>
        <w:jc w:val="both"/>
      </w:pPr>
      <w:r>
        <w:rPr>
          <w:rFonts w:ascii="Times New Roman" w:cs="Times New Roman" w:eastAsia="Times New Roman" w:hAnsi="Times New Roman"/>
          <w:b/>
          <w:bCs/>
          <w:i w:val="false"/>
          <w:iCs w:val="false"/>
          <w:sz w:val="24"/>
          <w:szCs w:val="24"/>
        </w:rPr>
        <w:t xml:space="preserve">Dynamic catalog and survivorship.</w:t>
      </w:r>
      <w:r>
        <w:rPr>
          <w:rFonts w:ascii="Times New Roman" w:cs="Times New Roman" w:eastAsia="Times New Roman" w:hAnsi="Times New Roman"/>
          <w:b w:val="false"/>
          <w:bCs w:val="false"/>
          <w:i w:val="false"/>
          <w:iCs w:val="false"/>
          <w:sz w:val="24"/>
          <w:szCs w:val="24"/>
        </w:rPr>
        <w:t xml:space="preserve">  Products entering and exiting the Winmart catalog across the 88-day window may introduce survivorship bias. Products that are discontinued mid-window have fewer observations and may be filtered by the sparse-product threshold, potentially excluding product types that Winmart withdraws from active promotion. The days_observed control variable partially addresses observation-length heterogeneity but cannot fully correct for selection bias in which products remain in the catalog long enough to be included in the regression sample.</w:t>
      </w:r>
    </w:p>
    <w:p>
      <w:pPr>
        <w:spacing w:after="120" w:line="360"/>
        <w:ind/>
        <w:jc w:val="both"/>
      </w:pPr>
      <w:r>
        <w:rPr>
          <w:rFonts w:ascii="Times New Roman" w:cs="Times New Roman" w:eastAsia="Times New Roman" w:hAnsi="Times New Roman"/>
          <w:b/>
          <w:bCs/>
          <w:i w:val="false"/>
          <w:iCs w:val="false"/>
          <w:sz w:val="24"/>
          <w:szCs w:val="24"/>
        </w:rPr>
        <w:t xml:space="preserve">No transaction volumes or demand data.</w:t>
      </w:r>
      <w:r>
        <w:rPr>
          <w:rFonts w:ascii="Times New Roman" w:cs="Times New Roman" w:eastAsia="Times New Roman" w:hAnsi="Times New Roman"/>
          <w:b w:val="false"/>
          <w:bCs w:val="false"/>
          <w:i w:val="false"/>
          <w:iCs w:val="false"/>
          <w:sz w:val="24"/>
          <w:szCs w:val="24"/>
        </w:rPr>
        <w:t xml:space="preserve">  The study describes the retailer’s pricing architecture, not consumer response to it. Without quantity data, the analysis cannot determine whether promotional discounts shift purchasing behaviour, estimate price elasticities of demand for premium-tier versus generic products, or assess whether WinEco’s checkout discounts actually convert browsing consumers into buyers. The gap between pricing strategy as set by the retailer and market outcome as realised by consumers lies beyond the scope of the available data.</w:t>
      </w:r>
    </w:p>
    <w:p>
      <w:pPr>
        <w:spacing w:after="120" w:line="360"/>
        <w:ind/>
        <w:jc w:val="both"/>
      </w:pPr>
      <w:r>
        <w:rPr>
          <w:rFonts w:ascii="Times New Roman" w:cs="Times New Roman" w:eastAsia="Times New Roman" w:hAnsi="Times New Roman"/>
          <w:b/>
          <w:bCs/>
          <w:i w:val="false"/>
          <w:iCs w:val="false"/>
          <w:sz w:val="24"/>
          <w:szCs w:val="24"/>
        </w:rPr>
        <w:t xml:space="preserve">Unweighted price index.</w:t>
      </w:r>
      <w:r>
        <w:rPr>
          <w:rFonts w:ascii="Times New Roman" w:cs="Times New Roman" w:eastAsia="Times New Roman" w:hAnsi="Times New Roman"/>
          <w:b w:val="false"/>
          <w:bCs w:val="false"/>
          <w:i w:val="false"/>
          <w:iCs w:val="false"/>
          <w:sz w:val="24"/>
          <w:szCs w:val="24"/>
        </w:rPr>
        <w:t xml:space="preserve"> The daily price indices reported alongside the hedonic analysis use the Jevons formula, a chain-linked geometric mean of matched-product price relatives. This is the CPI-manual-recommended fallback when expenditure weights are unavailable, which is the situation here: web-scraped data contains listed prices but no quantities sold or total consumer expenditure, so any weighted formula is infeasible at the product level. The Törnqvist index is theoretically superior (Diewert, 1976, proved it is superlative while Jevons is not), and Bajari, Chiang, Nekipelov, and Xu (2023) document a roughly sixty-basis-point wedge between Jevons and Fisher annual apparel inflation on Amazon data that illustrates the practical cost of omitting weights. The Jevons indices reported here should therefore be read as an unweighted aggregation; the nowcasting comparison against the GSO CPI in Section 4 carries the same caveat, since the official index uses expenditure weights that the web-scraped panel cannot reproduce. Linking the panel to loyalty-card transaction counts or a subset of scanner-panel households would in principle permit Törnqvist or Fisher construction and is noted below as a future-research direction.</w:t>
      </w:r>
    </w:p>
    <w:p>
      <w:pPr>
        <w:spacing w:after="120" w:line="360"/>
        <w:ind/>
        <w:jc w:val="both"/>
      </w:pPr>
      <w:r>
        <w:rPr>
          <w:rFonts w:ascii="Times New Roman" w:cs="Times New Roman" w:eastAsia="Times New Roman" w:hAnsi="Times New Roman"/>
          <w:b/>
          <w:bCs/>
          <w:i w:val="false"/>
          <w:iCs w:val="false"/>
          <w:sz w:val="24"/>
          <w:szCs w:val="24"/>
        </w:rPr>
        <w:t xml:space="preserve">Observational design and price-tier endogeneity.</w:t>
      </w:r>
      <w:r>
        <w:rPr>
          <w:rFonts w:ascii="Times New Roman" w:cs="Times New Roman" w:eastAsia="Times New Roman" w:hAnsi="Times New Roman"/>
          <w:b w:val="false"/>
          <w:bCs w:val="false"/>
          <w:i w:val="false"/>
          <w:iCs w:val="false"/>
          <w:sz w:val="24"/>
          <w:szCs w:val="24"/>
        </w:rPr>
        <w:t xml:space="preserve">  The dual-price comparison is descriptive, not causal. The erosion patterns document correlations between product attributes and the marked-to-final price gap, but they do not identify the retailer’s promotional decision mechanism. A related concern is that the is_premium classification is partly a function of price, products priced above the within-subcategory median are labeled premium, creating a partial mechanical relationship with the log-price dependent variable. The mitigations reported in Section 4.7 (VIF &lt; 2.0 for all regressors, consistent three-month snapshots, and moderate Cook’s distance values) reduce but do not eliminate this concern. An instrumental-variable approach using an external quality rating or an independent brand-strength measure would provide cleaner identification in future work.</w:t>
      </w:r>
    </w:p>
    <w:p>
      <w:pPr>
        <w:pStyle w:val="Heading2"/>
        <w:spacing w:after="180" w:before="360"/>
      </w:pPr>
      <w:r>
        <w:rPr>
          <w:rFonts w:ascii="Times New Roman" w:cs="Times New Roman" w:eastAsia="Times New Roman" w:hAnsi="Times New Roman"/>
          <w:b/>
          <w:bCs/>
          <w:sz w:val="26"/>
          <w:szCs w:val="26"/>
        </w:rPr>
        <w:t xml:space="preserve">5.3  Conclusions</w:t>
      </w:r>
    </w:p>
    <w:p>
      <w:pPr>
        <w:spacing w:after="120" w:line="360"/>
        <w:ind/>
        <w:jc w:val="both"/>
      </w:pPr>
      <w:r>
        <w:rPr>
          <w:rFonts w:ascii="Times New Roman" w:cs="Times New Roman" w:eastAsia="Times New Roman" w:hAnsi="Times New Roman"/>
          <w:b w:val="false"/>
          <w:bCs w:val="false"/>
          <w:i w:val="false"/>
          <w:iCs w:val="false"/>
          <w:sz w:val="24"/>
          <w:szCs w:val="24"/>
        </w:rPr>
        <w:t xml:space="preserve">This study has applied a hedonic price decomposition to 2,280 food products scraped daily from Winmart’s online platform over 88 days (December 2025–March 2026), using a dual-price design that compares marked (sticker) and final (checkout) price specifications to measure the promotional erosion of attribute premiums. Three principal findings emerge.</w:t>
      </w:r>
    </w:p>
    <w:p>
      <w:pPr>
        <w:spacing w:after="120" w:line="360"/>
        <w:ind/>
        <w:jc w:val="both"/>
      </w:pPr>
      <w:r>
        <w:rPr>
          <w:rFonts w:ascii="Times New Roman" w:cs="Times New Roman" w:eastAsia="Times New Roman" w:hAnsi="Times New Roman"/>
          <w:b w:val="false"/>
          <w:bCs w:val="false"/>
          <w:i w:val="false"/>
          <w:iCs w:val="false"/>
          <w:sz w:val="24"/>
          <w:szCs w:val="24"/>
        </w:rPr>
        <w:t xml:space="preserve">First, price-tier positioning is the dominant source of attribute premiums in Vietnamese online grocery. Products classified as premium, those priced above the within-subcategory median among branded products, command a 43–44 percent markup over non-premium branded products, a premium that remains virtually unchanged between sticker and checkout prices (erosion of −1.7 percent). The brand-name signal alone, stripped of its price-tier component, carries no statistically significant premium. For consumers navigating the online grocery environment, price tier is the consequential dimension of product choice; brand name, as a standalone attribute, is not.</w:t>
      </w:r>
    </w:p>
    <w:p>
      <w:pPr>
        <w:spacing w:after="120" w:line="360"/>
        <w:ind/>
        <w:jc w:val="both"/>
      </w:pPr>
      <w:r>
        <w:rPr>
          <w:rFonts w:ascii="Times New Roman" w:cs="Times New Roman" w:eastAsia="Times New Roman" w:hAnsi="Times New Roman"/>
          <w:b w:val="false"/>
          <w:bCs w:val="false"/>
          <w:i w:val="false"/>
          <w:iCs w:val="false"/>
          <w:sz w:val="24"/>
          <w:szCs w:val="24"/>
        </w:rPr>
        <w:t xml:space="preserve">Second, promotional pricing operates selectively across the brand-positioning landscape. Brand-name premiums erode by 50.6 percent between sticker and checkout prices, consistent with a traffic-driving strategy in which familiar brands serve as promotional anchors. Price-tier premiums, by contrast, are preserved through the promotional cycle, consistent with a versioning logic that maintains quality-based differentiation. The house brand WinEco amplifies this pattern to an extreme: its 476 percent erosion reveals a dual-pricing strategy of shelf-price parity masking deep checkout discounts, a private-label approach that avoids discount stigma while offering the deepest effective discounts in the retailer’s promotional mix.</w:t>
      </w:r>
    </w:p>
    <w:p>
      <w:pPr>
        <w:spacing w:after="120" w:line="360"/>
        <w:ind/>
        <w:jc w:val="both"/>
      </w:pPr>
      <w:r>
        <w:rPr>
          <w:rFonts w:ascii="Times New Roman" w:cs="Times New Roman" w:eastAsia="Times New Roman" w:hAnsi="Times New Roman"/>
          <w:b w:val="false"/>
          <w:bCs w:val="false"/>
          <w:i w:val="false"/>
          <w:iCs w:val="false"/>
          <w:sz w:val="24"/>
          <w:szCs w:val="24"/>
        </w:rPr>
        <w:t xml:space="preserve">Third, attribute premiums vary systematically across product categories in ways that reflect the economic structure of each category. Import origin commands a 100.4 percent premium in fresh produce, where food safety concerns are acute, but a −60.8 percent discount in processed food, where established domestic brands dominate. Health claims generate significant premiums only in spices and fresh produce, categories where residue and purity concerns are most salient, and carry no measurable premium in snacks, frozen food, or confectionary. Pack-size economies are large (β ≈ −0.39, p &lt; 0.001) and promotion-resistant (erosion 2.8 percent), making unit-price comparison one of the most reliable dimensions of product differentiation available to consumers.</w:t>
      </w:r>
    </w:p>
    <w:p>
      <w:pPr>
        <w:spacing w:after="120" w:line="360"/>
        <w:ind/>
        <w:jc w:val="both"/>
      </w:pPr>
      <w:r>
        <w:rPr>
          <w:rFonts w:ascii="Times New Roman" w:cs="Times New Roman" w:eastAsia="Times New Roman" w:hAnsi="Times New Roman"/>
          <w:b w:val="false"/>
          <w:bCs w:val="false"/>
          <w:i w:val="false"/>
          <w:iCs w:val="false"/>
          <w:sz w:val="24"/>
          <w:szCs w:val="24"/>
        </w:rPr>
        <w:t xml:space="preserve">The study makes three methodological contributions. It provides the first hedonic price decomposition in Vietnamese online grocery, extending a well-established methodology to a market where web-scraped data now make such analysis feasible. It introduces a dual-price design, regressing the same attribute set on both marked and final prices, that separates the retailer’s shelf-pricing decisions from its promotional decisions, yielding the erosion metric as a direct measure of promotional intensity. And it operationalizes a brand-positioning typology that crosses Keller’s (1993) brand awareness dimension with Aaker’s (1991) price-based differentiation, producing a four-quadrant classification that gives economic content to the distinction between brand recognition and price-tier positioning.</w:t>
      </w:r>
    </w:p>
    <w:p>
      <w:pPr>
        <w:spacing w:after="120" w:line="360"/>
        <w:ind/>
        <w:jc w:val="both"/>
      </w:pPr>
      <w:r>
        <w:rPr>
          <w:rFonts w:ascii="Times New Roman" w:cs="Times New Roman" w:eastAsia="Times New Roman" w:hAnsi="Times New Roman"/>
          <w:b w:val="false"/>
          <w:bCs w:val="false"/>
          <w:i w:val="false"/>
          <w:iCs w:val="false"/>
          <w:sz w:val="24"/>
          <w:szCs w:val="24"/>
        </w:rPr>
        <w:t xml:space="preserve">These findings describe the price architecture of one retailer in one period. The analysis does not claim causal identification of the mechanisms that generate attribute premiums or the decisions that produce promotional erosion; it documents the patterns and connects them to established theoretical frameworks. Within that scope, the results offer a detailed empirical portrait of how product attributes, brand positioning, and promotional pricing interact in a rapidly digitizing food market.</w:t>
      </w:r>
    </w:p>
    <w:p>
      <w:pPr>
        <w:pStyle w:val="Heading2"/>
        <w:spacing w:after="180" w:before="360"/>
      </w:pPr>
      <w:r>
        <w:rPr>
          <w:rFonts w:ascii="Times New Roman" w:cs="Times New Roman" w:eastAsia="Times New Roman" w:hAnsi="Times New Roman"/>
          <w:b/>
          <w:bCs/>
          <w:sz w:val="26"/>
          <w:szCs w:val="26"/>
        </w:rPr>
        <w:t xml:space="preserve">5.4  Recommendations</w:t>
      </w:r>
    </w:p>
    <w:p>
      <w:pPr>
        <w:spacing w:after="120" w:line="360"/>
        <w:ind/>
        <w:jc w:val="both"/>
      </w:pPr>
      <w:r>
        <w:rPr>
          <w:rFonts w:ascii="Times New Roman" w:cs="Times New Roman" w:eastAsia="Times New Roman" w:hAnsi="Times New Roman"/>
          <w:b w:val="false"/>
          <w:bCs w:val="false"/>
          <w:i/>
          <w:iCs/>
          <w:sz w:val="22"/>
          <w:szCs w:val="22"/>
        </w:rPr>
        <w:t xml:space="preserve">The following recommendations address price architecture, that is, how product attributes map to prices and how promotions alter that mapping. They do not address consumer demand responses, which require transaction data beyond this study’s scope.</w:t>
      </w:r>
    </w:p>
    <w:p>
      <w:pPr>
        <w:spacing w:after="120" w:line="360"/>
        <w:ind/>
        <w:jc w:val="both"/>
      </w:pPr>
      <w:r>
        <w:rPr>
          <w:rFonts w:ascii="Times New Roman" w:cs="Times New Roman" w:eastAsia="Times New Roman" w:hAnsi="Times New Roman"/>
          <w:b/>
          <w:bCs/>
          <w:i/>
          <w:iCs/>
          <w:sz w:val="24"/>
          <w:szCs w:val="24"/>
        </w:rPr>
        <w:t xml:space="preserve">For consumers.</w:t>
      </w:r>
      <w:r>
        <w:rPr>
          <w:rFonts w:ascii="Times New Roman" w:cs="Times New Roman" w:eastAsia="Times New Roman" w:hAnsi="Times New Roman"/>
          <w:b w:val="false"/>
          <w:bCs w:val="false"/>
          <w:i w:val="false"/>
          <w:iCs w:val="false"/>
          <w:sz w:val="24"/>
          <w:szCs w:val="24"/>
        </w:rPr>
        <w:t xml:space="preserve">  The most consequential dimension of grocery product choice in this market is price tier, not brand name. The brand-name signal on its own carries no statistically significant premium (is_branded β = +0.02, p &gt; 0.10), and the implication for the shopper is twofold. Choosing by brand familiarity alone does not, on average, buy a measurably differentiated product at the till, because the brand-name effect is statistically indistinguishable from zero once price tier and recognition are held constant. It also does not buy a stable source of value on promotion: the small brand-name advantage that does exist is also the component most heavily eroded by checkout discounts (roughly halved, on the point estimate). Brand familiarity is therefore neither a reliable basis for quality inference nor a promotion-durable source of savings. Price tier and pack size, by contrast, are.</w:t>
      </w:r>
    </w:p>
    <w:p>
      <w:pPr>
        <w:spacing w:after="120" w:line="360"/>
        <w:ind/>
        <w:jc w:val="both"/>
      </w:pPr>
      <w:r>
        <w:rPr>
          <w:rFonts w:ascii="Times New Roman" w:cs="Times New Roman" w:eastAsia="Times New Roman" w:hAnsi="Times New Roman"/>
          <w:b w:val="false"/>
          <w:bCs w:val="false"/>
          <w:i w:val="false"/>
          <w:iCs w:val="false"/>
          <w:sz w:val="24"/>
          <w:szCs w:val="24"/>
        </w:rPr>
        <w:t xml:space="preserve">Larger pack sizes offer genuine, promotion-resistant unit-price savings: approximately 3.8 percent per 10 percent increase in pack size (p &lt; 0.001), with promotional erosion of only 2.8 percent. Consumers seeking the most durable value dimension should prioritize unit-price comparison over brand selection. More immediately, WinEco’s sticker prices sit at near-parity with national brands even though the posted discount is much deeper. Both prices are visible together on the listing, but because the marked price does not look cheap, a shopper who scans only the sticker line will not register how competitive the checkout price actually is. The sticker-to-checkout gap is largest for WinEco products (22 percentage points) and for Household Giant brands in high-penetration categories such as Spices and Confectionary. The practical advice is straightforward: compare final (checkout) prices, not shelf tags, and attend to price-tier positioning and unit price as the primary indicators of product differentiation.</w:t>
      </w:r>
    </w:p>
    <w:p>
      <w:pPr>
        <w:spacing w:after="120" w:line="360"/>
        <w:ind/>
        <w:jc w:val="both"/>
      </w:pPr>
      <w:r>
        <w:rPr>
          <w:rFonts w:ascii="Times New Roman" w:cs="Times New Roman" w:eastAsia="Times New Roman" w:hAnsi="Times New Roman"/>
          <w:b/>
          <w:bCs/>
          <w:i/>
          <w:iCs/>
          <w:sz w:val="24"/>
          <w:szCs w:val="24"/>
        </w:rPr>
        <w:t xml:space="preserve">For businesses.</w:t>
      </w:r>
      <w:r>
        <w:rPr>
          <w:rFonts w:ascii="Times New Roman" w:cs="Times New Roman" w:eastAsia="Times New Roman" w:hAnsi="Times New Roman"/>
          <w:b w:val="false"/>
          <w:bCs w:val="false"/>
          <w:i w:val="false"/>
          <w:iCs w:val="false"/>
          <w:sz w:val="24"/>
          <w:szCs w:val="24"/>
        </w:rPr>
        <w:t xml:space="preserve">  Household Giant brands (Vinamilk, Ajinomoto, Dutch Lady, and others that are widely recognised but priced at or below the subcategory median, already price 25–27 percent below other branded products within their subcategories, and their discount deepens a further 4.3 percent at checkout. These brands function as promotional anchors; firms occupying this quadrant should anticipate that retailers will use their products as traffic drivers with additional checkout-stage discounts.</w:t>
      </w:r>
    </w:p>
    <w:p>
      <w:pPr>
        <w:spacing w:after="120" w:line="360"/>
        <w:ind/>
        <w:jc w:val="both"/>
      </w:pPr>
      <w:r>
        <w:rPr>
          <w:rFonts w:ascii="Times New Roman" w:cs="Times New Roman" w:eastAsia="Times New Roman" w:hAnsi="Times New Roman"/>
          <w:b w:val="false"/>
          <w:bCs w:val="false"/>
          <w:i w:val="false"/>
          <w:iCs w:val="false"/>
          <w:sz w:val="24"/>
          <w:szCs w:val="24"/>
        </w:rPr>
        <w:t xml:space="preserve">Premium-tier positioning is protected through the promotional cycle (erosion −1.7 percent). Concretely, launching a product above the subcategory median price (with corresponding quality cues such as imported inputs, specialised packaging, or niche identity) protects the price point from promotional erosion; launching at mid-range and relying on brand recognition alone does not. For private-label operators, WinEco’s dual-pricing strategy offers a template: shelf-price parity avoids the stigma of discount private labels, while a deeper posted discount delivers competitive pricing at the checkout line without forcing the marked price itself down, so the brand’s shelf positioning signals quality even as the transacted price competes with budget alternatives.</w:t>
      </w:r>
    </w:p>
    <w:p>
      <w:pPr>
        <w:spacing w:after="120" w:line="360"/>
        <w:ind/>
        <w:jc w:val="both"/>
      </w:pPr>
      <w:r>
        <w:rPr>
          <w:rFonts w:ascii="Times New Roman" w:cs="Times New Roman" w:eastAsia="Times New Roman" w:hAnsi="Times New Roman"/>
          <w:b w:val="false"/>
          <w:bCs w:val="false"/>
          <w:i w:val="false"/>
          <w:iCs w:val="false"/>
          <w:sz w:val="24"/>
          <w:szCs w:val="24"/>
        </w:rPr>
        <w:t xml:space="preserve">Import-origin signaling carries substantial pricing power in fresh produce (+100.4 percent, p &lt; 0.001) but is counterproductive in processed food (−60.8 percent, p = 0.013), where domestic brands dominate. Import positioning should therefore be category-selective. Health-claim positioning (organic, sugar-free, low-residue) generates measurable premiums in spices (+38.2 percent, p = 0.03) and marginally in fresh produce, but not in snacks, noodles, or frozen food; firms should target health-claim investments in categories where food-safety concerns are salient. More broadly, credence and physical attributes (health claims, pack size) are not promotional targets, their premiums survive or even grow at checkout (health-claim erosion = −13.3 percent). Investing in credence attributes provides a more promotion-resistant source of pricing power than brand-name awareness alone.</w:t>
      </w:r>
    </w:p>
    <w:p>
      <w:pPr>
        <w:spacing w:after="120" w:line="360"/>
        <w:ind/>
        <w:jc w:val="both"/>
      </w:pPr>
      <w:r>
        <w:rPr>
          <w:rFonts w:ascii="Times New Roman" w:cs="Times New Roman" w:eastAsia="Times New Roman" w:hAnsi="Times New Roman"/>
          <w:b/>
          <w:bCs/>
          <w:i/>
          <w:iCs/>
          <w:sz w:val="24"/>
          <w:szCs w:val="24"/>
        </w:rPr>
        <w:t xml:space="preserve">For public policy and consumer protection.</w:t>
      </w:r>
      <w:r>
        <w:rPr>
          <w:rFonts w:ascii="Times New Roman" w:cs="Times New Roman" w:eastAsia="Times New Roman" w:hAnsi="Times New Roman"/>
          <w:b w:val="false"/>
          <w:bCs w:val="false"/>
          <w:i w:val="false"/>
          <w:iCs w:val="false"/>
          <w:sz w:val="24"/>
          <w:szCs w:val="24"/>
        </w:rPr>
        <w:t xml:space="preserve">  Descriptive analysis (§4.3) shows that the primary promotional lever in this market is penetration, how many products are discounted, ranging from 0 to 36 percent across categories, rather than depth, how much per product, uniformly 12–19 percent. This is a pattern in the data, not a regression result, but it suggests that the promotional environment is more stable than headline discount figures might imply.</w:t>
      </w:r>
    </w:p>
    <w:p>
      <w:pPr>
        <w:spacing w:after="120" w:line="360"/>
        <w:ind/>
        <w:jc w:val="both"/>
      </w:pPr>
      <w:r>
        <w:rPr>
          <w:rFonts w:ascii="Times New Roman" w:cs="Times New Roman" w:eastAsia="Times New Roman" w:hAnsi="Times New Roman"/>
          <w:b w:val="false"/>
          <w:bCs w:val="false"/>
          <w:i w:val="false"/>
          <w:iCs w:val="false"/>
          <w:sz w:val="24"/>
          <w:szCs w:val="24"/>
        </w:rPr>
        <w:t xml:space="preserve">WinEco’s 22-percentage-point gap between sticker and checkout discount rates, observed across 21 house-brand products at a single retailer, is suggestive evidence that dual-pricing warrants broader investigation across retailers and private labels. Although both prices are shown together on each listing, a marked price that sits near national-brand levels can mask how deep the posted discount really is, so consumers who anchor on the marked price alone may under-weight the true transacted savings; this is most consequential for house brands whose marked prices are set close to national-brand levels. The pattern merits attention in consumer protection frameworks, but cannot yet support general prescriptions on the basis of a single-retailer sample.</w:t>
      </w:r>
    </w:p>
    <w:p>
      <w:pPr>
        <w:spacing w:after="120" w:line="360"/>
        <w:ind/>
        <w:jc w:val="both"/>
      </w:pPr>
      <w:r>
        <w:rPr>
          <w:rFonts w:ascii="Times New Roman" w:cs="Times New Roman" w:eastAsia="Times New Roman" w:hAnsi="Times New Roman"/>
          <w:b w:val="false"/>
          <w:bCs w:val="false"/>
          <w:i w:val="false"/>
          <w:iCs w:val="false"/>
          <w:sz w:val="24"/>
          <w:szCs w:val="24"/>
        </w:rPr>
        <w:t xml:space="preserve">Country-of-origin labeling carries heterogeneous informational value: the import premium is the single largest coefficient in fresh produce (+100.4 percent) but negative in processed food (−60.8 percent). This suggests targeted rather than blanket labeling requirements, focused on categories where food-safety concerns make origin information most valuable to consumers. Finally, the large magnitude of pack-size economies (β ≈ −0.39, p &lt; 0.001) and their stability through promotions (erosion 2.8 percent) mean that mandatory unit-price shelf labels would give consumers a reliable comparison tool unaffected by promotional noise.</w:t>
      </w:r>
    </w:p>
    <w:p>
      <w:pPr>
        <w:spacing w:after="120" w:line="360"/>
        <w:ind/>
        <w:jc w:val="both"/>
      </w:pPr>
      <w:r>
        <w:rPr>
          <w:rFonts w:ascii="Times New Roman" w:cs="Times New Roman" w:eastAsia="Times New Roman" w:hAnsi="Times New Roman"/>
          <w:b/>
          <w:bCs/>
          <w:i/>
          <w:iCs/>
          <w:sz w:val="24"/>
          <w:szCs w:val="24"/>
        </w:rPr>
        <w:t xml:space="preserve">For future research.</w:t>
      </w:r>
      <w:r>
        <w:rPr>
          <w:rFonts w:ascii="Times New Roman" w:cs="Times New Roman" w:eastAsia="Times New Roman" w:hAnsi="Times New Roman"/>
          <w:b w:val="false"/>
          <w:bCs w:val="false"/>
          <w:i w:val="false"/>
          <w:iCs w:val="false"/>
          <w:sz w:val="24"/>
          <w:szCs w:val="24"/>
        </w:rPr>
        <w:t xml:space="preserve">  Three extensions would address the principal limitations identified above. First, a multi-retailer study comparing Winmart with premium-format retailers (Annam Gourmet), discount-oriented chains (Bách Hóa Xanh), and traditional wet markets would test whether the selective erosion pattern (brand-name premiums erode, price-tier premiums survive) is a Winmart-specific pricing strategy or a structural feature of Vietnamese modern retail.</w:t>
      </w:r>
    </w:p>
    <w:p>
      <w:pPr>
        <w:spacing w:after="120" w:line="360"/>
        <w:ind/>
        <w:jc w:val="both"/>
      </w:pPr>
      <w:r>
        <w:rPr>
          <w:rFonts w:ascii="Times New Roman" w:cs="Times New Roman" w:eastAsia="Times New Roman" w:hAnsi="Times New Roman"/>
          <w:b w:val="false"/>
          <w:bCs w:val="false"/>
          <w:i w:val="false"/>
          <w:iCs w:val="false"/>
          <w:sz w:val="24"/>
          <w:szCs w:val="24"/>
        </w:rPr>
        <w:t xml:space="preserve">Second, access to transaction volume data (through panel data or loyalty-card records) would allow researchers to move from describing the retailer’s pricing architecture to estimating consumer response, testing whether the promotional erosion patterns identified here actually shift purchasing behavior toward or away from branded products. This study documents price architecture but cannot address demand responses.</w:t>
      </w:r>
    </w:p>
    <w:p>
      <w:pPr>
        <w:spacing w:after="120" w:line="360"/>
        <w:ind/>
        <w:jc w:val="both"/>
      </w:pPr>
      <w:r>
        <w:rPr>
          <w:rFonts w:ascii="Times New Roman" w:cs="Times New Roman" w:eastAsia="Times New Roman" w:hAnsi="Times New Roman"/>
          <w:b w:val="false"/>
          <w:bCs w:val="false"/>
          <w:i w:val="false"/>
          <w:iCs w:val="false"/>
          <w:sz w:val="24"/>
          <w:szCs w:val="24"/>
        </w:rPr>
        <w:t xml:space="preserve">Third, an instrumental-variable approach using instruments independent of within-platform pricing (such as third-party brand equity surveys like Nielsen Brand Health, expert quality ratings, or certification-based quality proxies) would address the is_premium endogeneity concern and provide cleaner causal identification of the relationship between product attributes and price premiums.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Chapter 5 — Conclusions and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2026-04-13T14:44:31.755Z</dcterms:created>
  <dcterms:modified xsi:type="dcterms:W3CDTF">2026-04-13T14:44:31.756Z</dcterms:modified>
</cp:coreProperties>
</file>

<file path=docProps/custom.xml><?xml version="1.0" encoding="utf-8"?>
<Properties xmlns="http://schemas.openxmlformats.org/officeDocument/2006/custom-properties" xmlns:vt="http://schemas.openxmlformats.org/officeDocument/2006/docPropsVTypes"/>
</file>