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00001" w14:textId="77777777" w:rsidR="00CC0001" w:rsidRDefault="00CC0001">
      <w:pPr>
        <w:jc w:val="center"/>
      </w:pPr>
      <w:r>
        <w:rPr>
          <w:rFonts w:ascii="Times New Roman" w:hAnsi="Times New Roman" w:cs="Times New Roman"/>
          <w:sz w:val="28"/>
          <w:szCs w:val="28"/>
        </w:rPr>
        <w:t>NATIONAL ECONOMICS UNIVERSITY</w:t>
      </w:r>
    </w:p>
    <w:p w14:paraId="0A000002" w14:textId="77777777" w:rsidR="00CC0001" w:rsidRDefault="00CC0001">
      <w:pPr>
        <w:spacing w:before="240" w:after="240"/>
        <w:jc w:val="center"/>
      </w:pPr>
      <w:r>
        <w:rPr>
          <w:rFonts w:ascii="Times New Roman" w:hAnsi="Times New Roman" w:cs="Times New Roman"/>
          <w:sz w:val="28"/>
          <w:szCs w:val="28"/>
          <w:b/>
        </w:rPr>
        <w:t>BOARD OF MANAGEMENT OF ADVANCED EDUCATION PROGRAMS</w:t>
      </w:r>
    </w:p>
    <w:p w14:paraId="0A000003" w14:textId="77777777" w:rsidR="00CC0001" w:rsidRDefault="00CC0001"/>
    <w:p w14:paraId="0A000004" w14:textId="77777777" w:rsidR="00CC0001" w:rsidRDefault="00CC0001"/>
    <w:p w14:paraId="0A000005" w14:textId="77777777" w:rsidR="00CC0001" w:rsidRDefault="00CC0001"/>
    <w:p w14:paraId="0A000006" w14:textId="77777777" w:rsidR="00CC0001" w:rsidRDefault="00CC0001">
      <w:pPr>
        <w:spacing w:before="240" w:after="240"/>
        <w:jc w:val="center"/>
      </w:pPr>
      <w:r>
        <w:rPr>
          <w:rFonts w:ascii="Times New Roman" w:hAnsi="Times New Roman" w:cs="Times New Roman"/>
          <w:sz w:val="36"/>
          <w:szCs w:val="36"/>
          <w:b/>
        </w:rPr>
        <w:t>BACHELOR THESIS</w:t>
      </w:r>
    </w:p>
    <w:p w14:paraId="0A000007" w14:textId="77777777" w:rsidR="00CC0001" w:rsidRDefault="00CC0001">
      <w:pPr>
        <w:jc w:val="center"/>
      </w:pPr>
      <w:r>
        <w:rPr>
          <w:rFonts w:ascii="Times New Roman" w:hAnsi="Times New Roman" w:cs="Times New Roman"/>
          <w:sz w:val="26"/>
          <w:szCs w:val="26"/>
        </w:rPr>
        <w:t>Major: [TO BE FILLED]</w:t>
      </w:r>
    </w:p>
    <w:p w14:paraId="0A000008" w14:textId="77777777" w:rsidR="00CC0001" w:rsidRDefault="00CC0001"/>
    <w:p w14:paraId="0A000009" w14:textId="77777777" w:rsidR="00CC0001" w:rsidRDefault="00CC0001"/>
    <w:p w14:paraId="0A00000A" w14:textId="77777777" w:rsidR="00CC0001" w:rsidRDefault="00CC0001">
      <w:pPr>
        <w:spacing w:before="240" w:after="240"/>
        <w:jc w:val="center"/>
      </w:pPr>
      <w:r>
        <w:rPr>
          <w:rFonts w:ascii="Times New Roman" w:hAnsi="Times New Roman" w:cs="Times New Roman"/>
          <w:sz w:val="30"/>
          <w:szCs w:val="30"/>
          <w:b/>
        </w:rPr>
        <w:t>Topic: Hedonic Price Decomposition with Promotional Erosion — Evidence from Vietnamese Online Grocery</w:t>
      </w:r>
    </w:p>
    <w:p w14:paraId="0A00000B" w14:textId="77777777" w:rsidR="00CC0001" w:rsidRDefault="00CC0001">
      <w:pPr>
        <w:jc w:val="center"/>
      </w:pPr>
      <w:r>
        <w:rPr>
          <w:rFonts w:ascii="Times New Roman" w:hAnsi="Times New Roman" w:cs="Times New Roman"/>
          <w:sz w:val="26"/>
          <w:szCs w:val="26"/>
        </w:rPr>
        <w:t>Student’s name: [TO BE FILLED]</w:t>
      </w:r>
    </w:p>
    <w:p w14:paraId="0A00000C" w14:textId="77777777" w:rsidR="00CC0001" w:rsidRDefault="00CC0001"/>
    <w:p w14:paraId="0A00000D" w14:textId="77777777" w:rsidR="00CC0001" w:rsidRDefault="00CC0001"/>
    <w:p w14:paraId="0A00000E" w14:textId="77777777" w:rsidR="00CC0001" w:rsidRDefault="00CC0001"/>
    <w:p w14:paraId="0A00000F" w14:textId="77777777" w:rsidR="00CC0001" w:rsidRDefault="00CC0001"/>
    <w:p w14:paraId="0A000010" w14:textId="77777777" w:rsidR="00CC0001" w:rsidRDefault="00CC0001"/>
    <w:p w14:paraId="0A000011" w14:textId="77777777" w:rsidR="00CC0001" w:rsidRDefault="00CC0001"/>
    <w:p w14:paraId="0A000012" w14:textId="77777777" w:rsidR="00CC0001" w:rsidRDefault="00CC0001"/>
    <w:p w14:paraId="0A000013" w14:textId="77777777" w:rsidR="00CC0001" w:rsidRDefault="00CC0001"/>
    <w:p w14:paraId="0A000014" w14:textId="77777777" w:rsidR="00CC0001" w:rsidRDefault="00CC0001"/>
    <w:p w14:paraId="0A000015" w14:textId="77777777" w:rsidR="00CC0001" w:rsidRDefault="00CC0001"/>
    <w:p w14:paraId="0A000016" w14:textId="77777777" w:rsidR="00CC0001" w:rsidRDefault="00CC0001">
      <w:pPr>
        <w:spacing w:before="240" w:after="240"/>
        <w:jc w:val="center"/>
      </w:pPr>
      <w:r>
        <w:rPr>
          <w:rFonts w:ascii="Times New Roman" w:hAnsi="Times New Roman" w:cs="Times New Roman"/>
          <w:sz w:val="28"/>
          <w:szCs w:val="28"/>
          <w:b/>
        </w:rPr>
        <w:t>HANOI 2025</w:t>
      </w:r>
    </w:p>
    <w:p w14:paraId="PB000001" w14:textId="77777777" w:rsidR="00CC0001" w:rsidRDefault="00CC0001">
      <w:r>
        <w:br w:type="page"/>
      </w:r>
    </w:p>
    <w:p w14:paraId="0A000017" w14:textId="77777777" w:rsidR="00CC0001" w:rsidRDefault="00CC0001">
      <w:pPr>
        <w:jc w:val="center"/>
      </w:pPr>
      <w:r>
        <w:rPr>
          <w:rFonts w:ascii="Times New Roman" w:hAnsi="Times New Roman" w:cs="Times New Roman"/>
          <w:sz w:val="28"/>
          <w:szCs w:val="28"/>
        </w:rPr>
        <w:t>NATIONAL ECONOMICS UNIVERSITY</w:t>
      </w:r>
    </w:p>
    <w:p w14:paraId="0A000018" w14:textId="77777777" w:rsidR="00CC0001" w:rsidRDefault="00CC0001">
      <w:pPr>
        <w:spacing w:before="240" w:after="240"/>
        <w:jc w:val="center"/>
      </w:pPr>
      <w:r>
        <w:rPr>
          <w:rFonts w:ascii="Times New Roman" w:hAnsi="Times New Roman" w:cs="Times New Roman"/>
          <w:sz w:val="28"/>
          <w:szCs w:val="28"/>
          <w:b/>
        </w:rPr>
        <w:t>BOARD OF MANAGEMENT OF ADVANCED EDUCATION PROGRAMS</w:t>
      </w:r>
    </w:p>
    <w:p w14:paraId="0A000019" w14:textId="77777777" w:rsidR="00CC0001" w:rsidRDefault="00CC0001"/>
    <w:p w14:paraId="0A00001A" w14:textId="77777777" w:rsidR="00CC0001" w:rsidRDefault="00CC0001"/>
    <w:p w14:paraId="0A00001B" w14:textId="77777777" w:rsidR="00CC0001" w:rsidRDefault="00CC0001">
      <w:pPr>
        <w:spacing w:before="240" w:after="240"/>
        <w:jc w:val="center"/>
      </w:pPr>
      <w:r>
        <w:rPr>
          <w:rFonts w:ascii="Times New Roman" w:hAnsi="Times New Roman" w:cs="Times New Roman"/>
          <w:sz w:val="36"/>
          <w:szCs w:val="36"/>
          <w:b/>
        </w:rPr>
        <w:t>BACHELOR THESIS</w:t>
      </w:r>
    </w:p>
    <w:p w14:paraId="0A00001C" w14:textId="77777777" w:rsidR="00CC0001" w:rsidRDefault="00CC0001"/>
    <w:p w14:paraId="0A00001D" w14:textId="77777777" w:rsidR="00CC0001" w:rsidRDefault="00CC0001">
      <w:pPr>
        <w:spacing w:before="240" w:after="240"/>
        <w:jc w:val="center"/>
      </w:pPr>
      <w:r>
        <w:rPr>
          <w:rFonts w:ascii="Times New Roman" w:hAnsi="Times New Roman" w:cs="Times New Roman"/>
          <w:sz w:val="30"/>
          <w:szCs w:val="30"/>
          <w:b/>
        </w:rPr>
        <w:t>Topic: Hedonic Price Decomposition with Promotional Erosion — Evidence from Vietnamese Online Grocery</w:t>
      </w:r>
    </w:p>
    <w:p w14:paraId="0A00001E" w14:textId="77777777" w:rsidR="00CC0001" w:rsidRDefault="00CC0001"/>
    <w:p w14:paraId="0A00001F" w14:textId="77777777" w:rsidR="00CC0001" w:rsidRDefault="00CC0001"/>
    <w:p w14:paraId="0A000020" w14:textId="77777777" w:rsidR="00CC0001" w:rsidRDefault="00CC0001"/>
    <w:p w14:paraId="0A000021" w14:textId="77777777" w:rsidR="00CC0001" w:rsidRDefault="00CC0001">
      <w:pPr>
        <w:jc w:val="both"/>
      </w:pPr>
      <w:r>
        <w:rPr>
          <w:rFonts w:ascii="Times New Roman" w:hAnsi="Times New Roman" w:cs="Times New Roman"/>
          <w:sz w:val="26"/>
          <w:szCs w:val="26"/>
        </w:rPr>
        <w:t>Student: .......................................................................</w:t>
      </w:r>
    </w:p>
    <w:p w14:paraId="0A000022" w14:textId="77777777" w:rsidR="00CC0001" w:rsidRDefault="00CC0001">
      <w:pPr>
        <w:jc w:val="both"/>
      </w:pPr>
      <w:r>
        <w:rPr>
          <w:rFonts w:ascii="Times New Roman" w:hAnsi="Times New Roman" w:cs="Times New Roman"/>
          <w:sz w:val="26"/>
          <w:szCs w:val="26"/>
        </w:rPr>
        <w:t>Student’s ID: .................................................................</w:t>
      </w:r>
    </w:p>
    <w:p w14:paraId="0A000023" w14:textId="77777777" w:rsidR="00CC0001" w:rsidRDefault="00CC0001">
      <w:pPr>
        <w:jc w:val="both"/>
      </w:pPr>
      <w:r>
        <w:rPr>
          <w:rFonts w:ascii="Times New Roman" w:hAnsi="Times New Roman" w:cs="Times New Roman"/>
          <w:sz w:val="26"/>
          <w:szCs w:val="26"/>
        </w:rPr>
        <w:t>Major: .........................................................................</w:t>
      </w:r>
    </w:p>
    <w:p w14:paraId="0A000024" w14:textId="77777777" w:rsidR="00CC0001" w:rsidRDefault="00CC0001">
      <w:pPr>
        <w:jc w:val="both"/>
      </w:pPr>
      <w:r>
        <w:rPr>
          <w:rFonts w:ascii="Times New Roman" w:hAnsi="Times New Roman" w:cs="Times New Roman"/>
          <w:sz w:val="26"/>
          <w:szCs w:val="26"/>
        </w:rPr>
        <w:t>Program: Advanced Education Program / Excellent Education Program / POHE</w:t>
      </w:r>
    </w:p>
    <w:p w14:paraId="0A000025" w14:textId="77777777" w:rsidR="00CC0001" w:rsidRDefault="00CC0001">
      <w:pPr>
        <w:jc w:val="both"/>
      </w:pPr>
      <w:r>
        <w:rPr>
          <w:rFonts w:ascii="Times New Roman" w:hAnsi="Times New Roman" w:cs="Times New Roman"/>
          <w:sz w:val="26"/>
          <w:szCs w:val="26"/>
        </w:rPr>
        <w:t>Class: .........................................................................</w:t>
      </w:r>
    </w:p>
    <w:p w14:paraId="0A000026" w14:textId="77777777" w:rsidR="00CC0001" w:rsidRDefault="00CC0001">
      <w:pPr>
        <w:jc w:val="both"/>
      </w:pPr>
      <w:r>
        <w:rPr>
          <w:rFonts w:ascii="Times New Roman" w:hAnsi="Times New Roman" w:cs="Times New Roman"/>
          <w:sz w:val="26"/>
          <w:szCs w:val="26"/>
        </w:rPr>
        <w:t>Supervisor: ....................................................................</w:t>
      </w:r>
    </w:p>
    <w:p w14:paraId="0A000027" w14:textId="77777777" w:rsidR="00CC0001" w:rsidRDefault="00CC0001"/>
    <w:p w14:paraId="0A000028" w14:textId="77777777" w:rsidR="00CC0001" w:rsidRDefault="00CC0001"/>
    <w:p w14:paraId="0A000029" w14:textId="77777777" w:rsidR="00CC0001" w:rsidRDefault="00CC0001"/>
    <w:p w14:paraId="0A00002A" w14:textId="77777777" w:rsidR="00CC0001" w:rsidRDefault="00CC0001"/>
    <w:p w14:paraId="0A00002B" w14:textId="77777777" w:rsidR="00CC0001" w:rsidRDefault="00CC0001"/>
    <w:p w14:paraId="0A00002C" w14:textId="77777777" w:rsidR="00CC0001" w:rsidRDefault="00CC0001">
      <w:pPr>
        <w:spacing w:before="240" w:after="240"/>
        <w:jc w:val="center"/>
      </w:pPr>
      <w:r>
        <w:rPr>
          <w:rFonts w:ascii="Times New Roman" w:hAnsi="Times New Roman" w:cs="Times New Roman"/>
          <w:sz w:val="28"/>
          <w:szCs w:val="28"/>
          <w:b/>
        </w:rPr>
        <w:t>HANOI 2025</w:t>
      </w:r>
    </w:p>
    <w:p w14:paraId="PB000001" w14:textId="77777777" w:rsidR="00CC0001" w:rsidRDefault="00CC0001">
      <w:r>
        <w:br w:type="page"/>
      </w:r>
    </w:p>
    <w:p w14:paraId="0A00002D" w14:textId="77777777" w:rsidR="00CC0001" w:rsidRDefault="00CC0001">
      <w:pPr>
        <w:spacing w:before="240" w:after="240"/>
        <w:jc w:val="center"/>
      </w:pPr>
      <w:r>
        <w:rPr>
          <w:rFonts w:ascii="Times New Roman" w:hAnsi="Times New Roman" w:cs="Times New Roman"/>
          <w:sz w:val="36"/>
          <w:szCs w:val="36"/>
          <w:b/>
        </w:rPr>
        <w:t>ACKNOWLEDGEMENTS</w:t>
      </w:r>
    </w:p>
    <w:p w14:paraId="0A00002E" w14:textId="77777777" w:rsidR="00CC0001" w:rsidRDefault="00CC0001"/>
    <w:p w14:paraId="0A00002F" w14:textId="77777777" w:rsidR="00CC0001" w:rsidRDefault="00CC0001">
      <w:pPr>
        <w:jc w:val="both"/>
      </w:pPr>
      <w:r>
        <w:rPr>
          <w:rFonts w:ascii="Times New Roman" w:hAnsi="Times New Roman" w:cs="Times New Roman"/>
          <w:sz w:val="26"/>
          <w:szCs w:val="26"/>
          <w:i/>
          <w:color w:val="FF0000"/>
        </w:rPr>
        <w:t>[TO BE WRITTEN — Write a sincere acknowledgement to those who helped with the thesis. Keep it genuine and concise, as per guideline 1.2.]</w:t>
      </w:r>
    </w:p>
    <w:p w14:paraId="0A000030" w14:textId="77777777" w:rsidR="00CC0001" w:rsidRDefault="00CC0001"/>
    <w:p w14:paraId="0A000031" w14:textId="77777777" w:rsidR="00CC0001" w:rsidRDefault="00CC0001"/>
    <w:p w14:paraId="PB000001" w14:textId="77777777" w:rsidR="00CC0001" w:rsidRDefault="00CC0001">
      <w:r>
        <w:br w:type="page"/>
      </w:r>
    </w:p>
    <w:p w14:paraId="0A000032" w14:textId="77777777" w:rsidR="00CC0001" w:rsidRDefault="00CC0001">
      <w:pPr>
        <w:spacing w:before="240" w:after="240"/>
        <w:jc w:val="center"/>
      </w:pPr>
      <w:r>
        <w:rPr>
          <w:rFonts w:ascii="Times New Roman" w:hAnsi="Times New Roman" w:cs="Times New Roman"/>
          <w:sz w:val="36"/>
          <w:szCs w:val="36"/>
          <w:b/>
        </w:rPr>
        <w:t>STATUTORY DECLARATION</w:t>
      </w:r>
    </w:p>
    <w:p w14:paraId="0A000033" w14:textId="77777777" w:rsidR="00CC0001" w:rsidRDefault="00CC0001"/>
    <w:p w14:paraId="0A000034" w14:textId="77777777" w:rsidR="00CC0001" w:rsidRDefault="00CC0001">
      <w:pPr>
        <w:jc w:val="both"/>
      </w:pPr>
      <w:r>
        <w:rPr>
          <w:rFonts w:ascii="Times New Roman" w:hAnsi="Times New Roman" w:cs="Times New Roman"/>
          <w:sz w:val="26"/>
          <w:szCs w:val="26"/>
        </w:rPr>
        <w:t>I herewith formally declare that I myself have written the submitted Bachelor Thesis independently. I did not use any outside support except for the quoted literature and other sources mentioned at the end of this paper.</w:t>
      </w:r>
    </w:p>
    <w:p w14:paraId="0A000035" w14:textId="77777777" w:rsidR="00CC0001" w:rsidRDefault="00CC0001"/>
    <w:p w14:paraId="0A000036" w14:textId="77777777" w:rsidR="00CC0001" w:rsidRDefault="00CC0001">
      <w:pPr>
        <w:jc w:val="both"/>
      </w:pPr>
      <w:r>
        <w:rPr>
          <w:rFonts w:ascii="Times New Roman" w:hAnsi="Times New Roman" w:cs="Times New Roman"/>
          <w:sz w:val="26"/>
          <w:szCs w:val="26"/>
        </w:rPr>
        <w:t>I clearly marked and separately listed all the literature and all other sources which I employed producing this academic work, either literally or in content.</w:t>
      </w:r>
    </w:p>
    <w:p w14:paraId="0A000037" w14:textId="77777777" w:rsidR="00CC0001" w:rsidRDefault="00CC0001"/>
    <w:p w14:paraId="0A000038" w14:textId="77777777" w:rsidR="00CC0001" w:rsidRDefault="00CC0001"/>
    <w:p w14:paraId="0A000039" w14:textId="77777777" w:rsidR="00CC0001" w:rsidRDefault="00CC0001">
      <w:pPr>
        <w:jc w:val="right"/>
      </w:pPr>
      <w:r>
        <w:rPr>
          <w:rFonts w:ascii="Times New Roman" w:hAnsi="Times New Roman" w:cs="Times New Roman"/>
          <w:sz w:val="26"/>
          <w:szCs w:val="26"/>
        </w:rPr>
        <w:t>HaNoi, ….. / ….. / 20…..</w:t>
      </w:r>
    </w:p>
    <w:p w14:paraId="0A00003A" w14:textId="77777777" w:rsidR="00CC0001" w:rsidRDefault="00CC0001">
      <w:pPr>
        <w:jc w:val="right"/>
      </w:pPr>
      <w:r>
        <w:rPr>
          <w:rFonts w:ascii="Times New Roman" w:hAnsi="Times New Roman" w:cs="Times New Roman"/>
          <w:sz w:val="26"/>
          <w:szCs w:val="26"/>
        </w:rPr>
        <w:t>Signature</w:t>
      </w:r>
    </w:p>
    <w:p w14:paraId="PB000001" w14:textId="77777777" w:rsidR="00CC0001" w:rsidRDefault="00CC0001">
      <w:r>
        <w:br w:type="page"/>
      </w:r>
    </w:p>
    <w:p w14:paraId="0A00003B" w14:textId="77777777" w:rsidR="00CC0001" w:rsidRDefault="00CC0001">
      <w:pPr>
        <w:spacing w:before="240" w:after="240"/>
        <w:jc w:val="center"/>
      </w:pPr>
      <w:r>
        <w:rPr>
          <w:rFonts w:ascii="Times New Roman" w:hAnsi="Times New Roman" w:cs="Times New Roman"/>
          <w:sz w:val="36"/>
          <w:szCs w:val="36"/>
          <w:b/>
        </w:rPr>
        <w:t>TABLE OF CONTENTS</w:t>
      </w:r>
    </w:p>
    <w:p w14:paraId="0A00003C" w14:textId="77777777" w:rsidR="00CC0001" w:rsidRDefault="00CC0001"/>
    <w:p w14:paraId="0A00003D" w14:textId="77777777" w:rsidR="00CC0001" w:rsidRDefault="00CC0001">
      <w:pPr>
        <w:jc w:val="both"/>
      </w:pPr>
      <w:r>
        <w:rPr>
          <w:rFonts w:ascii="Times New Roman" w:hAnsi="Times New Roman" w:cs="Times New Roman"/>
          <w:sz w:val="26"/>
          <w:szCs w:val="26"/>
          <w:i/>
          <w:color w:val="FF0000"/>
        </w:rPr>
        <w:t>[TABLE OF CONTENTS — To be generated automatically in Word: References → Table of Contents. Ensure all headings use proper Heading styles.]</w:t>
      </w:r>
    </w:p>
    <w:p w14:paraId="0A00003E" w14:textId="77777777" w:rsidR="00CC0001" w:rsidRDefault="00CC0001"/>
    <w:p w14:paraId="PB000001" w14:textId="77777777" w:rsidR="00CC0001" w:rsidRDefault="00CC0001">
      <w:r>
        <w:br w:type="page"/>
      </w:r>
    </w:p>
    <w:p w14:paraId="0A00003F" w14:textId="77777777" w:rsidR="00CC0001" w:rsidRDefault="00CC0001">
      <w:pPr>
        <w:spacing w:before="240" w:after="240"/>
        <w:jc w:val="center"/>
      </w:pPr>
      <w:r>
        <w:rPr>
          <w:rFonts w:ascii="Times New Roman" w:hAnsi="Times New Roman" w:cs="Times New Roman"/>
          <w:sz w:val="36"/>
          <w:szCs w:val="36"/>
          <w:b/>
        </w:rPr>
        <w:t>LIST OF ABBREVIATIONS</w:t>
      </w:r>
    </w:p>
    <w:p w14:paraId="0A000040" w14:textId="77777777" w:rsidR="00CC0001" w:rsidRDefault="00CC0001"/>
    <w:p w14:paraId="0A000041" w14:textId="77777777" w:rsidR="00CC0001" w:rsidRDefault="00CC0001">
      <w:pPr>
        <w:jc w:val="both"/>
      </w:pPr>
      <w:r>
        <w:rPr>
          <w:rFonts w:ascii="Times New Roman" w:hAnsi="Times New Roman" w:cs="Times New Roman"/>
          <w:sz w:val="26"/>
          <w:szCs w:val="26"/>
        </w:rPr>
        <w:t>CPI – Consumer Price Index</w:t>
      </w:r>
    </w:p>
    <w:p w14:paraId="0A000042" w14:textId="77777777" w:rsidR="00CC0001" w:rsidRDefault="00CC0001">
      <w:pPr>
        <w:jc w:val="both"/>
      </w:pPr>
      <w:r>
        <w:rPr>
          <w:rFonts w:ascii="Times New Roman" w:hAnsi="Times New Roman" w:cs="Times New Roman"/>
          <w:sz w:val="26"/>
          <w:szCs w:val="26"/>
        </w:rPr>
        <w:t>CBBE – Customer-Based Brand Equity</w:t>
      </w:r>
    </w:p>
    <w:p w14:paraId="0A000043" w14:textId="77777777" w:rsidR="00CC0001" w:rsidRDefault="00CC0001">
      <w:pPr>
        <w:jc w:val="both"/>
      </w:pPr>
      <w:r>
        <w:rPr>
          <w:rFonts w:ascii="Times New Roman" w:hAnsi="Times New Roman" w:cs="Times New Roman"/>
          <w:sz w:val="26"/>
          <w:szCs w:val="26"/>
        </w:rPr>
        <w:t>FE – Fixed Effects</w:t>
      </w:r>
    </w:p>
    <w:p w14:paraId="0A000044" w14:textId="77777777" w:rsidR="00CC0001" w:rsidRDefault="00CC0001">
      <w:pPr>
        <w:jc w:val="both"/>
      </w:pPr>
      <w:r>
        <w:rPr>
          <w:rFonts w:ascii="Times New Roman" w:hAnsi="Times New Roman" w:cs="Times New Roman"/>
          <w:sz w:val="26"/>
          <w:szCs w:val="26"/>
        </w:rPr>
        <w:t>GSO – General Statistics Office (of Vietnam)</w:t>
      </w:r>
    </w:p>
    <w:p w14:paraId="0A000045" w14:textId="77777777" w:rsidR="00CC0001" w:rsidRDefault="00CC0001">
      <w:pPr>
        <w:jc w:val="both"/>
      </w:pPr>
      <w:r>
        <w:rPr>
          <w:rFonts w:ascii="Times New Roman" w:hAnsi="Times New Roman" w:cs="Times New Roman"/>
          <w:sz w:val="26"/>
          <w:szCs w:val="26"/>
        </w:rPr>
        <w:t>NLP – Natural Language Processing</w:t>
      </w:r>
    </w:p>
    <w:p w14:paraId="0A000046" w14:textId="77777777" w:rsidR="00CC0001" w:rsidRDefault="00CC0001">
      <w:pPr>
        <w:jc w:val="both"/>
      </w:pPr>
      <w:r>
        <w:rPr>
          <w:rFonts w:ascii="Times New Roman" w:hAnsi="Times New Roman" w:cs="Times New Roman"/>
          <w:sz w:val="26"/>
          <w:szCs w:val="26"/>
        </w:rPr>
        <w:t>OLS – Ordinary Least Squares</w:t>
      </w:r>
    </w:p>
    <w:p w14:paraId="0A000047" w14:textId="77777777" w:rsidR="00CC0001" w:rsidRDefault="00CC0001">
      <w:pPr>
        <w:jc w:val="both"/>
      </w:pPr>
      <w:r>
        <w:rPr>
          <w:rFonts w:ascii="Times New Roman" w:hAnsi="Times New Roman" w:cs="Times New Roman"/>
          <w:sz w:val="26"/>
          <w:szCs w:val="26"/>
        </w:rPr>
        <w:t>SE – Standard Errors</w:t>
      </w:r>
    </w:p>
    <w:p w14:paraId="0A000048" w14:textId="77777777" w:rsidR="00CC0001" w:rsidRDefault="00CC0001">
      <w:pPr>
        <w:jc w:val="both"/>
      </w:pPr>
      <w:r>
        <w:rPr>
          <w:rFonts w:ascii="Times New Roman" w:hAnsi="Times New Roman" w:cs="Times New Roman"/>
          <w:sz w:val="26"/>
          <w:szCs w:val="26"/>
        </w:rPr>
        <w:t>VIF – Variance Inflation Factor</w:t>
      </w:r>
    </w:p>
    <w:p w14:paraId="0A000049" w14:textId="77777777" w:rsidR="00CC0001" w:rsidRDefault="00CC0001">
      <w:pPr>
        <w:jc w:val="both"/>
      </w:pPr>
      <w:r>
        <w:rPr>
          <w:rFonts w:ascii="Times New Roman" w:hAnsi="Times New Roman" w:cs="Times New Roman"/>
          <w:sz w:val="26"/>
          <w:szCs w:val="26"/>
        </w:rPr>
        <w:t>VND – Vietnamese Dong</w:t>
      </w:r>
    </w:p>
    <w:p w14:paraId="0A00004A" w14:textId="77777777" w:rsidR="00CC0001" w:rsidRDefault="00CC0001">
      <w:pPr>
        <w:jc w:val="both"/>
      </w:pPr>
      <w:r>
        <w:rPr>
          <w:rFonts w:ascii="Times New Roman" w:hAnsi="Times New Roman" w:cs="Times New Roman"/>
          <w:sz w:val="26"/>
          <w:szCs w:val="26"/>
        </w:rPr>
        <w:t>WTP – Willingness to Pay</w:t>
      </w:r>
    </w:p>
    <w:p w14:paraId="0A00004B" w14:textId="77777777" w:rsidR="00CC0001" w:rsidRDefault="00CC0001">
      <w:pPr>
        <w:jc w:val="both"/>
      </w:pPr>
      <w:r>
        <w:rPr>
          <w:rFonts w:ascii="Times New Roman" w:hAnsi="Times New Roman" w:cs="Times New Roman"/>
          <w:sz w:val="26"/>
          <w:szCs w:val="26"/>
          <w:i/>
          <w:color w:val="FF0000"/>
        </w:rPr>
        <w:t>[Review and complete this list with all abbreviations used in the thesis, sorted alphabetically.]</w:t>
      </w:r>
    </w:p>
    <w:p w14:paraId="PB000001" w14:textId="77777777" w:rsidR="00CC0001" w:rsidRDefault="00CC0001">
      <w:r>
        <w:br w:type="page"/>
      </w:r>
    </w:p>
    <w:p w14:paraId="0A00004C" w14:textId="77777777" w:rsidR="00CC0001" w:rsidRDefault="00CC0001">
      <w:pPr>
        <w:spacing w:before="240" w:after="240"/>
        <w:jc w:val="center"/>
      </w:pPr>
      <w:r>
        <w:rPr>
          <w:rFonts w:ascii="Times New Roman" w:hAnsi="Times New Roman" w:cs="Times New Roman"/>
          <w:sz w:val="36"/>
          <w:szCs w:val="36"/>
          <w:b/>
        </w:rPr>
        <w:t>LIST OF TABLES</w:t>
      </w:r>
    </w:p>
    <w:p w14:paraId="0A00004D" w14:textId="77777777" w:rsidR="00CC0001" w:rsidRDefault="00CC0001"/>
    <w:p w14:paraId="0A00004E" w14:textId="77777777" w:rsidR="00CC0001" w:rsidRDefault="00CC0001">
      <w:pPr>
        <w:jc w:val="both"/>
      </w:pPr>
      <w:r>
        <w:rPr>
          <w:rFonts w:ascii="Times New Roman" w:hAnsi="Times New Roman" w:cs="Times New Roman"/>
          <w:sz w:val="26"/>
          <w:szCs w:val="26"/>
          <w:i/>
          <w:color w:val="FF0000"/>
        </w:rPr>
        <w:t>[TO BE GENERATED — List all tables with their numbers, titles, and page numbers. Use Word’s Insert Table of Figures feature with the “Table” label. Numbering should follow chapter: e.g., Table 1.1 = first table in Chapter 1.]</w:t>
      </w:r>
    </w:p>
    <w:p w14:paraId="0A00004F" w14:textId="77777777" w:rsidR="00CC0001" w:rsidRDefault="00CC0001"/>
    <w:p w14:paraId="0A000050" w14:textId="77777777" w:rsidR="00CC0001" w:rsidRDefault="00CC0001">
      <w:pPr>
        <w:spacing w:before="240" w:after="240"/>
        <w:jc w:val="center"/>
      </w:pPr>
      <w:r>
        <w:rPr>
          <w:rFonts w:ascii="Times New Roman" w:hAnsi="Times New Roman" w:cs="Times New Roman"/>
          <w:sz w:val="36"/>
          <w:szCs w:val="36"/>
          <w:b/>
        </w:rPr>
        <w:t>LIST OF FIGURES</w:t>
      </w:r>
    </w:p>
    <w:p w14:paraId="0A000051" w14:textId="77777777" w:rsidR="00CC0001" w:rsidRDefault="00CC0001"/>
    <w:p w14:paraId="0A000052" w14:textId="77777777" w:rsidR="00CC0001" w:rsidRDefault="00CC0001">
      <w:pPr>
        <w:jc w:val="both"/>
      </w:pPr>
      <w:r>
        <w:rPr>
          <w:rFonts w:ascii="Times New Roman" w:hAnsi="Times New Roman" w:cs="Times New Roman"/>
          <w:sz w:val="26"/>
          <w:szCs w:val="26"/>
          <w:i/>
          <w:color w:val="FF0000"/>
        </w:rPr>
        <w:t>[TO BE GENERATED — List all figures with their numbers, titles, and page numbers. Use Word’s Insert Table of Figures feature with the “Figure” label. Numbering should follow chapter: e.g., Figure 2.1 = first figure in Chapter 2.]</w:t>
      </w:r>
    </w:p>
    <w:p w14:paraId="PB000001" w14:textId="77777777" w:rsidR="00CC0001" w:rsidRDefault="00CC0001">
      <w:r>
        <w:br w:type="page"/>
      </w:r>
    </w:p>
    <w:p w14:paraId="0A000053" w14:textId="77777777" w:rsidR="00CC0001" w:rsidRDefault="00CC0001">
      <w:pPr>
        <w:spacing w:before="240" w:after="240"/>
        <w:jc w:val="center"/>
      </w:pPr>
      <w:r>
        <w:rPr>
          <w:rFonts w:ascii="Times New Roman" w:hAnsi="Times New Roman" w:cs="Times New Roman"/>
          <w:sz w:val="36"/>
          <w:szCs w:val="36"/>
          <w:b/>
        </w:rPr>
        <w:t>EXECUTIVE SUMMARY</w:t>
      </w:r>
    </w:p>
    <w:p w14:paraId="0A000054" w14:textId="77777777" w:rsidR="00CC0001" w:rsidRDefault="00CC0001"/>
    <w:p w14:paraId="0A000055" w14:textId="77777777" w:rsidR="00CC0001" w:rsidRDefault="00CC0001">
      <w:pPr>
        <w:jc w:val="both"/>
      </w:pPr>
      <w:r>
        <w:rPr>
          <w:rFonts w:ascii="Times New Roman" w:hAnsi="Times New Roman" w:cs="Times New Roman"/>
          <w:sz w:val="26"/>
          <w:szCs w:val="26"/>
          <w:i/>
          <w:color w:val="FF0000"/>
        </w:rPr>
        <w:t>[TO BE WRITTEN — Provide a concise summary (1–2 pages) of the entire thesis, including: research context and motivation, research question, methodology used, key findings, and main conclusions and recommendations. This should be self-contained so a reader can understand the thesis without reading the full text.]</w:t>
      </w:r>
    </w:p>
    <w:p w14:paraId="0A000056" w14:textId="77777777" w:rsidR="00CC0001" w:rsidRDefault="00CC0001"/>
    <w:p w14:paraId="PB000001" w14:textId="77777777" w:rsidR="00CC0001" w:rsidRDefault="00CC0001">
      <w:r>
        <w:br w:type="page"/>
      </w:r>
    </w:p>
    <w:p w14:paraId="116D43ED" w14:textId="77777777" w:rsidR="00E05E66" w:rsidRDefault="00000000">
      <w:pPr>
        <w:pStyle w:val="Heading1"/>
      </w:pPr>
      <w:r>
        <w:t>CHAPTER 1</w:t>
      </w:r>
    </w:p>
    <w:p w14:paraId="27D38F53" w14:textId="77777777" w:rsidR="00E05E66" w:rsidRDefault="00000000">
      <w:pPr>
        <w:pStyle w:val="Heading1"/>
        <w:spacing w:before="0"/>
      </w:pPr>
      <w:r>
        <w:t>INTRODUCTION</w:t>
      </w:r>
    </w:p>
    <w:p w14:paraId="7A2E2DC7" w14:textId="77777777" w:rsidR="00E05E66" w:rsidRDefault="00000000">
      <w:pPr>
        <w:pStyle w:val="Heading2"/>
      </w:pPr>
      <w:r>
        <w:t>1.1  Motivation for Research</w:t>
      </w:r>
    </w:p>
    <w:p w14:paraId="589F2832" w14:textId="77777777" w:rsidR="00E05E66" w:rsidRDefault="00000000">
      <w:pPr>
        <w:pStyle w:val="NoIndent"/>
      </w:pPr>
      <w:r>
        <w:t>The motivation for this research comes from three perspectives: an observation about how Vietnamese online grocery platforms price consumer-facing goods, the author’s personal career ambitions, and the practical relevance of the findings for everyday household grocery decisions.</w:t>
      </w:r>
    </w:p>
    <w:p w14:paraId="6CD5FE92" w14:textId="77777777" w:rsidR="00E05E66" w:rsidRDefault="00000000">
      <w:pPr>
        <w:pStyle w:val="NoIndent"/>
      </w:pPr>
      <w:r>
        <w:t xml:space="preserve">First, from a consumer standpoint, grocery shopping in Vietnam has changed considerably over the past few years. Where consumers once relied almost entirely on wet markets and neighborhood shops, a growing share of urban households now orders food online, scrolling through product listings, comparing prices, and checking out with a few taps (Tran et al., 2025; Bairagi et al., 2020). In this environment, one pattern stands out immediately: </w:t>
      </w:r>
      <w:r>
        <w:rPr>
          <w:b/>
        </w:rPr>
        <w:t>grocery items that share the same core ingredients and serve the same everyday need routinely carry different prices</w:t>
      </w:r>
      <w:r>
        <w:t>, not only across platforms, but even within a single retailer’s own catalog. A litre of fresh milk on Winmart’s website, for instance, can range from a budget house-brand carton at around 25,000 VND to an imported organic option at over 80,000 VND, a threefold to fivefold difference for what is, at its core, the same product.</w:t>
      </w:r>
    </w:p>
    <w:p w14:paraId="68942345" w14:textId="77777777" w:rsidR="00E05E66" w:rsidRDefault="00000000">
      <w:r>
        <w:t xml:space="preserve">What is even more striking is the gap between what a retailer displays and what a consumer actually pays. Most products on Winmart carry </w:t>
      </w:r>
      <w:r>
        <w:rPr>
          <w:b/>
        </w:rPr>
        <w:t>two visible prices</w:t>
      </w:r>
      <w:r>
        <w:t xml:space="preserve">: a </w:t>
      </w:r>
      <w:r>
        <w:rPr>
          <w:b/>
        </w:rPr>
        <w:t>marked price</w:t>
      </w:r>
      <w:r>
        <w:t xml:space="preserve"> (the sticker or original price) and a </w:t>
      </w:r>
      <w:r>
        <w:rPr>
          <w:b/>
        </w:rPr>
        <w:t>final price</w:t>
      </w:r>
      <w:r>
        <w:t xml:space="preserve"> (the checkout price after promotions). These are not small differences. In some categories, promotions are so pervasive that they appear to be the default pricing regime rather than a temporary event. This raises a natural question: what determines the gap between the sticker tag and the checkout total? Which product attributes (brand name, import origin, health </w:t>
        <w:lastRenderedPageBreak/>
        <w:t>claims, packaging size) actually cost more at the till, and which are marked up on the shelf only to be discounted away?</w:t>
      </w:r>
    </w:p>
    <w:p w14:paraId="1619EE0D" w14:textId="77777777" w:rsidR="00E05E66" w:rsidRDefault="00000000">
      <w:r>
        <w:t xml:space="preserve">These are not purely academic questions. For a Vietnamese consumer deciding between a domestic and an imported yoghurt, or between a well-known brand and an unfamiliar one, the sticker price tells one story and the checkout price may tell another. Understanding </w:t>
      </w:r>
      <w:r>
        <w:rPr>
          <w:b/>
        </w:rPr>
        <w:t>which premiums are real and which are promotional theatre</w:t>
      </w:r>
      <w:r>
        <w:t xml:space="preserve"> has practical implications for everyday household budgeting.</w:t>
      </w:r>
    </w:p>
    <w:p w14:paraId="7BCE3658" w14:textId="77777777" w:rsidR="00E05E66" w:rsidRDefault="00000000">
      <w:pPr>
        <w:pStyle w:val="NoIndent"/>
      </w:pPr>
      <w:r>
        <w:t xml:space="preserve">Second, on a personal level, this thesis represents a transition from theoretical coursework to </w:t>
      </w:r>
      <w:r>
        <w:rPr>
          <w:b/>
        </w:rPr>
        <w:t>applied analytics on a real market dataset</w:t>
      </w:r>
      <w:r>
        <w:t xml:space="preserve">. The project involved building an </w:t>
      </w:r>
      <w:r>
        <w:rPr>
          <w:b/>
        </w:rPr>
        <w:t>end-to-end data pipeline</w:t>
      </w:r>
      <w:r>
        <w:t xml:space="preserve"> (from automated web scraping and natural language processing to econometric modelling) that runs daily and has accumulated nearly three months of continuous price observations. </w:t>
      </w:r>
    </w:p>
    <w:p w14:paraId="3107D511" w14:textId="77777777" w:rsidR="00E05E66" w:rsidRDefault="00000000">
      <w:r>
        <w:t xml:space="preserve">The analytical challenge at the center of the thesis, </w:t>
      </w:r>
      <w:r>
        <w:rPr>
          <w:b/>
        </w:rPr>
        <w:t>decomposing an observed price into its constituent attribute values</w:t>
      </w:r>
      <w:r>
        <w:t xml:space="preserve"> (brand, origin, health claim, packaging) using regression analysis, is essentially a problem of </w:t>
      </w:r>
      <w:r>
        <w:rPr>
          <w:b/>
        </w:rPr>
        <w:t>reverse-engineering market valuations</w:t>
      </w:r>
      <w:r>
        <w:t xml:space="preserve"> from publicly observable data. It draws on skills in web scraping, text processing, and statistical modelling that are directly transferable to roles in pricing analytics, market research, and data science.</w:t>
      </w:r>
    </w:p>
    <w:p w14:paraId="1485B3D6" w14:textId="77777777" w:rsidR="00E05E66" w:rsidRDefault="00000000">
      <w:pPr>
        <w:pStyle w:val="NoIndent"/>
      </w:pPr>
      <w:r>
        <w:t>Third, the analysis carries practical relevance for daily grocery decisions in three specific ways: informed spending, navigating promotions, and budget allocation.</w:t>
      </w:r>
    </w:p>
    <w:p w14:paraId="6850D73B" w14:textId="78752B93" w:rsidR="00E05E66" w:rsidRDefault="00000000">
      <w:pPr>
        <w:pStyle w:val="NoIndent"/>
      </w:pPr>
      <w:r>
        <w:rPr>
          <w:b/>
        </w:rPr>
        <w:t>Informed spending.</w:t>
      </w:r>
      <w:r>
        <w:t xml:space="preserve"> If the analysis can show which product attributes genuinely cost more at checkout versus which are marked up on the sticker only to be discounted away, a consumer can distinguish </w:t>
      </w:r>
      <w:r>
        <w:rPr>
          <w:b/>
        </w:rPr>
        <w:t>real premiums from promotional framing</w:t>
      </w:r>
      <w:r>
        <w:t xml:space="preserve">; for instance, </w:t>
      </w:r>
      <w:commentRangeStart w:id="0"/>
      <w:r>
        <w:t xml:space="preserve">they can know </w:t>
      </w:r>
      <w:commentRangeEnd w:id="0"/>
      <w:r>
        <w:rPr>
          <w:rStyle w:val="CommentReference"/>
        </w:rPr>
        <w:commentReference w:id="0"/>
      </w:r>
      <w:r>
        <w:t>whether the extra cost of an imported or organic label actually reaches the till, or whether promotions effectively neutralize it.</w:t>
      </w:r>
    </w:p>
    <w:p w14:paraId="005DDF02" w14:textId="77777777" w:rsidR="00E05E66" w:rsidRDefault="00000000">
      <w:r>
        <w:rPr>
          <w:b/>
        </w:rPr>
        <w:lastRenderedPageBreak/>
        <w:t>Navigating promotions.</w:t>
      </w:r>
      <w:r>
        <w:t xml:space="preserve"> With promotion rates as high as </w:t>
      </w:r>
      <w:r>
        <w:rPr>
          <w:b/>
        </w:rPr>
        <w:t>92.7% in categories like Dairy</w:t>
      </w:r>
      <w:r>
        <w:t>, discounts are arguably the norm rather than the exception. Understanding which premiums survive this regime helps everyday shoppers evaluate whether a “sale” price is a genuine saving or simply the normal price dressed in promotional framing.</w:t>
      </w:r>
    </w:p>
    <w:p w14:paraId="2C410AC6" w14:textId="77777777" w:rsidR="00E05E66" w:rsidRDefault="00000000">
      <w:r>
        <w:rPr>
          <w:b/>
        </w:rPr>
        <w:t>Budget allocation.</w:t>
      </w:r>
      <w:r>
        <w:t xml:space="preserve"> If price-tier positioning (budget vs. premium) persists through discounting while brand-name premiums are largely eroded, the single most consequential choice in a grocery basket may not be </w:t>
      </w:r>
      <w:r>
        <w:rPr>
          <w:i/>
        </w:rPr>
        <w:t>which brand</w:t>
      </w:r>
      <w:r>
        <w:t xml:space="preserve"> to buy, but </w:t>
      </w:r>
      <w:r>
        <w:rPr>
          <w:i/>
        </w:rPr>
        <w:t>which price tier</w:t>
      </w:r>
      <w:r>
        <w:t xml:space="preserve"> to shop in, a practical insight for household budgeting.</w:t>
      </w:r>
    </w:p>
    <w:p w14:paraId="56470680" w14:textId="77777777" w:rsidR="00E05E66" w:rsidRDefault="00000000">
      <w:pPr>
        <w:pStyle w:val="Heading2"/>
      </w:pPr>
      <w:r>
        <w:t>1.2  Research Subject and Scope</w:t>
      </w:r>
    </w:p>
    <w:p w14:paraId="7DD14A0B" w14:textId="77777777" w:rsidR="00E05E66" w:rsidRDefault="00000000">
      <w:pPr>
        <w:pStyle w:val="NoIndent"/>
      </w:pPr>
      <w:r>
        <w:t xml:space="preserve">This thesis examines </w:t>
      </w:r>
      <w:r>
        <w:rPr>
          <w:b/>
        </w:rPr>
        <w:t>attribute-based price premiums in Vietnamese online grocery retail</w:t>
      </w:r>
      <w:r>
        <w:t xml:space="preserve">, using </w:t>
      </w:r>
      <w:r>
        <w:rPr>
          <w:b/>
        </w:rPr>
        <w:t>88 days of web-scraped dual-price data</w:t>
      </w:r>
      <w:r>
        <w:t xml:space="preserve"> (December 18, 2025 to mid-March 2026) from </w:t>
      </w:r>
      <w:r>
        <w:rPr>
          <w:b/>
        </w:rPr>
        <w:t>Winmart</w:t>
      </w:r>
      <w:r>
        <w:t xml:space="preserve">, Vietnam’s largest modern grocery chain by store count (WinCommerce, 2025). The dataset covers </w:t>
      </w:r>
      <w:r>
        <w:rPr>
          <w:b/>
        </w:rPr>
        <w:t>10 food categories</w:t>
      </w:r>
      <w:r>
        <w:t xml:space="preserve"> and approximately </w:t>
      </w:r>
      <w:r>
        <w:rPr>
          <w:b/>
        </w:rPr>
        <w:t>2,280 unique products</w:t>
      </w:r>
      <w:r>
        <w:t>.</w:t>
      </w:r>
    </w:p>
    <w:p w14:paraId="61127743" w14:textId="77777777" w:rsidR="00E05E66" w:rsidRDefault="00000000">
      <w:r>
        <w:t xml:space="preserve">A distinctive feature of the data is that most products display two prices: a </w:t>
      </w:r>
      <w:r>
        <w:rPr>
          <w:b/>
        </w:rPr>
        <w:t>marked price</w:t>
      </w:r>
      <w:r>
        <w:t xml:space="preserve"> (the sticker or original price displayed on the virtual shelf) and a </w:t>
      </w:r>
      <w:r>
        <w:rPr>
          <w:b/>
        </w:rPr>
        <w:t>final price</w:t>
      </w:r>
      <w:r>
        <w:t xml:space="preserve"> (the actual checkout price after all applied promotions). </w:t>
      </w:r>
      <w:r>
        <w:rPr>
          <w:b/>
        </w:rPr>
        <w:t>Promotion penetration varies dramatically across categories</w:t>
      </w:r>
      <w:r>
        <w:t xml:space="preserve">, from 36.1% in spices to 0% in eggs and tofu. This </w:t>
      </w:r>
      <w:r>
        <w:rPr>
          <w:b/>
        </w:rPr>
        <w:t>dual-price structure</w:t>
      </w:r>
      <w:r>
        <w:t xml:space="preserve"> creates a natural opportunity to examine whether attribute premiums observed in sticker prices survive at the point of sale.</w:t>
      </w:r>
    </w:p>
    <w:p w14:paraId="1C763B81" w14:textId="77777777" w:rsidR="00E05E66" w:rsidRDefault="00000000">
      <w:r>
        <w:t xml:space="preserve">The 88-day observation window spans </w:t>
      </w:r>
      <w:r>
        <w:rPr>
          <w:b/>
        </w:rPr>
        <w:t>Tết Nguyên Đán 2026 (February 17)</w:t>
      </w:r>
      <w:r>
        <w:t xml:space="preserve">, Vietnam’s most significant consumption event and a period of peak promotional activity. Rather than constituting a limitation, the inclusion of the Tết period provides </w:t>
      </w:r>
      <w:r>
        <w:rPr>
          <w:b/>
        </w:rPr>
        <w:t>maximum promotional variance</w:t>
      </w:r>
      <w:r>
        <w:t xml:space="preserve">, analytically useful for observing the full range of pricing behavior. The cross-sectional hedonic design, which averages prices over each product’s observed days, dampens short-term seasonal noise, while subcategory </w:t>
        <w:lastRenderedPageBreak/>
        <w:t xml:space="preserve">fixed effects absorb category-level seasonality. A </w:t>
      </w:r>
      <w:r>
        <w:rPr>
          <w:b/>
        </w:rPr>
        <w:t>three-snapshot robustness check</w:t>
      </w:r>
      <w:r>
        <w:t xml:space="preserve"> (December, January, February) confirms the stability of coefficient estimates across the observation window.</w:t>
      </w:r>
    </w:p>
    <w:p w14:paraId="7ED5887E" w14:textId="77777777" w:rsidR="00E05E66" w:rsidRDefault="00000000">
      <w:r>
        <w:t xml:space="preserve">Vietnam’s online grocery sector is growing rapidly: food e-commerce revenue grew by an estimated 29% in 2024 (USDA, 2025), yet there is </w:t>
      </w:r>
      <w:r>
        <w:rPr>
          <w:b/>
        </w:rPr>
        <w:t>almost no empirical evidence</w:t>
      </w:r>
      <w:r>
        <w:t xml:space="preserve"> on how product attributes translate into price premiums in this channel. The modern trade segment (supermarkets and their online extensions) increasingly dominates urban food retail, but academic research on Vietnamese food pricing has relied primarily on stated-preference surveys (Mergenthaler et al., 2009; Xuan, 2021) and single-commodity analyses (Nguyen et al., 2015). This thesis addresses that gap with a </w:t>
      </w:r>
      <w:r>
        <w:rPr>
          <w:b/>
        </w:rPr>
        <w:t>revealed-preference, multi-category hedonic approach</w:t>
      </w:r>
      <w:r>
        <w:t xml:space="preserve"> using actual transaction prices.</w:t>
      </w:r>
    </w:p>
    <w:p w14:paraId="60E258A9" w14:textId="77777777" w:rsidR="00E05E66" w:rsidRDefault="00000000">
      <w:pPr>
        <w:pStyle w:val="Heading2"/>
      </w:pPr>
      <w:r>
        <w:t>1.3  Research Objectives</w:t>
      </w:r>
    </w:p>
    <w:p w14:paraId="66703438" w14:textId="77777777" w:rsidR="00E05E66" w:rsidRDefault="00000000">
      <w:pPr>
        <w:pStyle w:val="NoIndent"/>
      </w:pPr>
      <w:r>
        <w:t>The overarching research question guiding this thesis is:</w:t>
      </w:r>
    </w:p>
    <w:p w14:paraId="7990269A" w14:textId="77777777" w:rsidR="00E05E66" w:rsidRDefault="00000000">
      <w:pPr>
        <w:spacing w:before="120"/>
        <w:ind w:left="720" w:right="720" w:firstLine="0"/>
      </w:pPr>
      <w:r>
        <w:rPr>
          <w:b/>
          <w:i/>
        </w:rPr>
        <w:t>“What product attributes generate price premiums in Vietnamese online grocery, and to what extent do promotional pricing strategies erode those premiums?”</w:t>
      </w:r>
    </w:p>
    <w:p w14:paraId="2A25CF1E" w14:textId="77777777" w:rsidR="00E05E66" w:rsidRDefault="00000000">
      <w:r>
        <w:t>This research question is pursued through three specific objectives:</w:t>
      </w:r>
    </w:p>
    <w:p w14:paraId="07877E67" w14:textId="05D3D5BB" w:rsidR="00E05E66" w:rsidRDefault="00C30131">
      <w:pPr>
        <w:pStyle w:val="NoIndent"/>
      </w:pPr>
      <w:commentRangeStart w:id="1"/>
      <w:r>
        <w:rPr>
          <w:b/>
        </w:rPr>
        <w:t>Objective</w:t>
      </w:r>
      <w:r>
        <w:rPr>
          <w:b/>
          <w:lang w:val="vi-VN"/>
        </w:rPr>
        <w:t xml:space="preserve"> 1:</w:t>
      </w:r>
      <w:r>
        <w:rPr>
          <w:b/>
        </w:rPr>
        <w:t xml:space="preserve"> </w:t>
      </w:r>
      <w:commentRangeEnd w:id="1"/>
      <w:r>
        <w:rPr>
          <w:rStyle w:val="CommentReference"/>
        </w:rPr>
        <w:commentReference w:id="1"/>
      </w:r>
      <w:r>
        <w:t>Identify which product attributes (</w:t>
      </w:r>
      <w:r>
        <w:rPr>
          <w:b/>
        </w:rPr>
        <w:t>brand positioning, import origin, health claims, pack size, freshness signals</w:t>
      </w:r>
      <w:r>
        <w:t>) generate statistically significant price premiums in Vietnamese online grocery retail.</w:t>
      </w:r>
    </w:p>
    <w:p w14:paraId="6814F81B" w14:textId="77777777" w:rsidR="00C30131" w:rsidRDefault="00C30131" w:rsidP="00C30131">
      <w:pPr>
        <w:ind w:firstLine="0"/>
        <w:rPr>
          <w:b/>
          <w:lang w:val="vi-VN"/>
        </w:rPr>
      </w:pPr>
      <w:r>
        <w:rPr>
          <w:b/>
        </w:rPr>
        <w:t>Objective</w:t>
      </w:r>
      <w:r>
        <w:rPr>
          <w:b/>
          <w:lang w:val="vi-VN"/>
        </w:rPr>
        <w:t xml:space="preserve"> 2</w:t>
      </w:r>
      <w:r>
        <w:rPr>
          <w:b/>
        </w:rPr>
        <w:t xml:space="preserve">: </w:t>
      </w:r>
      <w:r>
        <w:t xml:space="preserve">Exploit the dual-price structure to examine whether </w:t>
      </w:r>
      <w:r>
        <w:rPr>
          <w:b/>
        </w:rPr>
        <w:t>promotional discounts erode those attribute premiums differentially</w:t>
      </w:r>
      <w:r>
        <w:t xml:space="preserve"> at checkout. This erosion analysis is </w:t>
      </w:r>
      <w:r>
        <w:rPr>
          <w:b/>
        </w:rPr>
        <w:t>descriptive</w:t>
      </w:r>
      <w:r>
        <w:t xml:space="preserve"> rather than causal: it documents the observable relationship between attributes and prices at two stages of the pricing pipeline (sticker and checkout), without identifying the retailer’s underlying promotional decision process </w:t>
        <w:lastRenderedPageBreak/>
        <w:t>(cf. Ekeland, Heckman &amp; Nesheim, 2004, on the identification limits of first-stage hedonic estimates).</w:t>
      </w:r>
    </w:p>
    <w:p w14:paraId="17792CBC" w14:textId="48B6B549" w:rsidR="00E05E66" w:rsidRDefault="00C30131" w:rsidP="00C30131">
      <w:pPr>
        <w:ind w:firstLine="0"/>
      </w:pPr>
      <w:r>
        <w:rPr>
          <w:b/>
        </w:rPr>
        <w:t>Objective</w:t>
      </w:r>
      <w:r>
        <w:rPr>
          <w:b/>
          <w:lang w:val="vi-VN"/>
        </w:rPr>
        <w:t xml:space="preserve"> 3</w:t>
      </w:r>
      <w:r>
        <w:rPr>
          <w:b/>
        </w:rPr>
        <w:t xml:space="preserve">: </w:t>
      </w:r>
      <w:r>
        <w:t xml:space="preserve">Examine how </w:t>
      </w:r>
      <w:r>
        <w:rPr>
          <w:b/>
        </w:rPr>
        <w:t>attribute premium structures vary across product categories</w:t>
      </w:r>
      <w:r>
        <w:t>, recognizing that the implicit market value of a given attribute may differ substantially between, for example, dairy products and fresh produce.</w:t>
      </w:r>
    </w:p>
    <w:p w14:paraId="1EB5DA47" w14:textId="77777777" w:rsidR="00E05E66" w:rsidRDefault="00000000">
      <w:pPr>
        <w:pStyle w:val="Heading2"/>
      </w:pPr>
      <w:r>
        <w:t>1.4  Overview of Research Methods</w:t>
      </w:r>
    </w:p>
    <w:p w14:paraId="41838F30" w14:textId="77777777" w:rsidR="00E05E66" w:rsidRDefault="00000000">
      <w:pPr>
        <w:pStyle w:val="NoIndent"/>
      </w:pPr>
      <w:r>
        <w:t xml:space="preserve">The analytical approach proceeds in four stages: </w:t>
      </w:r>
      <w:r>
        <w:rPr>
          <w:b/>
        </w:rPr>
        <w:t>data collection</w:t>
      </w:r>
      <w:r>
        <w:t xml:space="preserve">, </w:t>
      </w:r>
      <w:r>
        <w:rPr>
          <w:b/>
        </w:rPr>
        <w:t>feature extraction</w:t>
      </w:r>
      <w:r>
        <w:t xml:space="preserve">, </w:t>
      </w:r>
      <w:r>
        <w:rPr>
          <w:b/>
        </w:rPr>
        <w:t>brand classification</w:t>
      </w:r>
      <w:r>
        <w:t xml:space="preserve">, and </w:t>
      </w:r>
      <w:r>
        <w:rPr>
          <w:b/>
        </w:rPr>
        <w:t>hedonic estimation</w:t>
      </w:r>
      <w:r>
        <w:t>.</w:t>
      </w:r>
    </w:p>
    <w:p w14:paraId="6F190385" w14:textId="77777777" w:rsidR="00E05E66" w:rsidRDefault="00000000">
      <w:r>
        <w:rPr>
          <w:b/>
        </w:rPr>
        <w:t xml:space="preserve">Data collection </w:t>
      </w:r>
      <w:r>
        <w:t xml:space="preserve">relies on </w:t>
      </w:r>
      <w:r>
        <w:rPr>
          <w:b/>
        </w:rPr>
        <w:t>automated daily web scraping</w:t>
      </w:r>
      <w:r>
        <w:t xml:space="preserve"> of Winmart’s online platform, yielding matched </w:t>
      </w:r>
      <w:r>
        <w:rPr>
          <w:b/>
        </w:rPr>
        <w:t>marked-price</w:t>
      </w:r>
      <w:r>
        <w:t xml:space="preserve"> and </w:t>
      </w:r>
      <w:r>
        <w:rPr>
          <w:b/>
        </w:rPr>
        <w:t>final-price</w:t>
      </w:r>
      <w:r>
        <w:t xml:space="preserve"> observations for each product on each day. Fifteen scraping robots, triggered daily via an orchestration server, capture the full product listing across 10 food categories. Raw data passes through a pipeline of deduplication, standardization, and quality filtering before analysis.</w:t>
      </w:r>
    </w:p>
    <w:p w14:paraId="2DA8F26A" w14:textId="77777777" w:rsidR="00E05E66" w:rsidRDefault="00000000">
      <w:r>
        <w:rPr>
          <w:b/>
        </w:rPr>
        <w:t xml:space="preserve">Feature extraction </w:t>
      </w:r>
      <w:r>
        <w:t xml:space="preserve">employs </w:t>
      </w:r>
      <w:r>
        <w:rPr>
          <w:b/>
        </w:rPr>
        <w:t>natural language processing (NLP)</w:t>
      </w:r>
      <w:r>
        <w:t xml:space="preserve"> techniques to derive </w:t>
      </w:r>
      <w:r>
        <w:rPr>
          <w:b/>
        </w:rPr>
        <w:t>9 product-level attributes</w:t>
      </w:r>
      <w:r>
        <w:t xml:space="preserve"> from Vietnamese product name strings. These include brand identification (via substring matching against a curated dictionary of over 310 brand keywords), import origin detection (country-of-origin keywords in Vietnamese), health and freshness claim identification, and pack size extraction via regular expressions. The NLP pipeline has been validated against manual coding on a subset of products (see Chapters 3 and 4).</w:t>
      </w:r>
    </w:p>
    <w:p w14:paraId="456891F7" w14:textId="35BE4AD2" w:rsidR="00E05E66" w:rsidRDefault="00000000">
      <w:r>
        <w:rPr>
          <w:b/>
        </w:rPr>
        <w:t xml:space="preserve">Brand classification </w:t>
      </w:r>
      <w:r>
        <w:t xml:space="preserve">follows a </w:t>
      </w:r>
      <w:r>
        <w:rPr>
          <w:b/>
        </w:rPr>
        <w:t>four-quadrant positioning typology</w:t>
      </w:r>
      <w:r>
        <w:t xml:space="preserve"> grounded in the brand equity literature. Products are classified along two dimensions: </w:t>
      </w:r>
      <w:r>
        <w:rPr>
          <w:b/>
        </w:rPr>
        <w:t>brand recognition</w:t>
      </w:r>
      <w:r>
        <w:t xml:space="preserve"> (high versus low, operationalized via a curated list of approximately 30 nationally distributed brands, anchored in Keller’s (1993) brand awareness dimension) and </w:t>
      </w:r>
      <w:r>
        <w:rPr>
          <w:b/>
        </w:rPr>
        <w:t>price tier</w:t>
      </w:r>
      <w:r>
        <w:t xml:space="preserve"> (premium versus non-premium, defined as above or below the subcategory median price, drawing on Aaker’s (1991) perceived quality </w:t>
        <w:lastRenderedPageBreak/>
        <w:t xml:space="preserve">dimension). Crossing these two dimensions yields a 2 x 2 grid of branded products. </w:t>
      </w:r>
      <w:commentRangeStart w:id="2"/>
      <w:r>
        <w:t xml:space="preserve">A separate ‘Generic’ category is added for items carrying no recognizable brand name (and therefore sitting outside the brand-recognition axis), </w:t>
      </w:r>
      <w:r>
        <w:rPr>
          <w:b/>
          <w:bCs/>
        </w:rPr>
        <w:t>yielding</w:t>
      </w:r>
      <w:r>
        <w:t xml:space="preserve"> a total of five groups: </w:t>
      </w:r>
      <w:commentRangeEnd w:id="2"/>
      <w:r>
        <w:rPr>
          <w:rStyle w:val="CommentReference"/>
        </w:rPr>
        <w:commentReference w:id="2"/>
      </w:r>
      <w:r>
        <w:t xml:space="preserve">Generic, Local &amp; Value, Household Giant, Niche Professional, and Prestige Leader, encoded as </w:t>
      </w:r>
      <w:r>
        <w:rPr>
          <w:b/>
        </w:rPr>
        <w:t>hierarchical dummy variables</w:t>
      </w:r>
      <w:r>
        <w:t xml:space="preserve"> in the regression.</w:t>
      </w:r>
    </w:p>
    <w:p w14:paraId="57B4992E" w14:textId="77777777" w:rsidR="00E05E66" w:rsidRDefault="00000000">
      <w:r>
        <w:t xml:space="preserve">The core analytical framework is a </w:t>
      </w:r>
      <w:r>
        <w:rPr>
          <w:b/>
        </w:rPr>
        <w:t>dual-price hedonic regression</w:t>
      </w:r>
      <w:r>
        <w:t xml:space="preserve">. A </w:t>
      </w:r>
      <w:r>
        <w:rPr>
          <w:b/>
        </w:rPr>
        <w:t>pooled ordinary least squares (OLS) model</w:t>
      </w:r>
      <w:r>
        <w:t xml:space="preserve"> with </w:t>
      </w:r>
      <w:r>
        <w:rPr>
          <w:b/>
        </w:rPr>
        <w:t>subcategory fixed effects</w:t>
      </w:r>
      <w:r>
        <w:t xml:space="preserve"> and </w:t>
      </w:r>
      <w:r>
        <w:rPr>
          <w:b/>
        </w:rPr>
        <w:t>cluster-robust standard errors</w:t>
      </w:r>
      <w:r>
        <w:t xml:space="preserve"> is estimated twice using the same specification: once with the log of the marked price per standardized unit as the dependent variable, and once with the log of the final price. The log-linear functional form follows standard practice in hedonic price analysis (Rosen, 1974; Malpezzi, 2002). By comparing coefficients across the two specifications, the analysis reveals which attribute premiums are </w:t>
      </w:r>
      <w:r>
        <w:rPr>
          <w:b/>
        </w:rPr>
        <w:t>eroded by promotional pricing</w:t>
      </w:r>
      <w:r>
        <w:t xml:space="preserve"> and which survive intact to the checkout stage.</w:t>
      </w:r>
    </w:p>
    <w:p w14:paraId="46655B7E" w14:textId="77777777" w:rsidR="00E05E66" w:rsidRDefault="00000000">
      <w:r>
        <w:t xml:space="preserve">The study employs a </w:t>
      </w:r>
      <w:r>
        <w:rPr>
          <w:b/>
        </w:rPr>
        <w:t>single-retailer research design</w:t>
      </w:r>
      <w:r>
        <w:t xml:space="preserve">, drawing all price observations from Winmart’s online platform. Restricting data to one retailer ensures that all products face the same platform-level pricing strategy, promotional calendar, and supply chain logistics, which </w:t>
      </w:r>
      <w:r>
        <w:rPr>
          <w:b/>
        </w:rPr>
        <w:t>controls for retailer-level confounds</w:t>
      </w:r>
      <w:r>
        <w:t xml:space="preserve"> that would complicate a multi-retailer hedonic analysis, where observed price differences might reflect retailer positioning rather than product attributes (Schipmann &amp; Qaim, 2011). The external validity implications of this design are discussed in Chapter 5.</w:t>
      </w:r>
    </w:p>
    <w:p w14:paraId="3973CC30" w14:textId="77777777" w:rsidR="00E05E66" w:rsidRDefault="00000000">
      <w:pPr>
        <w:pStyle w:val="Heading2"/>
      </w:pPr>
      <w:r>
        <w:t>1.5  Contribution</w:t>
      </w:r>
    </w:p>
    <w:p w14:paraId="2A6D17FE" w14:textId="77777777" w:rsidR="00E05E66" w:rsidRDefault="00000000">
      <w:pPr>
        <w:pStyle w:val="NoIndent"/>
      </w:pPr>
      <w:r>
        <w:t>This thesis makes three contributions to the literature on food pricing and hedonic analysis.</w:t>
      </w:r>
    </w:p>
    <w:p w14:paraId="363E3AD9" w14:textId="77777777" w:rsidR="00E05E66" w:rsidRDefault="00000000">
      <w:r>
        <w:rPr>
          <w:b/>
        </w:rPr>
        <w:t>First</w:t>
      </w:r>
      <w:r>
        <w:t xml:space="preserve">, to the author’s knowledge, this is the </w:t>
      </w:r>
      <w:r>
        <w:rPr>
          <w:b/>
        </w:rPr>
        <w:t>first hedonic analysis of brand, import, and health claim premiums using web-scraped daily data from Vietnamese online grocery retail</w:t>
      </w:r>
      <w:r>
        <w:t xml:space="preserve">. Existing Vietnamese food pricing studies have </w:t>
        <w:lastRenderedPageBreak/>
        <w:t xml:space="preserve">relied on stated-preference methods (willingness-to-pay surveys) or examined single commodities (rice, organic vegetables). This thesis provides a revealed-preference, multi-category decomposition of the </w:t>
      </w:r>
      <w:r>
        <w:rPr>
          <w:b/>
        </w:rPr>
        <w:t>price architecture</w:t>
      </w:r>
      <w:r>
        <w:t xml:space="preserve"> of Vietnam’s largest online grocery platform.</w:t>
      </w:r>
    </w:p>
    <w:p w14:paraId="0C646CEE" w14:textId="77777777" w:rsidR="00E05E66" w:rsidRDefault="00000000">
      <w:r>
        <w:rPr>
          <w:b/>
        </w:rPr>
        <w:t>Second</w:t>
      </w:r>
      <w:r>
        <w:t xml:space="preserve">, the </w:t>
      </w:r>
      <w:r>
        <w:rPr>
          <w:b/>
        </w:rPr>
        <w:t>dual-price design</w:t>
      </w:r>
      <w:r>
        <w:t xml:space="preserve"> (estimating the same hedonic specification on both marked and final prices) is, to the author’s knowledge, novel in the food hedonic literature. While dual pricing (list price versus transaction price) has been studied in housing markets (Haurin et al., 2010; Knight, 2002) and automobile markets (Court, 1939), no prior food hedonic study exploits the sticker-versus-checkout price gap to measure </w:t>
      </w:r>
      <w:r>
        <w:rPr>
          <w:b/>
        </w:rPr>
        <w:t>promotional erosion of attribute premiums</w:t>
      </w:r>
      <w:r>
        <w:t>.</w:t>
      </w:r>
    </w:p>
    <w:p w14:paraId="03B38EA0" w14:textId="77777777" w:rsidR="00E05E66" w:rsidRDefault="00000000">
      <w:r>
        <w:rPr>
          <w:b/>
        </w:rPr>
        <w:t>Third</w:t>
      </w:r>
      <w:r>
        <w:t xml:space="preserve">, the </w:t>
      </w:r>
      <w:r>
        <w:rPr>
          <w:b/>
        </w:rPr>
        <w:t>four-quadrant brand positioning typology</w:t>
      </w:r>
      <w:r>
        <w:t xml:space="preserve"> operationalizes established brand equity dimensions (Keller, 1993; Aaker, 1991) in a way that decomposes the conventional single “brand premium” into three separable questions: does having any brand name generate a premium? Does premium price-tier positioning add an additional premium? Does high consumer recognition add an additional premium? The finding that </w:t>
      </w:r>
      <w:r>
        <w:rPr>
          <w:b/>
        </w:rPr>
        <w:t>brand-name premiums are statistically insignificant while price-tier premiums are large and robust</w:t>
      </w:r>
      <w:r>
        <w:t xml:space="preserve"> challenges the common assumption in the brand equity literature that branding, as such, commands a price premium in grocery markets (Aaker, 1991).</w:t>
      </w:r>
    </w:p>
    <w:p w14:paraId="1A735164" w14:textId="77777777" w:rsidR="00E05E66" w:rsidRDefault="00000000">
      <w:pPr>
        <w:pStyle w:val="Heading2"/>
      </w:pPr>
      <w:r>
        <w:t>1.6  Thesis Structure</w:t>
      </w:r>
    </w:p>
    <w:p w14:paraId="550624D2" w14:textId="77777777" w:rsidR="00E05E66" w:rsidRDefault="00000000">
      <w:pPr>
        <w:pStyle w:val="NoIndent"/>
      </w:pPr>
      <w:r>
        <w:t xml:space="preserve">The remainder of this thesis is organized as follows. </w:t>
      </w:r>
      <w:r>
        <w:rPr>
          <w:b/>
        </w:rPr>
        <w:t>Chapter 2</w:t>
      </w:r>
      <w:r>
        <w:t xml:space="preserve"> reviews the theoretical foundations of hedonic pricing, brand equity, and online retail pricing, and identifies the specific research gaps this study addresses. </w:t>
      </w:r>
      <w:r>
        <w:rPr>
          <w:b/>
        </w:rPr>
        <w:t>Chapter 3</w:t>
      </w:r>
      <w:r>
        <w:t xml:space="preserve"> presents the methodology, covering the hedonic price model, functional form and estimation strategy, dual-price design, feature extraction pipeline, and brand positioning typology, with each methodological choice justified against alternative approaches. </w:t>
      </w:r>
      <w:r>
        <w:rPr>
          <w:b/>
        </w:rPr>
        <w:t>Chapter 4</w:t>
      </w:r>
      <w:r>
        <w:t xml:space="preserve"> applies the methodology to the data: it describes the data source and </w:t>
        <w:lastRenderedPageBreak/>
        <w:t xml:space="preserve">collection process, defines variables, reports descriptive statistics, and presents the pooled and per-category hedonic regression results, the promotional erosion analysis, and diagnostic checks. </w:t>
      </w:r>
      <w:r>
        <w:rPr>
          <w:b/>
        </w:rPr>
        <w:t>Chapter 5</w:t>
      </w:r>
      <w:r>
        <w:t xml:space="preserve"> discusses the implications of the empirical findings in the context of Vietnamese grocery markets, addresses the Tết holiday period, acknowledges limitations, draws conclusions, and offers recommendations for consumers, retailers, and future research.</w:t>
      </w:r>
    </w:p>
    <w:p w14:paraId="67BF6EAB" w14:textId="77777777" w:rsidR="00E05E66" w:rsidRDefault="00000000">
      <w:r>
        <w:br w:type="page"/>
      </w:r>
    </w:p>
    <w:p w14:paraId="360582EB" w14:textId="77777777" w:rsidR="00E05E66" w:rsidRDefault="00000000">
      <w:pPr>
        <w:pStyle w:val="Heading1"/>
      </w:pPr>
      <w:r>
        <w:lastRenderedPageBreak/>
        <w:t>CHAPTER 2</w:t>
      </w:r>
    </w:p>
    <w:p w14:paraId="0C7C4153" w14:textId="77777777" w:rsidR="00E05E66" w:rsidRDefault="00000000">
      <w:pPr>
        <w:pStyle w:val="Heading1"/>
        <w:spacing w:before="0"/>
      </w:pPr>
      <w:r>
        <w:t>LITERATURE REVIEW</w:t>
      </w:r>
    </w:p>
    <w:p w14:paraId="15E2B95D" w14:textId="77777777" w:rsidR="00E05E66" w:rsidRDefault="00000000">
      <w:pPr>
        <w:pStyle w:val="NoIndent"/>
      </w:pPr>
      <w:r>
        <w:t xml:space="preserve">This chapter reviews the theoretical and empirical literature that underpins the present study. The design of a dual-price hedonic analysis of Vietnamese online grocery is informed by three converging research streams: </w:t>
      </w:r>
      <w:r>
        <w:rPr>
          <w:b/>
        </w:rPr>
        <w:t>hedonic pricing theory</w:t>
      </w:r>
      <w:r>
        <w:t xml:space="preserve">, which provides the conceptual and econometric foundation for decomposing observed prices into attribute-level implicit values; </w:t>
      </w:r>
      <w:r>
        <w:rPr>
          <w:b/>
        </w:rPr>
        <w:t>brand equity and product differentiation</w:t>
      </w:r>
      <w:r>
        <w:t xml:space="preserve">, which identifies the specific attributes expected to generate price premiums; and </w:t>
      </w:r>
      <w:r>
        <w:rPr>
          <w:b/>
        </w:rPr>
        <w:t>online retail pricing research</w:t>
      </w:r>
      <w:r>
        <w:t xml:space="preserve">, which validates the use of web-scraped data as a reliable reflection of market pricing behavior. A fourth strand, </w:t>
      </w:r>
      <w:r>
        <w:rPr>
          <w:b/>
        </w:rPr>
        <w:t>Vietnamese food market studies</w:t>
      </w:r>
      <w:r>
        <w:t>, provides the empirical context and identifies the research gaps this thesis addresses.</w:t>
      </w:r>
    </w:p>
    <w:p w14:paraId="35EDDEB5" w14:textId="77777777" w:rsidR="00E05E66" w:rsidRDefault="00000000">
      <w:r>
        <w:t>Section 2.1 sets out the theoretical foundation by tracing the development of hedonic pricing from Lancaster’s (1966) consumer theory through Rosen’s (1974) equilibrium framework to the identification caveats raised by Ekeland, Heckman, and Nesheim (2004). Section 2.2 reviews empirical applications of hedonic methods in food and agricultural markets, drawing out methodological lessons for the present study. Section 2.3 examines the brand equity literature and develops the theoretical basis for the four-quadrant brand positioning typology used in the regression. Section 2.4 discusses the validity of web-scraped online prices as economic data. Section 2.5 synthesises the Vietnamese food market context and identifies three specific research gaps that motivate the thesis.</w:t>
      </w:r>
    </w:p>
    <w:p w14:paraId="018588E5" w14:textId="77777777" w:rsidR="00E05E66" w:rsidRDefault="00000000">
      <w:pPr>
        <w:pStyle w:val="Heading2"/>
      </w:pPr>
      <w:r>
        <w:t>2.1  Hedonic Pricing Theory: Goods as Attribute Bundles</w:t>
      </w:r>
    </w:p>
    <w:p w14:paraId="7AE16313" w14:textId="77777777" w:rsidR="00E05E66" w:rsidRDefault="00000000">
      <w:pPr>
        <w:pStyle w:val="NoIndent"/>
      </w:pPr>
      <w:r>
        <w:t xml:space="preserve">The intellectual origin of hedonic price analysis lies in Lancaster’s (1966) </w:t>
      </w:r>
      <w:r>
        <w:rPr>
          <w:b/>
        </w:rPr>
        <w:t>approach to consumer theory</w:t>
      </w:r>
      <w:r>
        <w:t xml:space="preserve">. In the classical microeconomic framework, consumers derive utility directly from goods: a consumer’s preference ordering is defined over </w:t>
        <w:lastRenderedPageBreak/>
        <w:t xml:space="preserve">quantities of products. Lancaster challenged this view by arguing that </w:t>
      </w:r>
      <w:r>
        <w:rPr>
          <w:b/>
        </w:rPr>
        <w:t>consumers derive utility not from goods per se, but from the characteristics that goods possess</w:t>
      </w:r>
      <w:r>
        <w:t>. A carton of milk, in this framework, is not valued as “milk” but as a bundle of attributes (protein content, calcium level, brand reputation, origin, shelf life), each contributing independently to the consumer’s utility. Different varieties of the same product category are simply different combinations of these characteristics, and consumers choose among them by evaluating the attribute bundle each offers.</w:t>
      </w:r>
    </w:p>
    <w:p w14:paraId="33A2BE59" w14:textId="77777777" w:rsidR="00E05E66" w:rsidRDefault="00000000">
      <w:r>
        <w:t xml:space="preserve">Lancaster’s insight has a direct empirical implication: if products are bundles of attributes, and consumers evaluate those attributes rather than the goods themselves, then </w:t>
      </w:r>
      <w:r>
        <w:rPr>
          <w:b/>
        </w:rPr>
        <w:t>variation in prices across products within a category should be explainable by variation in their attribute compositions</w:t>
      </w:r>
      <w:r>
        <w:t>. A premium-priced milk should differ from a budget milk not arbitrarily, but along identifiable dimensions (brand positioning, import origin, health certifications, packaging format) that the market implicitly values. This reasoning provides the conceptual foundation for the cross-sectional hedonic approach adopted in this thesis: by regressing observed prices on product attributes across a heterogeneous product catalog, the analysis recovers the market’s implicit valuation of each attribute.</w:t>
      </w:r>
    </w:p>
    <w:p w14:paraId="056D37AC" w14:textId="77777777" w:rsidR="00E05E66" w:rsidRDefault="00000000">
      <w:r>
        <w:t xml:space="preserve">While Lancaster provided the theoretical motivation, it was Rosen (1974) who formalized the </w:t>
      </w:r>
      <w:r>
        <w:rPr>
          <w:b/>
        </w:rPr>
        <w:t>equilibrium hedonic price model</w:t>
      </w:r>
      <w:r>
        <w:t xml:space="preserve"> that remains the standard framework for empirical hedonic analysis. Rosen proposed that in a market with </w:t>
      </w:r>
      <w:r>
        <w:rPr>
          <w:b/>
        </w:rPr>
        <w:t>differentiated products</w:t>
      </w:r>
      <w:r>
        <w:t xml:space="preserve">, where both buyers and sellers are heterogeneous, an equilibrium price function emerges that maps product characteristics to market prices. Formally, if a product is described by a vector of attributes </w:t>
      </w:r>
      <w:r>
        <w:rPr>
          <w:i/>
        </w:rPr>
        <w:t>z = (z₁, z₂, …, zₖ)</w:t>
      </w:r>
      <w:r>
        <w:t xml:space="preserve">then the market price function </w:t>
      </w:r>
      <w:r>
        <w:rPr>
          <w:i/>
        </w:rPr>
        <w:t>P(z)</w:t>
      </w:r>
      <w:r>
        <w:t xml:space="preserve"> assigns a price to each possible attribute combination. In equilibrium, this function represents the locus of tangency points between buyers’ bid functions (reflecting willingness to pay) and sellers’ offer functions (reflecting production costs).</w:t>
      </w:r>
    </w:p>
    <w:p w14:paraId="49FD8512" w14:textId="77777777" w:rsidR="00E05E66" w:rsidRDefault="00000000">
      <w:r>
        <w:lastRenderedPageBreak/>
        <w:t xml:space="preserve">The central construct in Rosen’s framework is the </w:t>
      </w:r>
      <w:r>
        <w:rPr>
          <w:b/>
        </w:rPr>
        <w:t>implicit (hedonic) price</w:t>
      </w:r>
      <w:r>
        <w:t xml:space="preserve"> of an attribute: the partial derivative </w:t>
      </w:r>
      <w:r>
        <w:rPr>
          <w:i/>
        </w:rPr>
        <w:t>∂P/∂zᵢ</w:t>
      </w:r>
      <w:r>
        <w:t xml:space="preserve"> measures the marginal change in the market price associated with a unit change in attribute </w:t>
      </w:r>
      <w:r>
        <w:rPr>
          <w:i/>
        </w:rPr>
        <w:t>zᵢ</w:t>
      </w:r>
      <w:r>
        <w:t>holding all other attributes constant. In practical terms, if the hedonic price function is estimated as a regression of product prices on attribute indicators, the regression coefficients represent these implicit prices: the market’s revealed marginal valuation of each attribute at the equilibrium margin.</w:t>
      </w:r>
    </w:p>
    <w:p w14:paraId="1DE6D73D" w14:textId="77777777" w:rsidR="00E05E66" w:rsidRDefault="00000000">
      <w:r>
        <w:t xml:space="preserve">Rosen’s framework distinguishes between </w:t>
      </w:r>
      <w:r>
        <w:rPr>
          <w:b/>
        </w:rPr>
        <w:t>two stages of hedonic analysis</w:t>
      </w:r>
      <w:r>
        <w:t xml:space="preserve">. The </w:t>
      </w:r>
      <w:r>
        <w:rPr>
          <w:b/>
        </w:rPr>
        <w:t>first stage</w:t>
      </w:r>
      <w:r>
        <w:t xml:space="preserve"> involves estimating the hedonic price function P(z) from observed market data (recovering the relationship between attributes and prices). The </w:t>
      </w:r>
      <w:r>
        <w:rPr>
          <w:b/>
        </w:rPr>
        <w:t>second stage</w:t>
      </w:r>
      <w:r>
        <w:t xml:space="preserve"> uses the estimated implicit prices as inputs to identify the underlying demand and supply functions for individual attributes. The present thesis confines itself to the first stage: estimating how product attributes map to market prices across 10 food categories. No attempt is made to recover structural demand or supply parameters, and the results are interpreted accordingly: as descriptions of the equilibrium price surface rather than causal estimates of consumer willingness to pay.</w:t>
      </w:r>
    </w:p>
    <w:p w14:paraId="3BDBEE84" w14:textId="77777777" w:rsidR="00E05E66" w:rsidRDefault="00000000">
      <w:r>
        <w:t xml:space="preserve">This interpretive restraint is not merely a matter of convenience. Ekeland, Heckman, and Nesheim (2004) demonstrated that the </w:t>
      </w:r>
      <w:r>
        <w:rPr>
          <w:b/>
        </w:rPr>
        <w:t>identification of structural parameters from hedonic estimates</w:t>
      </w:r>
      <w:r>
        <w:t xml:space="preserve"> is considerably more challenging than Rosen’s original framework suggested. The estimated hedonic price function reflects the </w:t>
      </w:r>
      <w:r>
        <w:rPr>
          <w:b/>
        </w:rPr>
        <w:t>joint outcome of demand and supply</w:t>
      </w:r>
      <w:r>
        <w:t xml:space="preserve"> in the market for differentiated products. Without exogenous variation that shifts one side of the market independently of the other, the first-stage hedonic coefficients cannot be decomposed into demand-side (willingness to pay) and supply-side (marginal cost) components. As Ekeland et al. (2004) show, the hedonic price function is a </w:t>
      </w:r>
      <w:r>
        <w:rPr>
          <w:b/>
        </w:rPr>
        <w:t>reduced-form equilibrium relationship</w:t>
      </w:r>
      <w:r>
        <w:t>: a description of what the market collectively pays for each attribute, not an estimate of what any individual consumer would pay in isolation.</w:t>
      </w:r>
    </w:p>
    <w:p w14:paraId="7F5A0FFF" w14:textId="77777777" w:rsidR="00E05E66" w:rsidRDefault="00000000">
      <w:r>
        <w:lastRenderedPageBreak/>
        <w:t xml:space="preserve">Lucas (1975) reinforced this point by demonstrating that in a </w:t>
      </w:r>
      <w:r>
        <w:rPr>
          <w:b/>
        </w:rPr>
        <w:t>single-market setting</w:t>
      </w:r>
      <w:r>
        <w:t xml:space="preserve">, the hedonic function simultaneously reflects both demand and supply. There is no purely demand-side or supply-side interpretation available. For the present study, however, this identification constraint is mitigated by the </w:t>
      </w:r>
      <w:r>
        <w:rPr>
          <w:b/>
        </w:rPr>
        <w:t>single-retailer research design</w:t>
      </w:r>
      <w:r>
        <w:t>. Because all products are drawn from a single retailer (Winmart), supply-side factors (procurement costs, logistics, platform fees, promotional budgets) are held roughly constant across products. While this does not fully resolve the identification problem in the sense of Ekeland et al. (2004), it narrows the range of supply-side confounds and allows the hedonic coefficients to be interpreted with greater confidence as reflections of market-level attribute valuations within a single retail environment.</w:t>
      </w:r>
    </w:p>
    <w:p w14:paraId="3D24A5DE" w14:textId="77777777" w:rsidR="00E05E66" w:rsidRDefault="00000000">
      <w:r>
        <w:t xml:space="preserve">To summarize the theoretical position of this thesis: following Lancaster (1966), products are treated as attribute bundles; following Rosen (1974), the observed price function is estimated as a first-stage hedonic regression; and following Ekeland et al. (2004), the resulting coefficients are interpreted as </w:t>
      </w:r>
      <w:r>
        <w:rPr>
          <w:b/>
        </w:rPr>
        <w:t>equilibrium implicit prices</w:t>
      </w:r>
      <w:r>
        <w:t xml:space="preserve"> (what the market collectively pays for each attribute) rather than as causal estimates of consumer demand. This interpretive framework governs all empirical claims made in Chapters 4 and 5.</w:t>
      </w:r>
    </w:p>
    <w:p w14:paraId="41FC15A2" w14:textId="77777777" w:rsidR="00E05E66" w:rsidRDefault="00000000">
      <w:pPr>
        <w:pStyle w:val="Heading2"/>
      </w:pPr>
      <w:r>
        <w:t>2.2  Hedonic Methods in Food and Agricultural Markets</w:t>
      </w:r>
    </w:p>
    <w:p w14:paraId="7ED6B579" w14:textId="77777777" w:rsidR="00E05E66" w:rsidRDefault="00000000">
      <w:pPr>
        <w:pStyle w:val="NoIndent"/>
      </w:pPr>
      <w:r>
        <w:t xml:space="preserve">The hedonic approach developed in the housing and labor economics literatures has been widely applied to food and agricultural markets over the past three decades. This section reviews key empirical studies, focusing on the </w:t>
      </w:r>
      <w:r>
        <w:rPr>
          <w:b/>
        </w:rPr>
        <w:t>methodological lessons</w:t>
      </w:r>
      <w:r>
        <w:t xml:space="preserve"> they provide for the present analysis rather than on their substantive findings.</w:t>
      </w:r>
    </w:p>
    <w:p w14:paraId="0DFCEA0E" w14:textId="77777777" w:rsidR="00E05E66" w:rsidRDefault="00000000">
      <w:r>
        <w:t xml:space="preserve">Costanigro and McCluskey (2011) provide the most comprehensive </w:t>
      </w:r>
      <w:r>
        <w:rPr>
          <w:b/>
        </w:rPr>
        <w:t>methodological review of hedonic methods in food economics</w:t>
      </w:r>
      <w:r>
        <w:t xml:space="preserve">. Their survey of the literature identifies several recurring themes that directly inform the design of this thesis. First, the </w:t>
      </w:r>
      <w:r>
        <w:rPr>
          <w:b/>
        </w:rPr>
        <w:t>log-linear specification</w:t>
      </w:r>
      <w:r>
        <w:t xml:space="preserve"> (regressing the natural log of price on </w:t>
        <w:lastRenderedPageBreak/>
        <w:t xml:space="preserve">attribute indicators) is the dominant functional form in food hedonics, consistent with Rosen’s (1974) original framework and Malpezzi’s (2002) applied guidance. The log transformation ensures that coefficients are interpretable as </w:t>
      </w:r>
      <w:r>
        <w:rPr>
          <w:b/>
        </w:rPr>
        <w:t>approximate percentage premiums</w:t>
      </w:r>
      <w:r>
        <w:t xml:space="preserve"> and that the model accommodates the right-skewed distribution typical of food prices. This thesis adopts the log-linear form for both the marked-price and final-price specifications.</w:t>
      </w:r>
    </w:p>
    <w:p w14:paraId="3AABE1BE" w14:textId="77777777" w:rsidR="00E05E66" w:rsidRDefault="00000000">
      <w:r>
        <w:t xml:space="preserve">Second, Costanigro and McCluskey (2011) emphasize that </w:t>
      </w:r>
      <w:r>
        <w:rPr>
          <w:b/>
        </w:rPr>
        <w:t>subcategory controls are essential</w:t>
      </w:r>
      <w:r>
        <w:t xml:space="preserve"> in food hedonic analysis. Within-category price variation, rather than cross-category comparisons, is the identification source for attribute premiums. The price difference between a premium yoghurt and a budget yoghurt within the dairy category is informative; the price difference between yoghurt and cooking oil is not. The present study addresses this through </w:t>
      </w:r>
      <w:r>
        <w:rPr>
          <w:b/>
        </w:rPr>
        <w:t>subcategory fixed effects</w:t>
      </w:r>
      <w:r>
        <w:t>, which absorb all level differences between subcategories (e.g., fresh milk versus powdered milk) and ensure that attribute premiums are identified from within-subcategory variation only. Third, sample heterogeneity matters: food products span enormous quality ranges, and without adequate controls, omitted quality variation biases hedonic estimates. The subcategory fixed effects in this thesis serve double duty by controlling for both price-level differences and unobserved quality dimensions that vary across but not within subcategories.</w:t>
      </w:r>
    </w:p>
    <w:p w14:paraId="6F001AE0" w14:textId="77777777" w:rsidR="00E05E66" w:rsidRDefault="00000000">
      <w:pPr>
        <w:pStyle w:val="Heading3"/>
      </w:pPr>
      <w:r>
        <w:t>Search, Experience, and Credence Attributes</w:t>
      </w:r>
    </w:p>
    <w:p w14:paraId="7213EFF2" w14:textId="77777777" w:rsidR="00E05E66" w:rsidRDefault="00000000">
      <w:pPr>
        <w:pStyle w:val="NoIndent"/>
      </w:pPr>
      <w:r>
        <w:t xml:space="preserve">A foundational distinction in the economics of product quality is Nelson’s (1970) classification of product attributes into </w:t>
      </w:r>
      <w:r>
        <w:rPr>
          <w:b/>
        </w:rPr>
        <w:t>search goods</w:t>
      </w:r>
      <w:r>
        <w:t xml:space="preserve"> and </w:t>
      </w:r>
      <w:r>
        <w:rPr>
          <w:b/>
        </w:rPr>
        <w:t>experience goods</w:t>
      </w:r>
      <w:r>
        <w:t xml:space="preserve">. Search attributes are those that consumers can evaluate </w:t>
      </w:r>
      <w:r>
        <w:rPr>
          <w:b/>
        </w:rPr>
        <w:t>before purchase</w:t>
      </w:r>
      <w:r>
        <w:t xml:space="preserve">: pack size, brand name, country-of-origin label, price. Experience attributes require </w:t>
      </w:r>
      <w:r>
        <w:rPr>
          <w:b/>
        </w:rPr>
        <w:t>actual consumption</w:t>
      </w:r>
      <w:r>
        <w:t xml:space="preserve"> to assess, taste, texture, freshness. Darby and Karni (1973) extended this taxonomy by introducing a third category: </w:t>
      </w:r>
      <w:r>
        <w:rPr>
          <w:b/>
        </w:rPr>
        <w:t>credence attributes</w:t>
      </w:r>
      <w:r>
        <w:t xml:space="preserve">, which consumers </w:t>
      </w:r>
      <w:r>
        <w:rPr>
          <w:b/>
        </w:rPr>
        <w:t>cannot verify even after consumption</w:t>
      </w:r>
      <w:r>
        <w:t xml:space="preserve">. Organic certification, pesticide-free claims, and nutritional health claims fall into this category: a consumer who eats an organic </w:t>
        <w:lastRenderedPageBreak/>
        <w:t>apple cannot determine from the experience alone whether the apple was genuinely organic.</w:t>
      </w:r>
    </w:p>
    <w:p w14:paraId="01E8F866" w14:textId="77777777" w:rsidR="00E05E66" w:rsidRDefault="00000000">
      <w:r>
        <w:t xml:space="preserve">This tripartite classification is directly relevant to the design of the present study. The attributes extracted via natural language processing from product names (brand name, import origin, pack size, health claim keywords, freshness claim keywords) are predominantly </w:t>
      </w:r>
      <w:r>
        <w:rPr>
          <w:b/>
        </w:rPr>
        <w:t>search attributes</w:t>
      </w:r>
      <w:r>
        <w:t xml:space="preserve">: they are visible on the product listing before purchase. However, two of the extracted features (</w:t>
      </w:r>
      <w:r>
        <w:rPr>
          <w:i/>
        </w:rPr>
        <w:t>has_health_claim</w:t>
      </w:r>
      <w:r>
        <w:t xml:space="preserve"> and </w:t>
      </w:r>
      <w:r>
        <w:rPr>
          <w:i/>
        </w:rPr>
        <w:t>has_freshness_claim</w:t>
      </w:r>
      <w:r>
        <w:t xml:space="preserve">) capture what are substantively </w:t>
      </w:r>
      <w:r>
        <w:rPr>
          <w:b/>
        </w:rPr>
        <w:t>credence attributes</w:t>
      </w:r>
      <w:r>
        <w:t xml:space="preserve">. A label claiming “organic,” “sugar-free,” or “pesticide-free” is a search-visible signal of an underlying credence property. The premium associated with such claims reflects the consumer’s </w:t>
      </w:r>
      <w:r>
        <w:rPr>
          <w:b/>
        </w:rPr>
        <w:t>trust in the label</w:t>
      </w:r>
      <w:r>
        <w:t xml:space="preserve"> rather than any verifiable experience of the attribute itself.</w:t>
      </w:r>
    </w:p>
    <w:p w14:paraId="618E20AB" w14:textId="77777777" w:rsidR="00E05E66" w:rsidRDefault="00000000">
      <w:r>
        <w:t xml:space="preserve">This distinction generates a testable prediction for the promotional erosion analysis. If credence premiums are sustained by trust and labelling rather than by directly verifiable experience, they should be relatively </w:t>
      </w:r>
      <w:r>
        <w:rPr>
          <w:b/>
        </w:rPr>
        <w:t>resilient to promotional discounting</w:t>
      </w:r>
      <w:r>
        <w:t>: a retailer may discount a branded product to attract traffic, but has less incentive to discount a health-certified product whose premium rests on regulatory trust rather than brand competition. The dual-price design of this thesis, comparing hedonic coefficients from marked-price and final-price regressions, provides a framework for testing whether this prediction holds empirically.</w:t>
      </w:r>
    </w:p>
    <w:p w14:paraId="24882222" w14:textId="77777777" w:rsidR="00E05E66" w:rsidRDefault="00000000">
      <w:pPr>
        <w:pStyle w:val="Heading3"/>
      </w:pPr>
      <w:r>
        <w:t>Methodological Precedents in Food Hedonics</w:t>
      </w:r>
    </w:p>
    <w:p w14:paraId="15922CF3" w14:textId="77777777" w:rsidR="00E05E66" w:rsidRDefault="00000000">
      <w:pPr>
        <w:pStyle w:val="NoIndent"/>
      </w:pPr>
      <w:r>
        <w:t xml:space="preserve">Among applied food hedonic studies, the wine market has served as a particularly rich testing ground. Nerlove (1995) estimated hedonic price functions for Swedish wines and found that </w:t>
      </w:r>
      <w:r>
        <w:rPr>
          <w:b/>
        </w:rPr>
        <w:t>brand reputation and geographic origin generate independent, statistically separable price premiums</w:t>
      </w:r>
      <w:r>
        <w:t xml:space="preserve">. Schamel (2006) extended this work to multiple wine regions and confirmed that origin premiums exist above and beyond brand effects. This finding provides direct precedent for including both brand </w:t>
        <w:lastRenderedPageBreak/>
        <w:t>indicators (</w:t>
      </w:r>
      <w:r>
        <w:rPr>
          <w:i/>
        </w:rPr>
        <w:t>is_branded</w:t>
      </w:r>
      <w:r>
        <w:t xml:space="preserve">, </w:t>
      </w:r>
      <w:r>
        <w:rPr>
          <w:i/>
        </w:rPr>
        <w:t>is_premium</w:t>
      </w:r>
      <w:r>
        <w:t>) and an origin indicator (</w:t>
      </w:r>
      <w:r>
        <w:rPr>
          <w:i/>
        </w:rPr>
        <w:t>is_import</w:t>
      </w:r>
      <w:r>
        <w:t>) as separate regressors in the present model. If origin and brand generate independent premiums in wine markets, there is no reason to assume they collapse into a single dimension in grocery markets.</w:t>
      </w:r>
    </w:p>
    <w:p w14:paraId="23D31B67" w14:textId="77777777" w:rsidR="00E05E66" w:rsidRDefault="00000000">
      <w:r>
        <w:t xml:space="preserve">Malpezzi (2002) provides applied guidance on </w:t>
      </w:r>
      <w:r>
        <w:rPr>
          <w:b/>
        </w:rPr>
        <w:t>functional form selection</w:t>
      </w:r>
      <w:r>
        <w:t xml:space="preserve"> in hedonic price analysis. His review favors the log-linear specification for price data on both theoretical and practical grounds: it accommodates heteroskedasticity, produces scale-free percentage coefficients, and is consistent with the multiplicative structure of attribute-based pricing. The present thesis follows this recommendation, estimating </w:t>
      </w:r>
      <w:r>
        <w:rPr>
          <w:i/>
        </w:rPr>
        <w:t>ln(P</w:t>
      </w:r>
      <w:r>
        <w:rPr>
          <w:i/>
          <w:vertAlign w:val="subscript"/>
        </w:rPr>
        <w:t>i</w:t>
      </w:r>
      <w:r>
        <w:rPr>
          <w:i/>
        </w:rPr>
        <w:t>)</w:t>
      </w:r>
      <w:r>
        <w:t xml:space="preserve">, where </w:t>
      </w:r>
      <w:r>
        <w:rPr>
          <w:i/>
        </w:rPr>
        <w:t>P</w:t>
      </w:r>
      <w:r>
        <w:rPr>
          <w:i/>
          <w:vertAlign w:val="subscript"/>
        </w:rPr>
        <w:t>i</w:t>
      </w:r>
      <w:r>
        <w:t xml:space="preserve"> denotes product </w:t>
      </w:r>
      <w:r>
        <w:rPr>
          <w:i/>
        </w:rPr>
        <w:t>i</w:t>
      </w:r>
      <w:r>
        <w:t>’s price per standardized unit, as the dependent variable.</w:t>
      </w:r>
    </w:p>
    <w:p w14:paraId="74CF0FF0" w14:textId="77777777" w:rsidR="00E05E66" w:rsidRDefault="00000000">
      <w:r>
        <w:t xml:space="preserve">Ballco and Gracia (2020) contribute an important methodological caution: </w:t>
      </w:r>
      <w:r>
        <w:rPr>
          <w:b/>
        </w:rPr>
        <w:t>market-observed hedonic prices do not correspond directly to consumer willingness to pay</w:t>
      </w:r>
      <w:r>
        <w:t xml:space="preserve">. Their comparison of hedonic estimates from scanner data with experimental willingness-to-pay estimates for food quality attributes reveals systematic divergences. Hedonic prices reflect equilibrium outcomes (the joint product of demand and supply), while experimental WTP measures isolated demand preferences. This finding reinforces the interpretive stance adopted in Section 2.1: the hedonic coefficients estimated in this thesis represent </w:t>
      </w:r>
      <w:r>
        <w:rPr>
          <w:b/>
        </w:rPr>
        <w:t>equilibrium implicit prices</w:t>
      </w:r>
      <w:r>
        <w:t>, not consumer demand parameters.</w:t>
      </w:r>
    </w:p>
    <w:p w14:paraId="46A35C01" w14:textId="77777777" w:rsidR="00E05E66" w:rsidRDefault="00000000">
      <w:r>
        <w:t xml:space="preserve">For the Vietnamese context specifically, Xuan (2021) investigated consumer willingness to pay for </w:t>
      </w:r>
      <w:r>
        <w:rPr>
          <w:b/>
        </w:rPr>
        <w:t>credence attributes</w:t>
      </w:r>
      <w:r>
        <w:t xml:space="preserve"> in safe vegetables, finding stated premiums of 30–60 percent for organic and pesticide-free certifications. However, as Lusk (2002) demonstrated, stated-preference methods suffer from </w:t>
      </w:r>
      <w:r>
        <w:rPr>
          <w:b/>
        </w:rPr>
        <w:t>hypothetical bias</w:t>
      </w:r>
      <w:r>
        <w:t xml:space="preserve">: respondents systematically overstate their willingness to pay in hypothetical scenarios relative to actual market behavior. The present thesis avoids this problem entirely by using </w:t>
      </w:r>
      <w:r>
        <w:rPr>
          <w:b/>
        </w:rPr>
        <w:t>revealed-preference data</w:t>
      </w:r>
      <w:r>
        <w:t>: actual transaction prices observed at the point of sale, not hypothetical survey responses.</w:t>
      </w:r>
    </w:p>
    <w:p w14:paraId="040D68E9" w14:textId="77777777" w:rsidR="00E05E66" w:rsidRDefault="00000000">
      <w:r>
        <w:lastRenderedPageBreak/>
        <w:t xml:space="preserve">A notable gap in the food hedonic literature is that virtually all existing studies examine </w:t>
      </w:r>
      <w:r>
        <w:rPr>
          <w:b/>
        </w:rPr>
        <w:t>single commodities</w:t>
      </w:r>
      <w:r>
        <w:t xml:space="preserve">: wine (Nerlove, 1995; Schamel, 2006), rice (Bairagi et al., 2020), milk (Mergenthaler et al., 2009), or organic vegetables (Xuan, 2021). No prior study applies hedonic decomposition </w:t>
      </w:r>
      <w:r>
        <w:rPr>
          <w:b/>
        </w:rPr>
        <w:t>across multiple food categories simultaneously</w:t>
      </w:r>
      <w:r>
        <w:t>. The 10-category design of this thesis is, to the author’s knowledge, novel in the food hedonic literature and enables direct comparison of how attribute premiums vary across structurally different product types.</w:t>
      </w:r>
    </w:p>
    <w:p w14:paraId="117E5E42" w14:textId="77777777" w:rsidR="00E05E66" w:rsidRDefault="00000000">
      <w:pPr>
        <w:pStyle w:val="Heading2"/>
      </w:pPr>
      <w:r>
        <w:t>2.3  Brand Equity, Product Differentiation, and Price Premiums</w:t>
      </w:r>
    </w:p>
    <w:p w14:paraId="37F2B283" w14:textId="77777777" w:rsidR="00E05E66" w:rsidRDefault="00000000">
      <w:pPr>
        <w:pStyle w:val="NoIndent"/>
      </w:pPr>
      <w:r>
        <w:t xml:space="preserve">The brand equity literature provides the theoretical basis for the </w:t>
      </w:r>
      <w:r>
        <w:rPr>
          <w:b/>
        </w:rPr>
        <w:t>four-quadrant brand positioning typology</w:t>
      </w:r>
      <w:r>
        <w:t xml:space="preserve"> used in this thesis. Rather than entering a single binary “branded versus unbranded” variable into the hedonic regression, as is common in the food pricing literature, this study decomposes the brand dimension into two theoretically grounded components: </w:t>
      </w:r>
      <w:r>
        <w:rPr>
          <w:b/>
        </w:rPr>
        <w:t>brand awareness</w:t>
      </w:r>
      <w:r>
        <w:t xml:space="preserve"> and </w:t>
      </w:r>
      <w:r>
        <w:rPr>
          <w:b/>
        </w:rPr>
        <w:t>perceived quality positioning</w:t>
      </w:r>
      <w:r>
        <w:t>. The theoretical foundations for this decomposition are drawn from Keller’s (1993) customer-based brand equity model and Aaker’s (1991) brand equity framework.</w:t>
      </w:r>
    </w:p>
    <w:p w14:paraId="74B72FB1" w14:textId="77777777" w:rsidR="00E05E66" w:rsidRDefault="00000000">
      <w:pPr>
        <w:pStyle w:val="Heading3"/>
      </w:pPr>
      <w:r>
        <w:t>Customer-Based Brand Equity: Keller (1993)</w:t>
      </w:r>
    </w:p>
    <w:p w14:paraId="32AD8CEB" w14:textId="77777777" w:rsidR="00E05E66" w:rsidRDefault="00000000">
      <w:pPr>
        <w:pStyle w:val="NoIndent"/>
      </w:pPr>
      <w:r>
        <w:t xml:space="preserve">Keller’s (1993) </w:t>
      </w:r>
      <w:r>
        <w:rPr>
          <w:b/>
        </w:rPr>
        <w:t>Customer-Based Brand Equity (CBBE)</w:t>
      </w:r>
      <w:r>
        <w:t xml:space="preserve"> model defines brand equity as the differential effect that </w:t>
      </w:r>
      <w:r>
        <w:rPr>
          <w:b/>
        </w:rPr>
        <w:t>brand knowledge</w:t>
      </w:r>
      <w:r>
        <w:t xml:space="preserve"> has on consumer response to the marketing of a product. Brand knowledge, in Keller’s framework, consists of two components: </w:t>
      </w:r>
      <w:r>
        <w:rPr>
          <w:b/>
        </w:rPr>
        <w:t>brand awareness</w:t>
      </w:r>
      <w:r>
        <w:t xml:space="preserve"> and </w:t>
      </w:r>
      <w:r>
        <w:rPr>
          <w:b/>
        </w:rPr>
        <w:t>brand image</w:t>
      </w:r>
      <w:r>
        <w:t xml:space="preserve">. Brand awareness refers to the strength of the brand node in memory (the consumer’s ability to identify the brand under different conditions. Keller further decomposes awareness into </w:t>
      </w:r>
      <w:r>
        <w:rPr>
          <w:b/>
        </w:rPr>
        <w:t>brand recognition</w:t>
      </w:r>
      <w:r>
        <w:t xml:space="preserve"> (can the consumer identify the brand when exposed to it?) and </w:t>
      </w:r>
      <w:r>
        <w:rPr>
          <w:b/>
        </w:rPr>
        <w:t>brand recall</w:t>
      </w:r>
      <w:r>
        <w:t xml:space="preserve"> (can the consumer retrieve the brand from memory when given the product category as a cue?). Brand image, by contrast, refers to the set of associations linked </w:t>
        <w:lastRenderedPageBreak/>
        <w:t>to the brand in the consumer’s memory: their type, favorability, strength, and uniqueness.</w:t>
      </w:r>
    </w:p>
    <w:p w14:paraId="4703D156" w14:textId="77777777" w:rsidR="00E05E66" w:rsidRDefault="00000000">
      <w:r>
        <w:t xml:space="preserve">The CBBE model predicts that brand awareness alone can generate positive consumer response: a brand that is recognized on the shelf benefits from familiarity, reduced perceived risk, and inclusion in the consideration set. High awareness does not, however, guarantee a price premium; this depends on the favorability of the brand’s image associations. A nationally distributed brand that consumers readily recognize but associate with economy positioning (a </w:t>
      </w:r>
      <w:r>
        <w:rPr>
          <w:b/>
        </w:rPr>
        <w:t>“Household Giant”</w:t>
      </w:r>
      <w:r>
        <w:t xml:space="preserve"> in the typology of this thesis) may command volume through availability rather than a per-unit price premium.</w:t>
      </w:r>
    </w:p>
    <w:p w14:paraId="7882B265" w14:textId="77777777" w:rsidR="00E05E66" w:rsidRDefault="00000000">
      <w:r>
        <w:t xml:space="preserve">For the present study, Keller’s awareness dimension is operationalized through the </w:t>
      </w:r>
      <w:r>
        <w:rPr>
          <w:i/>
        </w:rPr>
        <w:t>is_high_recognition</w:t>
      </w:r>
      <w:r>
        <w:t xml:space="preserve"> variable, which identifies products belonging to approximately 30 nationally distributed brands. These brands are characterized by </w:t>
      </w:r>
      <w:r>
        <w:rPr>
          <w:b/>
        </w:rPr>
        <w:t>high shelf presence</w:t>
      </w:r>
      <w:r>
        <w:t xml:space="preserve"> across Vietnamese modern trade channels, a proxy consistent with Keller’s (1993) recognition construct. The brand list was curated through manual review of the product catalog and cross-referenced with market share data where available (see Chapter 3 for the full operationalization).</w:t>
      </w:r>
    </w:p>
    <w:p w14:paraId="4902CAF2" w14:textId="77777777" w:rsidR="00E05E66" w:rsidRDefault="00000000">
      <w:pPr>
        <w:pStyle w:val="Heading3"/>
      </w:pPr>
      <w:r>
        <w:t>Perceived Quality as Brand Equity: Aaker (1991)</w:t>
      </w:r>
    </w:p>
    <w:p w14:paraId="0B30824E" w14:textId="77777777" w:rsidR="00E05E66" w:rsidRDefault="00000000">
      <w:pPr>
        <w:pStyle w:val="NoIndent"/>
      </w:pPr>
      <w:r>
        <w:t xml:space="preserve">Aaker’s (1991) brand equity framework complements Keller’s awareness model by identifying </w:t>
      </w:r>
      <w:r>
        <w:rPr>
          <w:b/>
        </w:rPr>
        <w:t>perceived quality</w:t>
      </w:r>
      <w:r>
        <w:t xml:space="preserve"> as a core dimension of brand equity. In Aaker’s framework, perceived quality is defined as the consumer’s subjective judgement of a product’s overall excellence: a judgement that may or may not correspond to objective quality. Critically, perceived quality is not an intrinsic product attribute but a </w:t>
      </w:r>
      <w:r>
        <w:rPr>
          <w:b/>
        </w:rPr>
        <w:t>consumer perception</w:t>
      </w:r>
      <w:r>
        <w:t xml:space="preserve"> shaped by available cues: price, brand name, packaging, shelf placement, and marketing communication.</w:t>
      </w:r>
    </w:p>
    <w:p w14:paraId="5F039C63" w14:textId="77777777" w:rsidR="00E05E66" w:rsidRDefault="00000000">
      <w:r>
        <w:t xml:space="preserve">Aaker (1991) argues that perceived quality drives willingness to pay through several mechanisms: it provides a </w:t>
      </w:r>
      <w:r>
        <w:rPr>
          <w:b/>
        </w:rPr>
        <w:t>reason to buy</w:t>
      </w:r>
      <w:r>
        <w:t xml:space="preserve">, it </w:t>
      </w:r>
      <w:r>
        <w:rPr>
          <w:b/>
        </w:rPr>
        <w:t>differentiates</w:t>
      </w:r>
      <w:r>
        <w:t xml:space="preserve"> the product from </w:t>
        <w:lastRenderedPageBreak/>
        <w:t xml:space="preserve">alternatives, it supports </w:t>
      </w:r>
      <w:r>
        <w:rPr>
          <w:b/>
        </w:rPr>
        <w:t>premium pricing</w:t>
      </w:r>
      <w:r>
        <w:t>, and it signals quality to consumers who lack the expertise or motivation to evaluate the product directly. In the context of grocery markets (where consumers face hundreds of products and make rapid, heuristic-driven decisions), price itself serves as one of the most powerful quality signals. A product positioned above the category median price is perceived as higher quality, regardless of whether the objective quality difference justifies the price gap.</w:t>
      </w:r>
    </w:p>
    <w:p w14:paraId="289368B1" w14:textId="77777777" w:rsidR="00E05E66" w:rsidRDefault="00000000">
      <w:r>
        <w:t xml:space="preserve">For the present study, Aaker’s perceived quality dimension is operationalized through the </w:t>
      </w:r>
      <w:r>
        <w:rPr>
          <w:i/>
        </w:rPr>
        <w:t>is_premium</w:t>
      </w:r>
      <w:r>
        <w:t xml:space="preserve"> variable, defined as whether a product’s average price exceeds its </w:t>
      </w:r>
      <w:r>
        <w:rPr>
          <w:b/>
        </w:rPr>
        <w:t>subcategory median price</w:t>
      </w:r>
      <w:r>
        <w:t xml:space="preserve">. This operationalization deliberately uses price positioning as a proxy for perceived quality, consistent with Aaker’s (1991) argument that price is both a signal of quality and a consequence of it. The circularity is acknowledged: using price to define a regressor in a price regression introduces a mechanical correlation. However, the variable captures </w:t>
      </w:r>
      <w:r>
        <w:rPr>
          <w:b/>
        </w:rPr>
        <w:t>price-tier positioning</w:t>
      </w:r>
      <w:r>
        <w:t xml:space="preserve"> (a structural characteristic of the product’s market placement, rather than the dependent variable itself, and the subcategory median is computed across products, not across time. The econometric implications of this design choice are discussed in Chapter 3.</w:t>
      </w:r>
    </w:p>
    <w:p w14:paraId="3A242944" w14:textId="77777777" w:rsidR="00E05E66" w:rsidRDefault="00000000">
      <w:pPr>
        <w:pStyle w:val="Heading3"/>
      </w:pPr>
      <w:r>
        <w:t>The Four-Quadrant Brand Positioning Typology</w:t>
      </w:r>
    </w:p>
    <w:p w14:paraId="184FDCD0" w14:textId="77777777" w:rsidR="00E05E66" w:rsidRDefault="00000000">
      <w:pPr>
        <w:pStyle w:val="NoIndent"/>
      </w:pPr>
      <w:r>
        <w:t xml:space="preserve">By crossing Keller’s (1993) awareness dimension with Aaker’s (1991) perceived quality dimension, this thesis constructs a </w:t>
      </w:r>
      <w:r>
        <w:rPr>
          <w:b/>
        </w:rPr>
        <w:t>four-quadrant market positioning typology</w:t>
      </w:r>
      <w:r>
        <w:t xml:space="preserve"> that decomposes the conventional single “brand premium” into three separable empirical questions:</w:t>
      </w:r>
    </w:p>
    <w:p w14:paraId="4AD6D980" w14:textId="77777777" w:rsidR="00E05E66" w:rsidRDefault="00000000">
      <w:pPr>
        <w:pStyle w:val="NoIndent"/>
      </w:pPr>
      <w:r>
        <w:rPr>
          <w:b/>
        </w:rPr>
        <w:t xml:space="preserve">(1) Brand-name effect: </w:t>
      </w:r>
      <w:r>
        <w:t xml:space="preserve">Does having any identifiable brand name generate a price premium over generic (unbranded) products? This is captured by the </w:t>
      </w:r>
      <w:r>
        <w:rPr>
          <w:i/>
        </w:rPr>
        <w:t>is_branded</w:t>
      </w:r>
      <w:r>
        <w:t xml:space="preserve"> coefficient.</w:t>
      </w:r>
    </w:p>
    <w:p w14:paraId="2F62D759" w14:textId="77777777" w:rsidR="00E05E66" w:rsidRDefault="00000000">
      <w:pPr>
        <w:pStyle w:val="NoIndent"/>
      </w:pPr>
      <w:r>
        <w:rPr>
          <w:b/>
        </w:rPr>
        <w:t xml:space="preserve">(2) Quality-tier effect: </w:t>
      </w:r>
      <w:r>
        <w:t xml:space="preserve">Conditional on being branded, does premium price-tier positioning add an additional premium? This is captured by the </w:t>
      </w:r>
      <w:r>
        <w:rPr>
          <w:i/>
        </w:rPr>
        <w:t>is_premium</w:t>
      </w:r>
      <w:r>
        <w:t xml:space="preserve"> coefficient.</w:t>
      </w:r>
    </w:p>
    <w:p w14:paraId="7DEC2E9F" w14:textId="77777777" w:rsidR="00E05E66" w:rsidRDefault="00000000">
      <w:pPr>
        <w:pStyle w:val="NoIndent"/>
      </w:pPr>
      <w:r>
        <w:rPr>
          <w:b/>
        </w:rPr>
        <w:lastRenderedPageBreak/>
        <w:t xml:space="preserve">(3) Recognition effect: </w:t>
      </w:r>
      <w:r>
        <w:t xml:space="preserve">Conditional on being branded, does high consumer recognition add an additional premium? This is captured by the </w:t>
      </w:r>
      <w:r>
        <w:rPr>
          <w:i/>
        </w:rPr>
        <w:t>is_high_recognition</w:t>
      </w:r>
      <w:r>
        <w:t xml:space="preserve"> coefficient.</w:t>
      </w:r>
    </w:p>
    <w:p w14:paraId="68C579ED" w14:textId="77777777" w:rsidR="00E05E66" w:rsidRDefault="00000000">
      <w:r>
        <w:t xml:space="preserve">The resulting five product groups are: </w:t>
      </w:r>
      <w:r>
        <w:rPr>
          <w:b/>
        </w:rPr>
        <w:t>Generic</w:t>
      </w:r>
      <w:r>
        <w:t xml:space="preserve"> (unbranded baseline), </w:t>
      </w:r>
      <w:r>
        <w:rPr>
          <w:b/>
        </w:rPr>
        <w:t>Local &amp; Value</w:t>
      </w:r>
      <w:r>
        <w:t xml:space="preserve"> (branded, low recognition, non-premium), </w:t>
      </w:r>
      <w:r>
        <w:rPr>
          <w:b/>
        </w:rPr>
        <w:t>Household Giant</w:t>
      </w:r>
      <w:r>
        <w:t xml:space="preserve"> (branded, high recognition, non-premium), </w:t>
      </w:r>
      <w:r>
        <w:rPr>
          <w:b/>
        </w:rPr>
        <w:t>Niche Professional</w:t>
      </w:r>
      <w:r>
        <w:t xml:space="preserve"> (branded, low recognition, premium), and </w:t>
      </w:r>
      <w:r>
        <w:rPr>
          <w:b/>
        </w:rPr>
        <w:t>Prestige Leader</w:t>
      </w:r>
      <w:r>
        <w:t xml:space="preserve"> (branded, high recognition, premium). These are encoded as </w:t>
      </w:r>
      <w:r>
        <w:rPr>
          <w:b/>
        </w:rPr>
        <w:t>hierarchical dummy variables</w:t>
      </w:r>
      <w:r>
        <w:t xml:space="preserve"> in the regression specification. The hierarchical encoding means that the total estimated premium for any brand group is the sum of the applicable coefficients: for a Prestige Leader product, the total premium over Generic equals β(is_branded) + β(is_premium) + β(is_high_recognition).</w:t>
      </w:r>
    </w:p>
    <w:p w14:paraId="7AE37626" w14:textId="77777777" w:rsidR="00E05E66" w:rsidRDefault="00000000">
      <w:pPr>
        <w:jc w:val="center"/>
      </w:pPr>
      <w:r>
        <w:rPr>
          <w:noProof/>
        </w:rPr>
        <w:drawing>
          <wp:inline distT="0" distB="0" distL="0" distR="0" wp14:anchorId="49360F62" wp14:editId="39F90C40">
            <wp:extent cx="5029200" cy="3988000"/>
            <wp:effectExtent l="0" t="0" r="0" b="0"/>
            <wp:docPr id="1" name="Brand Positioning Map" descr="Brand positioning map: Keller (1993) brand recognition dimension crossed with Aaker (1991) perceived quality dimension, showing the four branded quadrants and example Vietnamese grocery brands in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rand Positioning Map"/>
                    <pic:cNvPicPr/>
                  </pic:nvPicPr>
                  <pic:blipFill>
                    <a:blip r:embed="rId10"/>
                    <a:stretch>
                      <a:fillRect/>
                    </a:stretch>
                  </pic:blipFill>
                  <pic:spPr>
                    <a:xfrm>
                      <a:off x="0" y="0"/>
                      <a:ext cx="5029200" cy="3988000"/>
                    </a:xfrm>
                    <a:prstGeom prst="rect">
                      <a:avLst/>
                    </a:prstGeom>
                  </pic:spPr>
                </pic:pic>
              </a:graphicData>
            </a:graphic>
          </wp:inline>
        </w:drawing>
      </w:r>
    </w:p>
    <w:p w14:paraId="03389615" w14:textId="77777777" w:rsidR="00E05E66" w:rsidRDefault="00000000">
      <w:pPr>
        <w:jc w:val="center"/>
      </w:pPr>
      <w:r>
        <w:rPr>
          <w:i/>
          <w:sz w:val="20"/>
        </w:rPr>
        <w:t xml:space="preserve">Figure 2.1: Brand positioning map constructed from Keller’s (1993) brand recognition and Aaker’s (1991) perceived quality dimensions. Example brands shown in each quadrant are the six most frequently </w:t>
        <w:lastRenderedPageBreak/>
        <w:t>observed in the Winmart catalog; n counts denote the total number of distinct brands classified into each quadrant. Generic (unbranded) products sit outside the map.</w:t>
      </w:r>
    </w:p>
    <w:p w14:paraId="2CE243ED" w14:textId="77777777" w:rsidR="00E05E66" w:rsidRDefault="00000000">
      <w:r>
        <w:t xml:space="preserve">This decomposition is theoretically motivated by Kapferer’s (2008) argument that brand identity is </w:t>
      </w:r>
      <w:r>
        <w:rPr>
          <w:b/>
        </w:rPr>
        <w:t>multidimensional</w:t>
      </w:r>
      <w:r>
        <w:t xml:space="preserve">: brands differentiate along multiple facets simultaneously, and a single brand premium coefficient conceals the distinct contributions of awareness, quality positioning, and image associations. The four-quadrant typology is not a measure of brand equity in the Keller or Aaker sense; rather, it is a </w:t>
      </w:r>
      <w:r>
        <w:rPr>
          <w:b/>
        </w:rPr>
        <w:t>market positioning classification</w:t>
      </w:r>
      <w:r>
        <w:t xml:space="preserve"> that operationalizes two dimensions of brand equity theory as observable product characteristics suitable for hedonic regression.</w:t>
      </w:r>
    </w:p>
    <w:p w14:paraId="7F549996" w14:textId="77777777" w:rsidR="00E05E66" w:rsidRDefault="00000000">
      <w:pPr>
        <w:pStyle w:val="Heading3"/>
      </w:pPr>
      <w:r>
        <w:t>Other Attribute Premiums: Origin, Quality Signals, and Versioning</w:t>
      </w:r>
    </w:p>
    <w:p w14:paraId="6B951310" w14:textId="77777777" w:rsidR="00E05E66" w:rsidRDefault="00000000">
      <w:pPr>
        <w:pStyle w:val="NoIndent"/>
      </w:pPr>
      <w:r>
        <w:t xml:space="preserve">Beyond brand equity, the hedonic model includes several additional attributes whose premiums are grounded in the product differentiation literature. </w:t>
      </w:r>
      <w:r>
        <w:rPr>
          <w:b/>
        </w:rPr>
        <w:t>Import origin</w:t>
      </w:r>
      <w:r>
        <w:t xml:space="preserve"> (captured by the </w:t>
      </w:r>
      <w:r>
        <w:rPr>
          <w:i/>
        </w:rPr>
        <w:t>is_import</w:t>
      </w:r>
      <w:r>
        <w:t xml:space="preserve"> variable) is expected to generate a premium through country-of-origin associations. Schamel (2006) demonstrated that geographic origin constitutes an independent premium source in wine markets, separable from brand effects. In the Vietnamese context, imported food products are associated with higher quality standards and food safety practices (Mergenthaler et al., 2009), which should translate into a positive import premium.</w:t>
      </w:r>
    </w:p>
    <w:p w14:paraId="51094B84" w14:textId="77777777" w:rsidR="00E05E66" w:rsidRDefault="00000000">
      <w:r>
        <w:rPr>
          <w:b/>
        </w:rPr>
        <w:t>Health claims</w:t>
      </w:r>
      <w:r>
        <w:t xml:space="preserve"> and </w:t>
      </w:r>
      <w:r>
        <w:rPr>
          <w:b/>
        </w:rPr>
        <w:t>freshness claims</w:t>
      </w:r>
      <w:r>
        <w:t xml:space="preserve"> are credence attributes in the sense of Darby and Karni (1973): consumers cannot verify “organic,” “sugar-free,” or “pesticide-free” claims even after consumption. The premiums associated with these claims are sustained by </w:t>
      </w:r>
      <w:r>
        <w:rPr>
          <w:b/>
        </w:rPr>
        <w:t>trust in the labelling system</w:t>
      </w:r>
      <w:r>
        <w:t xml:space="preserve"> and regulatory enforcement, not by direct experience. As argued in Section 2.2, this trust-based foundation generates a prediction for the promotional erosion analysis: credence premiums should be relatively sticky across the marked-price and final-price specifications.</w:t>
      </w:r>
    </w:p>
    <w:p w14:paraId="6CA2E6C9" w14:textId="77777777" w:rsidR="00E05E66" w:rsidRDefault="00000000">
      <w:r>
        <w:lastRenderedPageBreak/>
        <w:t xml:space="preserve">Finally, the role of </w:t>
      </w:r>
      <w:r>
        <w:rPr>
          <w:b/>
        </w:rPr>
        <w:t>promotional pricing</w:t>
      </w:r>
      <w:r>
        <w:t xml:space="preserve"> in this thesis draws on Varian’s (1997) framework of </w:t>
      </w:r>
      <w:r>
        <w:rPr>
          <w:b/>
        </w:rPr>
        <w:t>versioning and quality discrimination</w:t>
      </w:r>
      <w:r>
        <w:t xml:space="preserve">. Varian argues that firms offer different quality tiers of the same product to segment consumers by willingness to pay, and that temporal price variation (sales, promotions) serves as a form of intertemporal price discrimination. In this framework, promotional discounts are not random noise but a </w:t>
      </w:r>
      <w:r>
        <w:rPr>
          <w:b/>
        </w:rPr>
        <w:t>strategic tool</w:t>
      </w:r>
      <w:r>
        <w:t xml:space="preserve"> used by the retailer to attract price-sensitive consumers without permanently lowering the price for less price-sensitive buyers. The dual-price design of this thesis captures one dimension of this strategy: the gap between the marked price (signalling the product’s intended positioning) and the final price (reflecting the retailer’s competitive or promotional adjustment).</w:t>
      </w:r>
    </w:p>
    <w:p w14:paraId="407C9312" w14:textId="77777777" w:rsidR="00E05E66" w:rsidRDefault="00000000">
      <w:r>
        <w:t xml:space="preserve">MacDonald (2000) adds a temporal dimension by documenting </w:t>
      </w:r>
      <w:r>
        <w:rPr>
          <w:b/>
        </w:rPr>
        <w:t>counter-cyclical pricing patterns</w:t>
      </w:r>
      <w:r>
        <w:t xml:space="preserve"> in food retail: during high-demand periods, some retailers increase promotional intensity on traffic-driving categories while maintaining or raising prices on less elastic items. This pattern is potentially relevant to the Tết holiday period (February 17, 2026) that falls within the observation window of this thesis, and is revisited in the discussion of results in Chapter 5.</w:t>
      </w:r>
    </w:p>
    <w:p w14:paraId="06230284" w14:textId="77777777" w:rsidR="00E05E66" w:rsidRDefault="00000000">
      <w:pPr>
        <w:pStyle w:val="Heading2"/>
      </w:pPr>
      <w:r>
        <w:t>2.4  Online Retail Pricing and Web-Scraped Price Data</w:t>
      </w:r>
    </w:p>
    <w:p w14:paraId="082447CA" w14:textId="77777777" w:rsidR="00E05E66" w:rsidRDefault="00000000">
      <w:pPr>
        <w:pStyle w:val="NoIndent"/>
      </w:pPr>
      <w:r>
        <w:t xml:space="preserve">The empirical validity of this thesis rests on a premise that warrants explicit justification: that </w:t>
      </w:r>
      <w:r>
        <w:rPr>
          <w:b/>
        </w:rPr>
        <w:t>prices observed on an online grocery platform are economically meaningful</w:t>
      </w:r>
      <w:r>
        <w:t xml:space="preserve"> and reflect the same pricing decisions that govern physical retail. This section reviews the evidence supporting this premise.</w:t>
      </w:r>
    </w:p>
    <w:p w14:paraId="72E2CEF2" w14:textId="77777777" w:rsidR="00E05E66" w:rsidRDefault="00000000">
      <w:r>
        <w:t xml:space="preserve">Cavallo (2017) provides the most comprehensive evidence to date. In a large-scale comparison of online and offline prices across 56 countries and 10 major multi-channel retailers, Cavallo found that </w:t>
      </w:r>
      <w:r>
        <w:rPr>
          <w:b/>
        </w:rPr>
        <w:t>72 percent of identical products carry identical prices</w:t>
      </w:r>
      <w:r>
        <w:t xml:space="preserve"> in both channels. Online prices are not a distorted artefact of a separate digital market; they reflect the same underlying pricing strategy applied across channels. For multi-channel retailers like Winmart, which operates both </w:t>
        <w:lastRenderedPageBreak/>
        <w:t>physical stores and an online platform, this evidence suggests that the online prices scraped in this thesis are representative of the retailer’s overall pricing behavior, not a channel-specific anomaly.</w:t>
      </w:r>
    </w:p>
    <w:p w14:paraId="022A0D75" w14:textId="77777777" w:rsidR="00E05E66" w:rsidRDefault="00000000">
      <w:r>
        <w:t xml:space="preserve">From a measurement perspective, Hülten (2002) argues that </w:t>
      </w:r>
      <w:r>
        <w:rPr>
          <w:b/>
        </w:rPr>
        <w:t>daily price data</w:t>
      </w:r>
      <w:r>
        <w:t xml:space="preserve"> avoids the temporal aggregation bias inherent in monthly or quarterly price statistics. Survey-based consumer price indices, for instance, aggregate prices over reporting periods and across outlets, smoothing out the within-period promotional dynamics that are central to this thesis. The 88-day daily panel used here captures the full trajectory of promotional pricing, the introduction, duration, and removal of discounts, that monthly data would average away.</w:t>
      </w:r>
    </w:p>
    <w:p w14:paraId="2252F86E" w14:textId="77777777" w:rsidR="00E05E66" w:rsidRDefault="00000000">
      <w:r>
        <w:t xml:space="preserve">In the Vietnamese context, Tran et al. (2025) document that Vietnamese online grocery shoppers are </w:t>
      </w:r>
      <w:r>
        <w:rPr>
          <w:b/>
        </w:rPr>
        <w:t>price-aware and comparison-oriented</w:t>
      </w:r>
      <w:r>
        <w:t xml:space="preserve">, actively using platform features to compare prices across products. This suggests that the dual-price display observed on Winmart (marked price alongside final price) is not merely decorative but serves a genuine informational function for consumers. Singh et al. (2020) further find that </w:t>
      </w:r>
      <w:r>
        <w:rPr>
          <w:b/>
        </w:rPr>
        <w:t>price transparency</w:t>
      </w:r>
      <w:r>
        <w:t xml:space="preserve"> is a key driver of digital grocery store adoption in Vietnam, implying that the prices displayed on the platform are taken seriously by consumers as decision inputs.</w:t>
      </w:r>
    </w:p>
    <w:p w14:paraId="64114CE8" w14:textId="77777777" w:rsidR="00E05E66" w:rsidRDefault="00000000">
      <w:r>
        <w:t xml:space="preserve">Finally, Schipmann and Qaim (2011) provide direct support for the </w:t>
      </w:r>
      <w:r>
        <w:rPr>
          <w:b/>
        </w:rPr>
        <w:t>single-retailer design</w:t>
      </w:r>
      <w:r>
        <w:t xml:space="preserve"> adopted in this thesis. They show that retail format creates systematic price variation in Southeast Asian food markets: different retail formats (wet markets, modern supermarkets, premium specialty stores) carry structurally different price levels that reflect format-level factors (rent, branding, customer base) rather than product attributes. Mixing retail formats in a single hedonic analysis would therefore confound format premiums with attribute premiums. This thesis eliminates that source of bias by drawing all observations from one retailer, at the cost of limiting external validity to the modern trade segment (a trade-off discussed further in Chapter 5).</w:t>
      </w:r>
    </w:p>
    <w:p w14:paraId="06C052ED" w14:textId="77777777" w:rsidR="00E05E66" w:rsidRDefault="00000000">
      <w:pPr>
        <w:pStyle w:val="Heading2"/>
      </w:pPr>
      <w:r>
        <w:lastRenderedPageBreak/>
        <w:t>2.5  Vietnamese Food Market Context and Research Gap</w:t>
      </w:r>
    </w:p>
    <w:p w14:paraId="1B39FE21" w14:textId="77777777" w:rsidR="00E05E66" w:rsidRDefault="00000000">
      <w:pPr>
        <w:pStyle w:val="NoIndent"/>
      </w:pPr>
      <w:r>
        <w:t xml:space="preserve">Vietnam’s food retail landscape has undergone a structural transformation over the past two decades. The traditional wet market, which once accounted for the vast majority of food purchases, is being progressively supplemented by modern trade channels (supermarkets, convenience stores, and their online extensions), particularly in urban areas (Bairagi et al., 2020). This transition has been accompanied by a shift from commodity-based pricing, where products are largely undifferentiated, to </w:t>
      </w:r>
      <w:r>
        <w:rPr>
          <w:b/>
        </w:rPr>
        <w:t>attribute-based pricing</w:t>
      </w:r>
      <w:r>
        <w:t>, where brand identity, origin labelling, and quality certifications increasingly determine what consumers pay. It is precisely this environment, where product differentiation and attribute-based premiums are actively emerging, that makes hedonic price decomposition most analytically informative.</w:t>
      </w:r>
    </w:p>
    <w:p w14:paraId="1AD6FC07" w14:textId="77777777" w:rsidR="00E05E66" w:rsidRDefault="00000000">
      <w:r>
        <w:t xml:space="preserve">Several studies provide context for consumer behavior in Vietnamese food markets. Mergenthaler, Weinberger, and Qaim (2009) found that consumers in Hanoi are willing to pay premiums of up to </w:t>
      </w:r>
      <w:r>
        <w:rPr>
          <w:b/>
        </w:rPr>
        <w:t>60 percent for food safety attributes</w:t>
      </w:r>
      <w:r>
        <w:t xml:space="preserve">, particularly low pesticide residues and traceable origin. Food safety is consistently identified as the </w:t>
      </w:r>
      <w:r>
        <w:rPr>
          <w:b/>
        </w:rPr>
        <w:t>single most valued quality dimension</w:t>
      </w:r>
      <w:r>
        <w:t xml:space="preserve"> in Vietnamese food markets, reflecting widespread public concern about pesticide contamination and food adulteration. Bell et al. (2021) further demonstrated that food values in peri-urban Hanoi vary systematically by product category: safety concerns are strongest for primary ingredients (rice, vegetables, meat) and weaker for processed convenience foods. This category-level heterogeneity motivates the per-category regression analysis in Chapter 4.</w:t>
      </w:r>
    </w:p>
    <w:p w14:paraId="448F4952" w14:textId="77777777" w:rsidR="00E05E66" w:rsidRDefault="00000000">
      <w:r>
        <w:t xml:space="preserve">Nguyen et al. (2015) examined supermarket purchasing behavior and found that quality perception dominates price sensitivity in Vietnamese consumers’ food choices. Consumers use </w:t>
      </w:r>
      <w:r>
        <w:rPr>
          <w:b/>
        </w:rPr>
        <w:t>brand and origin signals as quality proxies</w:t>
      </w:r>
      <w:r>
        <w:t>, a finding consistent with the theoretical predictions of Aaker’s (1991) perceived quality framework and with the inclusion of brand and import variables in the hedonic specification of this thesis.</w:t>
      </w:r>
    </w:p>
    <w:p w14:paraId="47FCB225" w14:textId="77777777" w:rsidR="00E05E66" w:rsidRDefault="00000000">
      <w:pPr>
        <w:pStyle w:val="Heading3"/>
      </w:pPr>
      <w:r>
        <w:lastRenderedPageBreak/>
        <w:t>Research Gaps</w:t>
      </w:r>
    </w:p>
    <w:p w14:paraId="444B09BC" w14:textId="77777777" w:rsidR="00E05E66" w:rsidRDefault="00000000">
      <w:pPr>
        <w:pStyle w:val="NoIndent"/>
      </w:pPr>
      <w:r>
        <w:t>Despite this growing body of work on Vietnamese food markets, three specific research gaps remain unaddressed.</w:t>
      </w:r>
    </w:p>
    <w:p w14:paraId="0DC15867" w14:textId="77777777" w:rsidR="00E05E66" w:rsidRDefault="00000000">
      <w:pPr>
        <w:pStyle w:val="NoIndent"/>
      </w:pPr>
      <w:r>
        <w:rPr>
          <w:b/>
        </w:rPr>
        <w:t xml:space="preserve">Gap 1: No hedonic decomposition of Vietnamese grocery prices. </w:t>
      </w:r>
      <w:r>
        <w:t xml:space="preserve">Existing Vietnamese food pricing studies rely on </w:t>
      </w:r>
      <w:r>
        <w:rPr>
          <w:b/>
        </w:rPr>
        <w:t>stated-preference methods</w:t>
      </w:r>
      <w:r>
        <w:t xml:space="preserve"> (willingness-to-pay surveys, choice experiments) or examine single commodities at the farm-gate level. No published study applies a revealed-preference hedonic framework to actual retail prices across multiple food categories in Vietnamese markets.</w:t>
      </w:r>
    </w:p>
    <w:p w14:paraId="4D69187F" w14:textId="77777777" w:rsidR="00E05E66" w:rsidRDefault="00000000">
      <w:pPr>
        <w:pStyle w:val="NoIndent"/>
      </w:pPr>
      <w:r>
        <w:rPr>
          <w:b/>
        </w:rPr>
        <w:t xml:space="preserve">Gap 2: No multi-category food hedonic study. </w:t>
      </w:r>
      <w:r>
        <w:t xml:space="preserve">The broader food hedonic literature is dominated by single-commodity analyses: wine, rice, milk, organic vegetables. No prior study estimates hedonic price functions across </w:t>
      </w:r>
      <w:r>
        <w:rPr>
          <w:b/>
        </w:rPr>
        <w:t>multiple food categories simultaneously</w:t>
      </w:r>
      <w:r>
        <w:t>, which prevents researchers from comparing how the implicit market value of a given attribute varies across structurally different product types.</w:t>
      </w:r>
    </w:p>
    <w:p w14:paraId="53DD9900" w14:textId="77777777" w:rsidR="00E05E66" w:rsidRDefault="00000000">
      <w:pPr>
        <w:pStyle w:val="NoIndent"/>
      </w:pPr>
      <w:r>
        <w:rPr>
          <w:b/>
        </w:rPr>
        <w:t xml:space="preserve">Gap 3: No dual-price design in food hedonics. </w:t>
      </w:r>
      <w:r>
        <w:t xml:space="preserve">While the distinction between list (sticker) prices and transaction (checkout) prices has been exploited in housing markets (Haurin et al., 2010; Knight, 2002) and automobile markets (Court, 1939), </w:t>
      </w:r>
      <w:r>
        <w:rPr>
          <w:b/>
        </w:rPr>
        <w:t>no prior food hedonic study uses the dual-price structure</w:t>
      </w:r>
      <w:r>
        <w:t xml:space="preserve"> to measure the extent to which promotional pricing erodes attribute premiums at the point of sale. The present thesis addresses all three gaps by combining a multi-category hedonic design with a dual-price estimation strategy on web-scraped Vietnamese online grocery data.</w:t>
      </w:r>
    </w:p>
    <w:p w14:paraId="77437F2C" w14:textId="77777777" w:rsidR="00E05E66" w:rsidRDefault="00000000">
      <w:r>
        <w:t>These gaps define the contribution of this thesis. The following chapter presents the methodological framework (the hedonic price model, functional form selection, dual-price design, and brand positioning typology) and justifies each methodological choice against alternative approaches.</w:t>
      </w:r>
    </w:p>
    <w:p w14:paraId="7372A395" w14:textId="77777777" w:rsidR="00E05E66" w:rsidRDefault="00000000">
      <w:r>
        <w:br w:type="page"/>
      </w:r>
    </w:p>
    <w:p w14:paraId="0FFA7ADA" w14:textId="77777777" w:rsidR="00E05E66" w:rsidRDefault="00000000">
      <w:pPr>
        <w:pStyle w:val="Heading1"/>
        <w:spacing w:before="480" w:after="360"/>
      </w:pPr>
      <w:r>
        <w:rPr>
          <w:rFonts w:ascii="Times New Roman" w:eastAsia="Times New Roman" w:hAnsi="Times New Roman" w:cs="Times New Roman"/>
          <w:szCs w:val="32"/>
        </w:rPr>
        <w:lastRenderedPageBreak/>
        <w:t>CHAPTER 3</w:t>
      </w:r>
    </w:p>
    <w:p w14:paraId="1747AA15" w14:textId="77777777" w:rsidR="00E05E66" w:rsidRDefault="00000000">
      <w:pPr>
        <w:spacing w:after="480"/>
        <w:jc w:val="center"/>
      </w:pPr>
      <w:r>
        <w:rPr>
          <w:rFonts w:eastAsia="Times New Roman" w:cs="Times New Roman"/>
          <w:b/>
          <w:bCs/>
          <w:sz w:val="32"/>
          <w:szCs w:val="32"/>
        </w:rPr>
        <w:t>METHODOLOGY</w:t>
      </w:r>
    </w:p>
    <w:p w14:paraId="3354938A" w14:textId="77777777" w:rsidR="00E05E66" w:rsidRDefault="00000000">
      <w:pPr>
        <w:pStyle w:val="Heading2"/>
      </w:pPr>
      <w:r>
        <w:rPr>
          <w:rFonts w:ascii="Times New Roman" w:eastAsia="Times New Roman" w:hAnsi="Times New Roman" w:cs="Times New Roman"/>
          <w:sz w:val="26"/>
        </w:rPr>
        <w:t>3.1  Model Selection: The Hedonic Price Framework</w:t>
      </w:r>
    </w:p>
    <w:p w14:paraId="4EACD98B" w14:textId="77777777" w:rsidR="00E05E66" w:rsidRDefault="00000000">
      <w:pPr>
        <w:jc w:val="both"/>
      </w:pPr>
      <w:r>
        <w:rPr>
          <w:rFonts w:eastAsia="Times New Roman" w:cs="Times New Roman"/>
          <w:sz w:val="24"/>
          <w:szCs w:val="24"/>
        </w:rPr>
        <w:t>Chapter 2 concluded three things that shape the methodology used here. First, hedonic price analysis is the natural framework for recovering attribute-level implicit prices from observed food prices, and the first-stage hedonic function is interpretable as an equilibrium price schedule rather than a structural demand or supply curve. Second, brand equity theory supplies two observable dimensions (recognition and perceived quality) along which any branded premium should vary, and these can be encoded directly into a regression. Third, web-scraped prices from a single multi-channel retailer carry enough information content, and enough insulation from retail-format confounds, to sustain such an analysis. Building on these conclusions, this chapter sets out the specific methodological choices that operationalise a dual-price hedonic design for Vietnamese online grocery data.</w:t>
      </w:r>
    </w:p>
    <w:p w14:paraId="58227D1D" w14:textId="77777777" w:rsidR="00E05E66" w:rsidRDefault="00000000">
      <w:pPr>
        <w:jc w:val="both"/>
      </w:pPr>
      <w:r>
        <w:rPr>
          <w:rFonts w:eastAsia="Times New Roman" w:cs="Times New Roman"/>
          <w:sz w:val="24"/>
          <w:szCs w:val="24"/>
        </w:rPr>
        <w:t>Consistent with the first-stage interpretation established in Chapter 2 (Ekeland, Heckman, and Nesheim, 2004), the coefficients recovered here describe the equilibrium price architecture of Winmart’s online grocery platform: how much more (or less) the market charges for branded versus generic products, imported versus domestic goods, or products carrying health claims versus those without. They are not estimates of consumer willingness to pay or retailer cost structures. This distinction carries directly into the dual-price design developed in Section 3.3, which documents how the price architecture shifts between two observable price points rather than estimating a causal mechanism.</w:t>
      </w:r>
    </w:p>
    <w:p w14:paraId="3E26B6A6" w14:textId="77777777" w:rsidR="00E05E66" w:rsidRDefault="00000000">
      <w:pPr>
        <w:jc w:val="both"/>
      </w:pPr>
      <w:r>
        <w:rPr>
          <w:rFonts w:eastAsia="Times New Roman" w:cs="Times New Roman"/>
          <w:sz w:val="24"/>
          <w:szCs w:val="24"/>
        </w:rPr>
        <w:t xml:space="preserve">The choice of hedonic regression over competing frameworks reflects the structure of the available data and the nature of the research question. Discrete choice models (multinomial logit, mixed logit) recover willingness to pay from observed purchase decisions, but they require information on which product each consumer actually selected from the available alternatives, along with the attributes and prices of the products not chosen. Web-scraped data contains only listed prices and product descriptions. With no </w:t>
        <w:lastRenderedPageBreak/>
        <w:t>purchase quantities, no market shares, and no revealed choice sets, a discrete-choice estimator cannot be identified. The research question also concerns the structure of listed prices rather than consumer substitution patterns, so the welfare advantages of discrete choice do not actually apply here. By contrast, the hedonic framework requires only the information that web-scraped data already supplies: a panel of prices and a vector of product attributes. This alignment between data structure and estimator is the central reason hedonic regression is the right tool for this specific project, not merely a default one.</w:t>
      </w:r>
    </w:p>
    <w:p w14:paraId="6E39D478" w14:textId="77777777" w:rsidR="00E05E66" w:rsidRDefault="00000000">
      <w:pPr>
        <w:jc w:val="both"/>
      </w:pPr>
      <w:r>
        <w:rPr>
          <w:rFonts w:eastAsia="Times New Roman" w:cs="Times New Roman"/>
          <w:sz w:val="24"/>
          <w:szCs w:val="24"/>
        </w:rPr>
        <w:t>Machine learning methods such as random forests and gradient boosting offer a second alternative, and they have attracted considerable attention in applied pricing research for their ability to capture nonlinear interactions and achieve high predictive accuracy. When compared directly with hedonic OLS on prediction benchmarks, the evidence is by now substantial and mostly one-sided. In a systematic review of twenty-three hedonic pricing studies, Valier (2024) found random forest to be the top-performing method in fourteen of them. Similarly, Fonseca, Jardim, and de Castro Neto (2023) ranked random forest above both artificial neural networks and hedonic OLS for Lisbon housing prices, while Hasan, du Preez, and Mare (2025) reported the same ranking for South African fine-art prices against both OLS and convolutional neural networks. Cafarella, Crone, Keaveney, O’Brien, and Tierney (2023) showed that machine-learning hedonic imputation is now viable for official consumer price index construction.</w:t>
      </w:r>
    </w:p>
    <w:p w14:paraId="3B98FB73" w14:textId="77777777" w:rsidR="00E05E66" w:rsidRDefault="00000000">
      <w:pPr>
        <w:jc w:val="both"/>
      </w:pPr>
      <w:r>
        <w:rPr>
          <w:rFonts w:eastAsia="Times New Roman" w:cs="Times New Roman"/>
          <w:sz w:val="24"/>
          <w:szCs w:val="24"/>
        </w:rPr>
        <w:t xml:space="preserve">The same comparative literature, however, draws a sharp line on interpretability. Machine learning wins on predictive accuracy (measured by root mean squared error, mean absolute error, or out-of-sample R-squared) but loses on the stable parametric interpretation of implicit prices that this thesis needs. Knowing that a model predicts prices accurately does not answer whether brand-name premiums survive promotional discounting. That question requires the magnitude, direction, and statistical significance of each attribute’s contribution to price. More importantly, the erosion metric central to this thesis (the change in a coefficient between the marked-price and final-price specifications) is only meaningful when coefficients are on a stable parametric scale that permits direct comparison across two regressions. A random-forest variable-importance score does not share that property: it reflects a model-specific split-reduction metric, not a cardinal implicit price. For the dual-price research question specifically, therefore, hedonic regression is not merely a reasonable </w:t>
        <w:lastRenderedPageBreak/>
        <w:t>default; it is the only framework among those reviewed that produces directly comparable attribute-level coefficients for the marked and final price equations. Machine learning is retained only in a supplementary role in this study: a decision-tree analysis validates the brand positioning typology described in Section 3.4.</w:t>
      </w:r>
    </w:p>
    <w:p w14:paraId="76F34E5B" w14:textId="77777777" w:rsidR="00E05E66" w:rsidRDefault="00000000">
      <w:pPr>
        <w:pStyle w:val="Heading2"/>
      </w:pPr>
      <w:r>
        <w:rPr>
          <w:rFonts w:ascii="Times New Roman" w:eastAsia="Times New Roman" w:hAnsi="Times New Roman" w:cs="Times New Roman"/>
          <w:sz w:val="26"/>
        </w:rPr>
        <w:t>3.2  Functional Form and Estimation Strategy</w:t>
      </w:r>
    </w:p>
    <w:p w14:paraId="6F11E241" w14:textId="77777777" w:rsidR="00E05E66" w:rsidRDefault="00000000">
      <w:pPr>
        <w:jc w:val="both"/>
      </w:pPr>
      <w:r>
        <w:rPr>
          <w:rFonts w:eastAsia="Times New Roman" w:cs="Times New Roman"/>
          <w:sz w:val="24"/>
          <w:szCs w:val="24"/>
        </w:rPr>
        <w:t>The hedonic price equation takes a log-linear form, with the natural logarithm of the price per standardized unit as the dependent variable. Solid products are standardized to price per 100 grams, liquid products to price per 100 milliliters, and products sold by count (principally eggs) undergo a separate unit normalization procedure that recovers approximately 100 fresh-produce products that would otherwise be excluded. This standardization serves two purposes: it removes mechanical pack-size effects from the price variable, and it ensures that the estimated coefficients can be interpreted directly as approximate percentage premiums or discounts relative to the omitted category.</w:t>
      </w:r>
    </w:p>
    <w:p w14:paraId="1C21D8B8" w14:textId="77777777" w:rsidR="00E05E66" w:rsidRDefault="00000000">
      <w:pPr>
        <w:jc w:val="both"/>
      </w:pPr>
      <w:r>
        <w:rPr>
          <w:rFonts w:eastAsia="Times New Roman" w:cs="Times New Roman"/>
          <w:sz w:val="24"/>
          <w:szCs w:val="24"/>
        </w:rPr>
        <w:t>The model specification is as follows:</w:t>
      </w:r>
    </w:p>
    <w:p w14:paraId="5983BD1F" w14:textId="77777777" w:rsidR="00E05E66" w:rsidRDefault="00000000">
      <w:pPr>
        <w:spacing w:before="200" w:after="200"/>
        <w:jc w:val="center"/>
        <w:tabs>
          <w:tab w:val="right" w:pos="8505"/>
        </w:tabs>
      </w:pPr>
      <w:r>
        <w:rPr>
          <w:rFonts w:eastAsia="Times New Roman" w:cs="Times New Roman"/>
          <w:i/>
          <w:iCs/>
          <w:sz w:val="24"/>
          <w:szCs w:val="24"/>
        </w:rPr>
        <w:t>ln(P/unit) = α + β</w:t>
      </w:r>
      <w:r>
        <w:rPr>
          <w:rFonts w:eastAsia="Times New Roman" w:cs="Times New Roman"/>
          <w:sz w:val="24"/>
          <w:szCs w:val="24"/>
        </w:rPr>
        <w:t>₁</w:t>
      </w:r>
      <w:r>
        <w:rPr>
          <w:rFonts w:eastAsia="Times New Roman" w:cs="Times New Roman"/>
          <w:i/>
          <w:iCs/>
          <w:sz w:val="24"/>
          <w:szCs w:val="24"/>
        </w:rPr>
        <w:t>·is_branded + β</w:t>
      </w:r>
      <w:r>
        <w:rPr>
          <w:rFonts w:eastAsia="Times New Roman" w:cs="Times New Roman"/>
          <w:sz w:val="24"/>
          <w:szCs w:val="24"/>
        </w:rPr>
        <w:t>₂</w:t>
      </w:r>
      <w:r>
        <w:rPr>
          <w:rFonts w:eastAsia="Times New Roman" w:cs="Times New Roman"/>
          <w:i/>
          <w:iCs/>
          <w:sz w:val="24"/>
          <w:szCs w:val="24"/>
        </w:rPr>
        <w:t>·is_premium + β</w:t>
      </w:r>
      <w:r>
        <w:rPr>
          <w:rFonts w:eastAsia="Times New Roman" w:cs="Times New Roman"/>
          <w:sz w:val="24"/>
          <w:szCs w:val="24"/>
        </w:rPr>
        <w:t>₃</w:t>
      </w:r>
      <w:r>
        <w:rPr>
          <w:rFonts w:eastAsia="Times New Roman" w:cs="Times New Roman"/>
          <w:i/>
          <w:iCs/>
          <w:sz w:val="24"/>
          <w:szCs w:val="24"/>
        </w:rPr>
        <w:t>·is_high_recognition + β</w:t>
      </w:r>
      <w:r>
        <w:rPr>
          <w:rFonts w:eastAsia="Times New Roman" w:cs="Times New Roman"/>
          <w:sz w:val="24"/>
          <w:szCs w:val="24"/>
        </w:rPr>
        <w:t>₄</w:t>
      </w:r>
      <w:r>
        <w:rPr>
          <w:rFonts w:eastAsia="Times New Roman" w:cs="Times New Roman"/>
          <w:i/>
          <w:iCs/>
          <w:sz w:val="24"/>
          <w:szCs w:val="24"/>
        </w:rPr>
        <w:t>·is_import + β</w:t>
      </w:r>
      <w:r>
        <w:rPr>
          <w:rFonts w:eastAsia="Times New Roman" w:cs="Times New Roman"/>
          <w:sz w:val="24"/>
          <w:szCs w:val="24"/>
        </w:rPr>
        <w:t>₅</w:t>
      </w:r>
      <w:r>
        <w:rPr>
          <w:rFonts w:eastAsia="Times New Roman" w:cs="Times New Roman"/>
          <w:i/>
          <w:iCs/>
          <w:sz w:val="24"/>
          <w:szCs w:val="24"/>
        </w:rPr>
        <w:t>·is_house_brand + β</w:t>
      </w:r>
      <w:r>
        <w:rPr>
          <w:rFonts w:eastAsia="Times New Roman" w:cs="Times New Roman"/>
          <w:sz w:val="24"/>
          <w:szCs w:val="24"/>
        </w:rPr>
        <w:t>₆</w:t>
      </w:r>
      <w:r>
        <w:rPr>
          <w:rFonts w:eastAsia="Times New Roman" w:cs="Times New Roman"/>
          <w:i/>
          <w:iCs/>
          <w:sz w:val="24"/>
          <w:szCs w:val="24"/>
        </w:rPr>
        <w:t>·ln(pack_size) + β</w:t>
      </w:r>
      <w:r>
        <w:rPr>
          <w:rFonts w:eastAsia="Times New Roman" w:cs="Times New Roman"/>
          <w:sz w:val="24"/>
          <w:szCs w:val="24"/>
        </w:rPr>
        <w:t>₇</w:t>
      </w:r>
      <w:r>
        <w:rPr>
          <w:rFonts w:eastAsia="Times New Roman" w:cs="Times New Roman"/>
          <w:i/>
          <w:iCs/>
          <w:sz w:val="24"/>
          <w:szCs w:val="24"/>
        </w:rPr>
        <w:t>·pack_count + β</w:t>
      </w:r>
      <w:r>
        <w:rPr>
          <w:rFonts w:eastAsia="Times New Roman" w:cs="Times New Roman"/>
          <w:sz w:val="24"/>
          <w:szCs w:val="24"/>
        </w:rPr>
        <w:t>₈</w:t>
      </w:r>
      <w:r>
        <w:rPr>
          <w:rFonts w:eastAsia="Times New Roman" w:cs="Times New Roman"/>
          <w:i/>
          <w:iCs/>
          <w:sz w:val="24"/>
          <w:szCs w:val="24"/>
        </w:rPr>
        <w:t>·has_health_claim + β</w:t>
      </w:r>
      <w:r>
        <w:rPr>
          <w:rFonts w:eastAsia="Times New Roman" w:cs="Times New Roman"/>
          <w:sz w:val="24"/>
          <w:szCs w:val="24"/>
        </w:rPr>
        <w:t>₉</w:t>
      </w:r>
      <w:r>
        <w:rPr>
          <w:rFonts w:eastAsia="Times New Roman" w:cs="Times New Roman"/>
          <w:i/>
          <w:iCs/>
          <w:sz w:val="24"/>
          <w:szCs w:val="24"/>
        </w:rPr>
        <w:t>·has_freshness_claim + β</w:t>
      </w:r>
      <w:r>
        <w:rPr>
          <w:rFonts w:eastAsia="Times New Roman" w:cs="Times New Roman"/>
          <w:sz w:val="24"/>
          <w:szCs w:val="24"/>
        </w:rPr>
        <w:t>₁₀</w:t>
      </w:r>
      <w:r>
        <w:rPr>
          <w:rFonts w:eastAsia="Times New Roman" w:cs="Times New Roman"/>
          <w:i/>
          <w:iCs/>
          <w:sz w:val="24"/>
          <w:szCs w:val="24"/>
        </w:rPr>
        <w:t>·name_length + γ·subcategory_FE + ε</w:t>
      </w:r>
      <w:r>
        <w:rPr>
          <w:rFonts w:eastAsia="Times New Roman" w:cs="Times New Roman"/>
          <w:sz w:val="24"/>
          <w:szCs w:val="24"/>
        </w:rPr>
        <w:tab/>
        <w:t xml:space="preserve">(3.1)</w:t>
      </w:r>
    </w:p>
    <w:p w14:paraId="2DFB2388" w14:textId="77777777" w:rsidR="00E05E66" w:rsidRDefault="00000000">
      <w:pPr>
        <w:jc w:val="both"/>
      </w:pPr>
      <w:r>
        <w:rPr>
          <w:rFonts w:eastAsia="Times New Roman" w:cs="Times New Roman"/>
          <w:sz w:val="24"/>
          <w:szCs w:val="24"/>
        </w:rPr>
        <w:t xml:space="preserve">where </w:t>
      </w:r>
      <w:r>
        <w:rPr>
          <w:rFonts w:eastAsia="Times New Roman" w:cs="Times New Roman"/>
          <w:i/>
          <w:sz w:val="24"/>
          <w:szCs w:val="24"/>
        </w:rPr>
        <w:t>ln(P/unit)</w:t>
      </w:r>
      <w:r>
        <w:rPr>
          <w:rFonts w:eastAsia="Times New Roman" w:cs="Times New Roman"/>
          <w:sz w:val="24"/>
          <w:szCs w:val="24"/>
        </w:rPr>
        <w:t xml:space="preserve"> is the natural logarithm of the price per standardized unit for each product (in grams, millilitres, or count, as appropriate); </w:t>
      </w:r>
      <w:r>
        <w:rPr>
          <w:rFonts w:eastAsia="Times New Roman" w:cs="Times New Roman"/>
          <w:i/>
          <w:sz w:val="24"/>
          <w:szCs w:val="24"/>
        </w:rPr>
        <w:t>α</w:t>
      </w:r>
      <w:r>
        <w:rPr>
          <w:rFonts w:eastAsia="Times New Roman" w:cs="Times New Roman"/>
          <w:sz w:val="24"/>
          <w:szCs w:val="24"/>
        </w:rPr>
        <w:t xml:space="preserve"> is the intercept, representing the baseline log-price of an unbranded (Generic) product in the reference subcategory; </w:t>
      </w:r>
      <w:r>
        <w:rPr>
          <w:rFonts w:eastAsia="Times New Roman" w:cs="Times New Roman"/>
          <w:i/>
          <w:sz w:val="24"/>
          <w:szCs w:val="24"/>
        </w:rPr>
        <w:t>β₁</w:t>
      </w:r>
      <w:r>
        <w:rPr>
          <w:rFonts w:eastAsia="Times New Roman" w:cs="Times New Roman"/>
          <w:sz w:val="24"/>
          <w:szCs w:val="24"/>
        </w:rPr>
        <w:t xml:space="preserve"> through </w:t>
      </w:r>
      <w:r>
        <w:rPr>
          <w:rFonts w:eastAsia="Times New Roman" w:cs="Times New Roman"/>
          <w:i/>
          <w:sz w:val="24"/>
          <w:szCs w:val="24"/>
        </w:rPr>
        <w:t>β₁₀</w:t>
      </w:r>
      <w:r>
        <w:rPr>
          <w:rFonts w:eastAsia="Times New Roman" w:cs="Times New Roman"/>
          <w:sz w:val="24"/>
          <w:szCs w:val="24"/>
        </w:rPr>
        <w:t xml:space="preserve"> are the implicit percentage premiums associated with each of the ten product-level regressors listed in the equation; </w:t>
      </w:r>
      <w:r>
        <w:rPr>
          <w:rFonts w:eastAsia="Times New Roman" w:cs="Times New Roman"/>
          <w:i/>
          <w:sz w:val="24"/>
          <w:szCs w:val="24"/>
        </w:rPr>
        <w:t>γ·subcategory_FE</w:t>
      </w:r>
      <w:r>
        <w:rPr>
          <w:rFonts w:eastAsia="Times New Roman" w:cs="Times New Roman"/>
          <w:sz w:val="24"/>
          <w:szCs w:val="24"/>
        </w:rPr>
        <w:t xml:space="preserve"> denotes the vector of forty subcategory fixed-effect indicators with their corresponding coefficients, absorbing mean price differences across subcategories; and </w:t>
      </w:r>
      <w:r>
        <w:rPr>
          <w:rFonts w:eastAsia="Times New Roman" w:cs="Times New Roman"/>
          <w:i/>
          <w:sz w:val="24"/>
          <w:szCs w:val="24"/>
        </w:rPr>
        <w:t>ε</w:t>
      </w:r>
      <w:r>
        <w:rPr>
          <w:rFonts w:eastAsia="Times New Roman" w:cs="Times New Roman"/>
          <w:sz w:val="24"/>
          <w:szCs w:val="24"/>
        </w:rPr>
        <w:t xml:space="preserve"> is the product-level error term.</w:t>
      </w:r>
    </w:p>
    <w:p w14:paraId="168EE702" w14:textId="77777777" w:rsidR="00E05E66" w:rsidRDefault="00000000">
      <w:pPr>
        <w:jc w:val="both"/>
      </w:pPr>
      <w:r>
        <w:rPr>
          <w:rFonts w:eastAsia="Times New Roman" w:cs="Times New Roman"/>
          <w:sz w:val="24"/>
          <w:szCs w:val="24"/>
        </w:rPr>
        <w:t xml:space="preserve">The specification includes ten product-level regressors and forty subcategory fixed effects. The product-level variables fall into three groups: brand positioning indicators (is_branded, is_premium, is_high_recognition), product characteristics (is_import, is_house_brand, ln(pack_size), pack_count), and quality signals (has_health_claim, has_freshness_claim, name_length). The construction of brand positioning variables and </w:t>
        <w:lastRenderedPageBreak/>
        <w:t>their hierarchical encoding is detailed in Section 3.4. All product-level features are extracted from product names using a natural language processing pipeline developed for Vietnamese grocery text. The subcategory fixed effects absorb mean price differences across the forty subcategories, so that all coefficients are identified from within-subcategory variation, that is, from comparing products that compete on the same shelf.</w:t>
      </w:r>
    </w:p>
    <w:p w14:paraId="0340FFF6" w14:textId="77777777" w:rsidR="00E05E66" w:rsidRDefault="00000000">
      <w:pPr>
        <w:jc w:val="both"/>
      </w:pPr>
      <w:r>
        <w:rPr>
          <w:rFonts w:eastAsia="Times New Roman" w:cs="Times New Roman"/>
          <w:sz w:val="24"/>
          <w:szCs w:val="24"/>
        </w:rPr>
        <w:t>The log-linear functional form is standard in hedonic price analysis (Malpezzi, 2002; Costanigro &amp; McCluskey, 2011) and is consistent with the original Rosen (1974) framework. It accommodates the multiplicative nature of pricing (a brand premium is more naturally expressed as a percentage markup than as a fixed monetary amount), and it produces residuals that are more nearly homoskedastic than those from a linear specification. The log transformation of pack size captures the well-documented nonlinear relationship between package quantity and unit price.</w:t>
      </w:r>
    </w:p>
    <w:p w14:paraId="6FA837BD" w14:textId="77777777" w:rsidR="00E05E66" w:rsidRDefault="00000000">
      <w:pPr>
        <w:jc w:val="both"/>
      </w:pPr>
      <w:r>
        <w:rPr>
          <w:rFonts w:eastAsia="Times New Roman" w:cs="Times New Roman"/>
          <w:sz w:val="24"/>
          <w:szCs w:val="24"/>
        </w:rPr>
        <w:t>Estimation proceeds by pooled ordinary least squares with cluster-robust standard errors at the subcategory level, yielding forty clusters. The Breusch-Pagan test rejects the null hypothesis of homoskedasticity (p &lt; 0.01), confirming that conventional standard errors would be unreliable. Clustering at the subcategory level addresses both this heteroskedasticity and the within-subcategory correlation structure: products within the same subcategory share competitive intensity, supplier relationships, seasonal demand patterns, and category-management practices imposed by the retailer. Cluster-robust standard errors absorb these correlated unobservables without requiring explicit modeling of the dependence structure.</w:t>
      </w:r>
    </w:p>
    <w:p w14:paraId="236F306C" w14:textId="77777777" w:rsidR="00E05E66" w:rsidRDefault="00000000">
      <w:pPr>
        <w:jc w:val="both"/>
      </w:pPr>
      <w:r>
        <w:rPr>
          <w:rFonts w:eastAsia="Times New Roman" w:cs="Times New Roman"/>
          <w:sz w:val="24"/>
          <w:szCs w:val="24"/>
        </w:rPr>
        <w:t>The effective sample consists of approximately 2,203 products after applying two filters. A sparse product filter removes products observed on fewer than seven days (83 products, representing 3.6 percent of the initial catalog), guarding against transient listings and data artifacts that would distort time-averaged prices. A regex-based unit standardization procedure recovers approximately 100 fresh-produce products sold by kilogram with non-standard weight descriptions, products that would otherwise be dropped for lacking a parseable unit field.</w:t>
      </w:r>
    </w:p>
    <w:p w14:paraId="7BA152B5" w14:textId="77777777" w:rsidR="00E05E66" w:rsidRDefault="00000000">
      <w:pPr>
        <w:jc w:val="both"/>
      </w:pPr>
      <w:r>
        <w:rPr>
          <w:rFonts w:eastAsia="Times New Roman" w:cs="Times New Roman"/>
          <w:sz w:val="24"/>
          <w:szCs w:val="24"/>
        </w:rPr>
        <w:t xml:space="preserve">Three alternative estimation strategies were considered, and each was rejected for a reason that ultimately points back to OLS as the right tool for this particular design. The first </w:t>
        <w:lastRenderedPageBreak/>
        <w:t>is the Box-Cox transformation, a family of power transformations that nests both the linear and log-linear specifications as special cases, allowing the data to select the optimal functional form through estimation of a parameter λ. The hedonic literature has debated this choice extensively. Goodman (1978) and Halvorsen and Pollakowski (1981) rejected linear functional forms in favor of Box-Cox, characterizing the linear specification as overly restrictive. However, evidence that Box-Cox materially outperforms the log-linear form is mixed. Cassel and Mendelsohn (1985) cautioned that the goodness-of-fit advantage of the Box-Cox transformation does not translate into better implicit price estimates. Spitzer (1978) and subsequent Monte Carlo work documented that the maximum likelihood estimators underlying Box-Cox exhibit substantial finite-sample bias, with Hessian-based standard errors that are unreliable. Formal specification tests (Davidson &amp; MacKinnon, 1985; Baltagi, 1997) have often failed to reject the log-linear form against Box-Cox alternatives. Beyond these general concerns, the Box-Cox approach introduces a specific complication for the dual-price design of this thesis. If the estimated λ differs between the marked-price and final-price specifications (which is plausible given the different distributional characteristics of sticker and checkout prices), the resulting coefficients would no longer be on the same scale, invalidating the erosion comparison that is central to this analysis. The log-linear form also has the practical advantage of producing directly interpretable percentage-premium coefficients, which the Box-Cox transformation does not guarantee for arbitrary values of λ.</w:t>
      </w:r>
    </w:p>
    <w:p w14:paraId="76EEE1C9" w14:textId="77777777" w:rsidR="00E05E66" w:rsidRDefault="00000000">
      <w:pPr>
        <w:jc w:val="both"/>
      </w:pPr>
      <w:r>
        <w:rPr>
          <w:rFonts w:eastAsia="Times New Roman" w:cs="Times New Roman"/>
          <w:sz w:val="24"/>
          <w:szCs w:val="24"/>
        </w:rPr>
        <w:t xml:space="preserve">The second alternative is quantile regression, which estimates the relationship between covariates and the dependent variable at specified points of the conditional distribution, revealing whether attribute premiums differ for products at, say, the 75th percentile of price compared to the 25th percentile. Several studies have demonstrated the value of this approach in hedonic settings. Zietz, Zietz, and Sirmans (2008), Liao and Wang (2012), and Evangelista, Ramalho, and Aragón (2022) all found that ordinary least squares masks substantial heterogeneity in implicit prices across the price distribution, with some housing characteristics changing sign between the lower and upper quantiles. These findings confirm that quantile regression can reveal important distributional patterns that the conditional mean obscures. Nevertheless, quantile regression is better understood as complementary to OLS rather than as a substitute: it reveals which segments of the distribution drive the mean effect, but the mean effect itself remains the relevant summary </w:t>
        <w:lastRenderedPageBreak/>
        <w:t>when the research question concerns average premiums and their aggregate erosion between two price measures. The dual-price design already provides a richer comparison than single-price quantile analysis could deliver, and implementing quantile regression with forty subcategory fixed effects and cluster-robust inference would add substantial computational complexity without advancing the primary analytical objective. Quantile regression could be reported as a robustness check in future extensions but does not replace the OLS headline estimates.</w:t>
      </w:r>
    </w:p>
    <w:p w14:paraId="4558DBC6" w14:textId="77777777" w:rsidR="00E05E66" w:rsidRDefault="00000000">
      <w:pPr>
        <w:jc w:val="both"/>
      </w:pPr>
      <w:r>
        <w:rPr>
          <w:rFonts w:eastAsia="Times New Roman" w:cs="Times New Roman"/>
          <w:sz w:val="24"/>
          <w:szCs w:val="24"/>
        </w:rPr>
        <w:t xml:space="preserve">The third alternative involves panel fixed-effects and random-effects models, which are designed for data that track the same units over time. A product-level fixed-effects specification would control for all time-invariant characteristics of each product (its brand identity, country of origin, health claims, and every other stable attribute). These time-invariant attributes are precisely what the hedonic model seeks to estimate: product-level fixed effects would absorb the very variation that the research question asks to explain. The cross-sectional design, using each product’s time-averaged price over the observation window, is therefore the appropriate framework for asking which attributes explain price differences across products rather than price changes within products. That said, the panel hedonic literature does offer compelling results that deserve acknowledgment. Francke and van de Minne (2021) showed that adding property-level random effects to a hedonic model substantially improves out-of-sample prediction by absorbing time-invariant unobserved heterogeneity. Krsinich (2016) proved that the fixed-effects time-product-dummy (FEWS) index is equivalent to a fully interacted hedonic time-dummy index that includes all price-determining characteristics, even unobserved ones. Benkard and Bajari (2005) derived the bias from ignoring unobserved product characteristics (approximately 1.4 percent per year in their personal computer data) and showed that fixed-effects-style corrections eliminate most of it. The key condition for these approaches is sufficient within-product price variation across time; this direction is a viable extension for future work if panel depth permits it, but the cross-sectional objective of the present study calls for a different identification strategy. Read together, the three alternatives point toward the same conclusion: Box-Cox would break the cross-specification comparability on which the erosion metric depends, quantile regression answers a different question than the one posed here, and panel fixed effects would absorb exactly the attribute variation the hedonic analysis is designed to measure. </w:t>
        <w:lastRenderedPageBreak/>
        <w:t>Pooled OLS with a log-linear specification, subcategory fixed effects, and cluster-robust standard errors is therefore not a methodological default; it is the estimator that preserves the interpretability of coefficients, the comparability of coefficients across the marked-price and final-price equations, and the cross-sectional identification of attribute premiums that the research design requires.</w:t>
      </w:r>
    </w:p>
    <w:p w14:paraId="7CF4093A" w14:textId="77777777" w:rsidR="00E05E66" w:rsidRDefault="00000000">
      <w:pPr>
        <w:pStyle w:val="Heading2"/>
      </w:pPr>
      <w:r>
        <w:rPr>
          <w:rFonts w:ascii="Times New Roman" w:eastAsia="Times New Roman" w:hAnsi="Times New Roman" w:cs="Times New Roman"/>
          <w:sz w:val="26"/>
        </w:rPr>
        <w:t>3.3  Dual-Price Design</w:t>
      </w:r>
    </w:p>
    <w:p w14:paraId="3912EF28" w14:textId="77777777" w:rsidR="00E05E66" w:rsidRDefault="00000000">
      <w:pPr>
        <w:jc w:val="both"/>
      </w:pPr>
      <w:r>
        <w:rPr>
          <w:rFonts w:eastAsia="Times New Roman" w:cs="Times New Roman"/>
          <w:sz w:val="24"/>
          <w:szCs w:val="24"/>
        </w:rPr>
        <w:t>The methodological contribution of this thesis lies in the dual-price design, which exploits the institutional structure of online grocery pricing to examine how promotional strategies interact with product attribute premiums. Winmart’s online platform publishes two prices for every product simultaneously: a marked price (the sticker or original price displayed to consumers as the reference point) and a final price (the actual checkout price after all applied promotions). When the marked price exceeds the final price, the product is on promotion, and the gap between the two prices represents the observable promotional discount. This dual-price structure is captured at the point of data collection without requiring any matching, imputation, or retrospective identification of promotional events.</w:t>
      </w:r>
    </w:p>
    <w:p w14:paraId="266D9964" w14:textId="77777777" w:rsidR="00E05E66" w:rsidRDefault="00000000">
      <w:pPr>
        <w:jc w:val="both"/>
      </w:pPr>
      <w:r>
        <w:rPr>
          <w:rFonts w:eastAsia="Times New Roman" w:cs="Times New Roman"/>
          <w:sz w:val="24"/>
          <w:szCs w:val="24"/>
        </w:rPr>
        <w:t>The identical hedonic specification described in Section 3.2 is estimated twice, each time with a different dependent variable. Specification A uses the natural logarithm of the marked price per standardized unit as the dependent variable, recovering what might be termed sticker-price premiums: the implicit attribute valuations that the retailer signals on the shelf. Specification B uses the natural logarithm of the final price per standardized unit, recovering checkout-price premiums: the implicit attribute valuations embedded in what the consumer actually pays. Because both specifications use the same sample of products and the same set of regressors, the resulting coefficient estimates are directly comparable.</w:t>
      </w:r>
    </w:p>
    <w:p w14:paraId="55A24C39" w14:textId="77777777" w:rsidR="00E05E66" w:rsidRDefault="00000000">
      <w:pPr>
        <w:jc w:val="both"/>
      </w:pPr>
      <w:r>
        <w:rPr>
          <w:rFonts w:eastAsia="Times New Roman" w:cs="Times New Roman"/>
          <w:sz w:val="24"/>
          <w:szCs w:val="24"/>
        </w:rPr>
        <w:t xml:space="preserve">The interpretive logic is straightforward. If a coefficient is larger in Specification A than in Specification B, promotional pricing is eroding that attribute’s premium: the sticker-price signals a larger markup for the attribute than consumers actually pay at checkout. If a coefficient remains stable across the two specifications, the premium survives the promotional cycle intact. If a coefficient is larger in Specification B than in Specification A, promotions are amplifying that attribute’s advantage (an outcome that, while </w:t>
        <w:lastRenderedPageBreak/>
        <w:t>counterintuitive, can arise when the retailer strategically discounts competing products more heavily than the focal attribute group).</w:t>
      </w:r>
    </w:p>
    <w:p w14:paraId="4E52F7B4" w14:textId="77777777" w:rsidR="00E05E66" w:rsidRDefault="00000000">
      <w:pPr>
        <w:jc w:val="both"/>
      </w:pPr>
      <w:r>
        <w:rPr>
          <w:rFonts w:eastAsia="Times New Roman" w:cs="Times New Roman"/>
          <w:sz w:val="24"/>
          <w:szCs w:val="24"/>
        </w:rPr>
        <w:t>To formalize this comparison, an erosion metric is defined as:</w:t>
      </w:r>
    </w:p>
    <w:p w14:paraId="5FF59BCA" w14:textId="77777777" w:rsidR="00E05E66" w:rsidRDefault="00000000">
      <w:pPr>
        <w:spacing w:before="200" w:after="200"/>
        <w:jc w:val="center"/>
      </w:pPr>
      <w:r>
        <w:rPr>
          <w:rFonts w:eastAsia="Times New Roman" w:cs="Times New Roman"/>
          <w:i/>
          <w:iCs/>
          <w:sz w:val="24"/>
          <w:szCs w:val="24"/>
        </w:rPr>
        <w:t>Erosion (%) = (β</w:t>
      </w:r>
      <w:r>
        <w:rPr>
          <w:rFonts w:eastAsia="Times New Roman" w:cs="Times New Roman"/>
          <w:i/>
          <w:iCs/>
          <w:sz w:val="20"/>
          <w:szCs w:val="20"/>
          <w:vertAlign w:val="subscript"/>
        </w:rPr>
        <w:t>marked</w:t>
      </w:r>
      <w:r>
        <w:rPr>
          <w:rFonts w:eastAsia="Times New Roman" w:cs="Times New Roman"/>
          <w:i/>
          <w:iCs/>
          <w:sz w:val="24"/>
          <w:szCs w:val="24"/>
        </w:rPr>
        <w:t xml:space="preserve"> − β</w:t>
      </w:r>
      <w:r>
        <w:rPr>
          <w:rFonts w:eastAsia="Times New Roman" w:cs="Times New Roman"/>
          <w:i/>
          <w:iCs/>
          <w:sz w:val="20"/>
          <w:szCs w:val="20"/>
          <w:vertAlign w:val="subscript"/>
        </w:rPr>
        <w:t>final</w:t>
      </w:r>
      <w:r>
        <w:rPr>
          <w:rFonts w:eastAsia="Times New Roman" w:cs="Times New Roman"/>
          <w:i/>
          <w:iCs/>
          <w:sz w:val="24"/>
          <w:szCs w:val="24"/>
        </w:rPr>
        <w:t>) / β</w:t>
      </w:r>
      <w:r>
        <w:rPr>
          <w:rFonts w:eastAsia="Times New Roman" w:cs="Times New Roman"/>
          <w:i/>
          <w:iCs/>
          <w:sz w:val="20"/>
          <w:szCs w:val="20"/>
          <w:vertAlign w:val="subscript"/>
        </w:rPr>
        <w:t>marked</w:t>
      </w:r>
      <w:r>
        <w:rPr>
          <w:rFonts w:eastAsia="Times New Roman" w:cs="Times New Roman"/>
          <w:i/>
          <w:iCs/>
          <w:sz w:val="24"/>
          <w:szCs w:val="24"/>
        </w:rPr>
        <w:t xml:space="preserve"> × 100</w:t>
      </w:r>
    </w:p>
    <w:p w14:paraId="6C6687B2" w14:textId="77777777" w:rsidR="00E05E66" w:rsidRDefault="00000000">
      <w:pPr>
        <w:jc w:val="both"/>
      </w:pPr>
      <w:r>
        <w:rPr>
          <w:rFonts w:eastAsia="Times New Roman" w:cs="Times New Roman"/>
          <w:sz w:val="24"/>
          <w:szCs w:val="24"/>
        </w:rPr>
        <w:t>A positive erosion value indicates that the premium shrinks from shelf to checkout; a negative value indicates that the premium grows. This metric provides a standardized basis for comparing erosion across attributes with different coefficient magnitudes. Chapter 4 reports the estimated erosion values for each attribute and discusses their interpretation.</w:t>
      </w:r>
    </w:p>
    <w:p w14:paraId="3470A669" w14:textId="77777777" w:rsidR="00E05E66" w:rsidRDefault="00000000">
      <w:pPr>
        <w:jc w:val="both"/>
      </w:pPr>
      <w:r>
        <w:rPr>
          <w:rFonts w:eastAsia="Times New Roman" w:cs="Times New Roman"/>
          <w:sz w:val="24"/>
          <w:szCs w:val="24"/>
        </w:rPr>
        <w:t>A critical framing point must be emphasized. The dual-price design is descriptive, not causal. It documents the observable relationship between product attributes and prices at two stages of the retailer’s pricing pipeline (the price architecture). It does not identify the causal mechanism behind the retailer’s promotional decisions. As Varian (1997) argued in the context of versioning and price discrimination, differential discounting across product tiers reflects strategic retailer choices; the present analysis observes the revealed pricing logic but does not claim to explain why those choices were made. Whether the retailer erodes brand-name premiums as a deliberate traffic-driving strategy, as a response to competitive pressure, or through an algorithmic pricing rule is beyond the scope of what the data can establish.</w:t>
      </w:r>
    </w:p>
    <w:p w14:paraId="60ACCF74" w14:textId="77777777" w:rsidR="00E05E66" w:rsidRDefault="00000000">
      <w:pPr>
        <w:jc w:val="both"/>
      </w:pPr>
      <w:r>
        <w:rPr>
          <w:rFonts w:eastAsia="Times New Roman" w:cs="Times New Roman"/>
          <w:sz w:val="24"/>
          <w:szCs w:val="24"/>
        </w:rPr>
        <w:t xml:space="preserve">The dual-price approach was selected over two alternatives that might appear to address similar questions. The first is a single-price hedonic model, which is the conventional approach in most hedonic studies, estimating attribute premiums using only the checkout price as the dependent variable. This would recover the final-price premiums but provide no information about whether those premiums differ from what the retailer signals at the shelf via the marked price. The central finding of this thesis (that promotional pricing erodes brand-name premiums but not price-tier premiums) depends entirely on the comparison of coefficients across both specifications, a comparison that a single-price model cannot produce. The relevance of incorporating both price measures finds support in the scanner-data literature. Fox and Syed (2016) demonstrated that excluding sale prices from consumer price index construction introduces substantial bias, and that even when sale prices are included, they are systematically under-weighted relative to their economic significance. </w:t>
        <w:lastRenderedPageBreak/>
        <w:t>Silver and Heravi (2004, 2002) made a related argument: matched-model approaches based on single observed prices systematically understate quality-driven price declines relative to hedonic approaches that exploit richer price information. The dual-price design of this study is consistent with this broader lesson: using both shelf and checkout prices recovers information about the discount margin that a single-price specification cannot identify.</w:t>
      </w:r>
    </w:p>
    <w:p w14:paraId="609F6FA7" w14:textId="77777777" w:rsidR="00E05E66" w:rsidRDefault="00000000">
      <w:pPr>
        <w:jc w:val="both"/>
      </w:pPr>
      <w:r>
        <w:rPr>
          <w:rFonts w:eastAsia="Times New Roman" w:cs="Times New Roman"/>
          <w:sz w:val="24"/>
          <w:szCs w:val="24"/>
        </w:rPr>
        <w:t>The second alternative is difference-in-differences estimation, a quasi-experimental method that compares the change over time in a treated group to the change in an untreated control group, requiring a clearly defined treatment event with identifiable before-and-after periods and a valid comparison group unaffected by the treatment. The promotional environment at Winmart does not satisfy these requirements. Promotions are applied continuously and heterogeneously across the product catalog, with no identifiable boundary separating a pre-promotion from a post-promotion period for most products. Banzhaf (2019) provides the canonical treatment of difference-in-differences in hedonic settings and establishes that DiD hedonic estimates identify the direct unmediated effect of an attribute change, which serves as a lower bound on the Hicksian equivalent surplus rather than the full marginal willingness to pay. Chay and Greenstone (2005) further showed that DiD estimates on observed amenity changes can be biased downward when the treatment is endogenous to pre-existing trends. Difference-in-differences is therefore a cleaner approach for causal identification of a discrete policy or amenity shock, but it is narrower in scope than the dual-price design, which recovers the entire implicit-price schedule for shelf-to-checkout wedges without requiring a specific policy shock for identification. The routine, continuous promotional environment studied here is better suited to the cross-sectional dual-price framework.</w:t>
      </w:r>
    </w:p>
    <w:p w14:paraId="5F8B43B1" w14:textId="77777777" w:rsidR="00E05E66" w:rsidRDefault="00000000">
      <w:pPr>
        <w:pStyle w:val="Heading2"/>
      </w:pPr>
      <w:r>
        <w:rPr>
          <w:rFonts w:ascii="Times New Roman" w:eastAsia="Times New Roman" w:hAnsi="Times New Roman" w:cs="Times New Roman"/>
          <w:sz w:val="26"/>
        </w:rPr>
        <w:t>3.4  Feature Extraction and Brand Positioning Typology</w:t>
      </w:r>
    </w:p>
    <w:p w14:paraId="7CB0B7F6" w14:textId="77777777" w:rsidR="00E05E66" w:rsidRDefault="00000000">
      <w:pPr>
        <w:jc w:val="both"/>
      </w:pPr>
      <w:r>
        <w:rPr>
          <w:rFonts w:eastAsia="Times New Roman" w:cs="Times New Roman"/>
          <w:sz w:val="24"/>
          <w:szCs w:val="24"/>
        </w:rPr>
        <w:t xml:space="preserve">The hedonic regression requires a set of product-level attributes as regressors, yet the raw data contain only product names, unit descriptions, and prices. All product characteristics used in the analysis are therefore extracted from Vietnamese-language product names through a natural language processing pipeline developed specifically for this study. The pipeline produces nine features: three brand positioning indicators (is_branded, is_premium, is_high_recognition), two product descriptors (is_import, is_house_brand), two </w:t>
        <w:lastRenderedPageBreak/>
        <w:t>physical characteristics (pack_size, pack_count), and two quality signals (has_health_claim, has_freshness_claim). An additional variable, name_length, measured as the character count of the product name, serves as a proxy for product complexity and descriptive richness. Import status is identified through keyword matching for country-of-origin terms and foreign brand indicators in the product name. Health claims are flagged by the presence of nutrition-related keywords (e.g., references to calcium, organic ingredients, or dietary benefits), while freshness claims capture terms signaling short shelf life or natural preservation.</w:t>
      </w:r>
    </w:p>
    <w:p w14:paraId="228E5054" w14:textId="77777777" w:rsidR="00E05E66" w:rsidRDefault="00000000">
      <w:pPr>
        <w:jc w:val="both"/>
      </w:pPr>
      <w:r>
        <w:rPr>
          <w:rFonts w:eastAsia="Times New Roman" w:cs="Times New Roman"/>
          <w:sz w:val="24"/>
          <w:szCs w:val="24"/>
        </w:rPr>
        <w:t>The brand positioning typology is the most substantive feature engineering decision and requires detailed exposition. Rather than treating brand status as a single binary variable (branded versus unbranded), the present study constructs a four-quadrant classification grounded in two established theoretical dimensions. The first dimension, brand recognition, distinguishes between brands with high consumer awareness and those with low awareness. It is operationalized through substring matching against a curated list of approximately thirty nationally distributed brands in Vietnam (including names such as Vinamilk, TH True Milk, and Dutch Lady), drawing on Keller’s (1993) conceptualization of brand awareness as the foundational dimension of customer-based brand equity. The second dimension, price tier, distinguishes between premium and non-premium positioning. It is operationalized by comparing each product’s time-averaged price to its subcategory median: products priced above the median are classified as premium-tier. This dimension draws on Aaker’s (1991) treatment of perceived quality as a core component of brand equity.</w:t>
      </w:r>
    </w:p>
    <w:p w14:paraId="48AC7903" w14:textId="77777777" w:rsidR="00E05E66" w:rsidRDefault="00000000">
      <w:pPr>
        <w:jc w:val="both"/>
      </w:pPr>
      <w:r>
        <w:rPr>
          <w:rFonts w:eastAsia="Times New Roman" w:cs="Times New Roman"/>
          <w:sz w:val="24"/>
          <w:szCs w:val="24"/>
        </w:rPr>
        <w:t xml:space="preserve">The intersection of these two dimensions produces four quadrants of branded products, plus a fifth group of unbranded or generic products. Generic products (approximately 705 in the sample) carry no identifiable brand name and serve as the baseline category in all regressions. Local and Value brands (564 products) are branded but exhibit low recognition and below-median pricing; these are regional or lesser-known labels competing primarily on price. Household Giants (565 products) combine high brand recognition with below-median pricing, representing nationally known mass-market brands such as those dominating the dairy and instant noodle categories. Niche Professional brands (308 products) are characterized by low recognition but above-median pricing, capturing specialty, artisanal, or imported products that command premiums through product </w:t>
        <w:lastRenderedPageBreak/>
        <w:t>differentiation rather than brand familiarity. Prestige Leaders (144 products) occupy the top-right quadrant, combining both high recognition and premium pricing.</w:t>
      </w:r>
    </w:p>
    <w:p w14:paraId="1BAB4168" w14:textId="77777777" w:rsidR="00E05E66" w:rsidRDefault="00000000">
      <w:pPr>
        <w:jc w:val="both"/>
      </w:pPr>
      <w:r>
        <w:rPr>
          <w:rFonts w:eastAsia="Times New Roman" w:cs="Times New Roman"/>
          <w:sz w:val="24"/>
          <w:szCs w:val="24"/>
        </w:rPr>
        <w:t>The brand variables enter the regression through a hierarchical dummy encoding scheme that is critical for correct interpretation of the coefficients. The hierarchy is constructed so that is_premium equal to one implies is_branded equal to one, and is_high_recognition equal to one likewise implies is_branded equal to one. As a consequence, the regression coefficients are incremental rather than total effects. The coefficient on is_branded captures the premium that a Local and Value brand commands over a generic product, namely the price effect of having any brand identity at all, net of recognition and price-tier positioning. The total premium for a Niche Professional product over a generic equivalent is the sum of the coefficients on is_branded and is_premium. For a Household Giant, it is the sum of is_branded and is_high_recognition. For a Prestige Leader, the total premium is the sum of all three brand coefficients. This encoding decomposes what is conventionally called the “brand premium” into three separable questions: Does carrying any brand name generate a price premium? Does premium positioning add an incremental markup beyond the baseline brand effect? Does high consumer recognition add an incremental markup? A single branded-versus-unbranded dummy variable cannot answer these three questions separately, and the decomposition proves essential for the erosion analysis, where brand-name and price-tier premiums exhibit sharply different responses to promotional pricing.</w:t>
      </w:r>
    </w:p>
    <w:p w14:paraId="13F8FA0B" w14:textId="77777777" w:rsidR="00E05E66" w:rsidRDefault="00000000">
      <w:pPr>
        <w:pStyle w:val="Heading2"/>
      </w:pPr>
      <w:r>
        <w:rPr>
          <w:rFonts w:ascii="Times New Roman" w:eastAsia="Times New Roman" w:hAnsi="Times New Roman" w:cs="Times New Roman"/>
          <w:sz w:val="26"/>
        </w:rPr>
        <w:t>3.5  Price Index Methodology</w:t>
      </w:r>
    </w:p>
    <w:p w14:paraId="519D2181" w14:textId="77777777" w:rsidR="00E05E66" w:rsidRDefault="00000000">
      <w:pPr>
        <w:jc w:val="both"/>
      </w:pPr>
      <w:r>
        <w:rPr>
          <w:rFonts w:eastAsia="Times New Roman" w:cs="Times New Roman"/>
          <w:sz w:val="24"/>
          <w:szCs w:val="24"/>
        </w:rPr>
        <w:t xml:space="preserve">Alongside the hedonic analysis, this study constructs daily price indices that serve three concrete functions in the wider project. First, they provide a time-series cross-check on the cross-sectional hedonic estimates: the hedonic regression uses each product’s time-averaged price as a single summary observation, and the daily index shows whether that averaging hides or flattens material price movements over the 88-day window. Second, they support a real-time nowcasting exercise against the official General Statistics Office Consumer Price Index: monthly Jevons changes computed from the web-scraped panel are compared with the published GSO CPI food component to assess whether a web-scraped online index can stand in for the field-collected index at higher frequency. Third, they allow </w:t>
        <w:lastRenderedPageBreak/>
        <w:t>the Tết period (February 17, 2026), which falls inside the observation window, to be tracked explicitly rather than smoothed away, and they separate staple-food inflation (rice, cereals) from the remaining food basket so that pre-Tet stocking pressure and post-Tet pullback can be read off the aggregate indices. The index methodology is therefore complementary to the hedonic regression (it tracks how overall price levels evolve over the 88-day observation period) and feeds directly into the Chapter 4 diagnostics and the Chapter 5 discussion of the Tet period.</w:t>
      </w:r>
    </w:p>
    <w:p w14:paraId="141B43D5" w14:textId="77777777" w:rsidR="00E05E66" w:rsidRDefault="00000000">
      <w:pPr>
        <w:jc w:val="both"/>
      </w:pPr>
      <w:r>
        <w:rPr>
          <w:rFonts w:eastAsia="Times New Roman" w:cs="Times New Roman"/>
          <w:sz w:val="24"/>
          <w:szCs w:val="24"/>
        </w:rPr>
        <w:t xml:space="preserve">The index is constructed using the Jevons formula, implemented as a chain-linked geometric mean of matched-product price relatives. On each day </w:t>
      </w:r>
      <w:r>
        <w:rPr>
          <w:rFonts w:eastAsia="Times New Roman" w:cs="Times New Roman"/>
          <w:i/>
          <w:sz w:val="24"/>
          <w:szCs w:val="24"/>
        </w:rPr>
        <w:t>t</w:t>
      </w:r>
      <w:r>
        <w:rPr>
          <w:rFonts w:eastAsia="Times New Roman" w:cs="Times New Roman"/>
          <w:sz w:val="24"/>
          <w:szCs w:val="24"/>
        </w:rPr>
        <w:t xml:space="preserve">, the index value is computed as the previous day’s index multiplied by the geometric mean of the price relative </w:t>
      </w:r>
      <w:r>
        <w:rPr>
          <w:rFonts w:eastAsia="Times New Roman" w:cs="Times New Roman"/>
          <w:i/>
          <w:sz w:val="24"/>
          <w:szCs w:val="24"/>
        </w:rPr>
        <w:t>P</w:t>
      </w:r>
      <w:r>
        <w:rPr>
          <w:rFonts w:eastAsia="Times New Roman" w:cs="Times New Roman"/>
          <w:i/>
          <w:sz w:val="24"/>
          <w:szCs w:val="24"/>
          <w:vertAlign w:val="subscript"/>
        </w:rPr>
        <w:t>i,t</w:t>
      </w:r>
      <w:r>
        <w:rPr>
          <w:rFonts w:eastAsia="Times New Roman" w:cs="Times New Roman"/>
          <w:sz w:val="24"/>
          <w:szCs w:val="24"/>
        </w:rPr>
        <w:t xml:space="preserve"> / </w:t>
      </w:r>
      <w:r>
        <w:rPr>
          <w:rFonts w:eastAsia="Times New Roman" w:cs="Times New Roman"/>
          <w:i/>
          <w:sz w:val="24"/>
          <w:szCs w:val="24"/>
        </w:rPr>
        <w:t>P</w:t>
      </w:r>
      <w:r>
        <w:rPr>
          <w:rFonts w:eastAsia="Times New Roman" w:cs="Times New Roman"/>
          <w:i/>
          <w:sz w:val="24"/>
          <w:szCs w:val="24"/>
          <w:vertAlign w:val="subscript"/>
        </w:rPr>
        <w:t>i,t−1</w:t>
      </w:r>
      <w:r>
        <w:rPr>
          <w:rFonts w:eastAsia="Times New Roman" w:cs="Times New Roman"/>
          <w:sz w:val="24"/>
          <w:szCs w:val="24"/>
        </w:rPr>
        <w:t xml:space="preserve"> taken across all products </w:t>
      </w:r>
      <w:r>
        <w:rPr>
          <w:rFonts w:eastAsia="Times New Roman" w:cs="Times New Roman"/>
          <w:i/>
          <w:sz w:val="24"/>
          <w:szCs w:val="24"/>
        </w:rPr>
        <w:t>i</w:t>
      </w:r>
      <w:r>
        <w:rPr>
          <w:rFonts w:eastAsia="Times New Roman" w:cs="Times New Roman"/>
          <w:sz w:val="24"/>
          <w:szCs w:val="24"/>
        </w:rPr>
        <w:t xml:space="preserve"> observed on both days </w:t>
      </w:r>
      <w:r>
        <w:rPr>
          <w:rFonts w:eastAsia="Times New Roman" w:cs="Times New Roman"/>
          <w:i/>
          <w:sz w:val="24"/>
          <w:szCs w:val="24"/>
        </w:rPr>
        <w:t>t</w:t>
      </w:r>
      <w:r>
        <w:rPr>
          <w:rFonts w:eastAsia="Times New Roman" w:cs="Times New Roman"/>
          <w:sz w:val="24"/>
          <w:szCs w:val="24"/>
        </w:rPr>
        <w:t xml:space="preserve"> and </w:t>
      </w:r>
      <w:r>
        <w:rPr>
          <w:rFonts w:eastAsia="Times New Roman" w:cs="Times New Roman"/>
          <w:i/>
          <w:sz w:val="24"/>
          <w:szCs w:val="24"/>
        </w:rPr>
        <w:t>t−1</w:t>
      </w:r>
      <w:r>
        <w:rPr>
          <w:rFonts w:eastAsia="Times New Roman" w:cs="Times New Roman"/>
          <w:sz w:val="24"/>
          <w:szCs w:val="24"/>
        </w:rPr>
        <w:t>. Products listed on only one of the two days are excluded from that day’s link, so that the index reflects genuine price changes rather than compositional shifts in the product catalog. The base date is December 18, 2025, with an index value of 1.0. This chain-linking approach accommodates the dynamic product catalog characteristic of online grocery platforms, where products are frequently added, removed, or relisted.</w:t>
      </w:r>
    </w:p>
    <w:p w14:paraId="7506006B" w14:textId="77777777" w:rsidR="00E05E66" w:rsidRDefault="00000000">
      <w:pPr>
        <w:jc w:val="both"/>
      </w:pPr>
      <w:r>
        <w:rPr>
          <w:rFonts w:eastAsia="Times New Roman" w:cs="Times New Roman"/>
          <w:sz w:val="24"/>
          <w:szCs w:val="24"/>
        </w:rPr>
        <w:t xml:space="preserve">The Jevons index was selected over two weighted alternatives, and the choice is grounded in both data constraints and the empirical properties of alternative formulas. The Laspeyres index is a fixed-basket price index that weights each product’s price change by its expenditure share in a base period, reflecting the economic importance of each product in the consumer’s budget. Most official consumer price indices are constructed using Laspeyres or Laspeyres-type formulas. However, the Laspeyres approach requires base-period expenditure data (specifically, how much of each product consumers purchased or how much they spent on it), which web-scraped data does not contain. Beyond this data constraint, the empirical literature has documented systematic upward bias in the Laspeyres formula at the elementary aggregation level. Silver (2010), in a European Central Bank working paper examining ten countries, found that Laspeyres exhibits the highest bias among common elementary indices, substantially above Jevons, a finding attributed to elementary-level substitution bias. Armknecht and Silver (2012) and the IMF Consumer Price Index Manual reached the same conclusion: since the Boskin Commission report of 1996, the professional consensus has favored Jevons over Laspeyres-type arithmetic averages at the elementary level, because the </w:t>
        <w:lastRenderedPageBreak/>
        <w:t>Jevons formula implicitly allows for substitution behavior while the Laspeyres formula holds base-period quantities fixed. The United Kingdom Office for National Statistics (2025), in a study using scanner data, confirmed that the Laspeyres formula systematically exceeds the Fisher ideal index, while the Jevons formula is symmetrically distributed around Fisher: Jevons approximates superlative indices more closely in practice. The Laspeyres formula is therefore rejected both on data-availability grounds and on the basis of its documented upward bias at the elementary level.</w:t>
      </w:r>
    </w:p>
    <w:p w14:paraId="024AF200" w14:textId="77777777" w:rsidR="00E05E66" w:rsidRDefault="00000000">
      <w:pPr>
        <w:jc w:val="both"/>
      </w:pPr>
      <w:r>
        <w:rPr>
          <w:rFonts w:eastAsia="Times New Roman" w:cs="Times New Roman"/>
          <w:sz w:val="24"/>
          <w:szCs w:val="24"/>
        </w:rPr>
        <w:t>The Törnqvist index, which uses the geometric mean of base-period and current-period expenditure shares as weights, is theoretically superior to Jevons: Diewert (1976) proved that it is superlative, while Jevons is not. The practical barrier in this study, however, is that expenditure weights are simply unavailable. Web-scraped data contains listed prices and no information on quantities sold or total consumer expenditure, so any weighted formula is infeasible at the product level. The Jevons index is therefore retained as the elementary-aggregation fallback recommended by the CPI Manual when expenditure weights cannot be obtained (Cavallo, 2017). The welfare cost of this choice, and its implications for interpreting the nowcasting comparison against the official CPI, are discussed as a limitation in Chapter 5.</w:t>
      </w:r>
    </w:p>
    <w:p w14:paraId="1032977C" w14:textId="77777777" w:rsidR="00E05E66" w:rsidRDefault="00000000">
      <w:pPr>
        <w:jc w:val="both"/>
      </w:pPr>
      <w:r>
        <w:rPr>
          <w:rFonts w:eastAsia="Times New Roman" w:cs="Times New Roman"/>
          <w:sz w:val="24"/>
          <w:szCs w:val="24"/>
        </w:rPr>
        <w:t>The subcategory-level Jevons indices are aggregated into three composite indices. The staples index covers two subcategories from the Dry Food category: rice and dried agricultural products (Gạo-Nông Sản Khô) and cereals and oats (Ngũ Cốc-Yến Mạch). The other-food index encompasses all remaining subcategories, including infant formula (Sữa Bột-Dinh Dưỡng) from the Baby Product category, but excluding the non-food baby product subcategories. The overall index is computed as the geometric mean of the staples and other-food indices. This two-tier aggregation separates the price dynamics of staple grains (which are subject to distinct supply-chain and policy influences) from the broader food basket, allowing for a more nuanced reading of aggregate price trends.</w:t>
      </w:r>
    </w:p>
    <w:p w14:paraId="7FEA2D56" w14:textId="77777777" w:rsidR="00E05E66" w:rsidRDefault="00000000">
      <w:r>
        <w:br w:type="page"/>
      </w:r>
    </w:p>
    <w:p w14:paraId="55DA4369" w14:textId="77777777" w:rsidR="00E05E66" w:rsidRDefault="00000000">
      <w:pPr>
        <w:pStyle w:val="Heading1"/>
        <w:spacing w:before="480"/>
      </w:pPr>
      <w:r>
        <w:rPr>
          <w:rFonts w:ascii="Times New Roman" w:eastAsia="Times New Roman" w:hAnsi="Times New Roman" w:cs="Times New Roman"/>
          <w:szCs w:val="32"/>
        </w:rPr>
        <w:lastRenderedPageBreak/>
        <w:t>CHAPTER 4: EMPIRICAL APPLICATION</w:t>
      </w:r>
    </w:p>
    <w:p w14:paraId="3159070F" w14:textId="77777777" w:rsidR="00E05E66" w:rsidRDefault="00000000">
      <w:pPr>
        <w:jc w:val="both"/>
      </w:pPr>
      <w:r>
        <w:rPr>
          <w:rFonts w:eastAsia="Times New Roman" w:cs="Times New Roman"/>
          <w:sz w:val="24"/>
          <w:szCs w:val="24"/>
        </w:rPr>
        <w:t>This chapter takes the dual-price hedonic design specified in Chapter 3 and applies it to eighty-eight days of web-scraped data from Winmart.vn. The chapter is organized around the flow of evidence needed to answer the research question. Section 4.1 describes the data source and the single-retailer design. Section 4.2 documents the known gaps in the dataset so that the reader can judge which findings rest on complete coverage. Section 4.3 introduces the nine product-level features extracted from Vietnamese product names and reports descriptive statistics by category. Sections 4.4 and 4.5 present the pooled and per-category hedonic estimates respectively. Section 4.6 contains the promotional erosion analysis that motivates the dual-price design, and Section 4.7 reports multicollinearity, heteroskedasticity, influence, and temporal-stability diagnostics.</w:t>
      </w:r>
    </w:p>
    <w:p w14:paraId="3F70A437" w14:textId="77777777" w:rsidR="00E05E66" w:rsidRDefault="00000000">
      <w:pPr>
        <w:jc w:val="both"/>
      </w:pPr>
      <w:r>
        <w:rPr>
          <w:rFonts w:eastAsia="Times New Roman" w:cs="Times New Roman"/>
          <w:sz w:val="24"/>
          <w:szCs w:val="24"/>
        </w:rPr>
        <w:t>Before the detailed discussion, Table 4.1 provides an advance summary of the principal regression estimates so that the reader can keep the headline pattern in mind while reading the rest of the chapter. The marked-price and final-price columns correspond to the dual-price specifications defined in Section 3.3, and the erosion column reports the percentage change from sticker to checkout. Each coefficient is revisited in detail in Sections 4.4 through 4.6.</w:t>
      </w:r>
    </w:p>
    <w:p w14:paraId="5F589CAF" w14:textId="77777777" w:rsidR="00E05E66" w:rsidRDefault="00000000">
      <w:pPr>
        <w:spacing w:before="240" w:after="80"/>
        <w:jc w:val="center"/>
      </w:pPr>
      <w:r>
        <w:rPr>
          <w:rFonts w:eastAsia="Times New Roman" w:cs="Times New Roman"/>
          <w:b/>
          <w:bCs/>
          <w:sz w:val="20"/>
          <w:szCs w:val="20"/>
        </w:rPr>
        <w:t>Table 4.1: Summary of Key Regression Results (Pooled Dual-Price Hedonic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300"/>
        <w:gridCol w:w="1050"/>
        <w:gridCol w:w="1300"/>
        <w:gridCol w:w="1050"/>
        <w:gridCol w:w="1200"/>
        <w:gridCol w:w="1260"/>
      </w:tblGrid>
      <w:tr w:rsidR="00E05E66" w14:paraId="267CB056" w14:textId="77777777">
        <w:tc>
          <w:tcPr>
            <w:tcW w:w="2200" w:type="dxa"/>
            <w:tcBorders>
              <w:top w:val="single" w:sz="1" w:space="0" w:color="000000"/>
              <w:bottom w:val="single" w:sz="1" w:space="0" w:color="000000"/>
            </w:tcBorders>
            <w:shd w:val="clear" w:color="auto" w:fill="D9E2F3"/>
            <w:tcMar>
              <w:top w:w="30" w:type="dxa"/>
              <w:left w:w="60" w:type="dxa"/>
              <w:bottom w:w="30" w:type="dxa"/>
              <w:right w:w="60" w:type="dxa"/>
            </w:tcMar>
          </w:tcPr>
          <w:p w14:paraId="657FC315" w14:textId="77777777" w:rsidR="00E05E66" w:rsidRDefault="00000000">
            <w:pPr>
              <w:spacing w:after="0" w:line="240" w:lineRule="auto"/>
            </w:pPr>
            <w:r>
              <w:rPr>
                <w:rFonts w:eastAsia="Times New Roman" w:cs="Times New Roman"/>
                <w:b/>
                <w:bCs/>
                <w:sz w:val="18"/>
                <w:szCs w:val="18"/>
              </w:rPr>
              <w:t>Attribute</w:t>
            </w:r>
          </w:p>
        </w:tc>
        <w:tc>
          <w:tcPr>
            <w:tcW w:w="1300" w:type="dxa"/>
            <w:tcBorders>
              <w:top w:val="single" w:sz="1" w:space="0" w:color="000000"/>
              <w:bottom w:val="single" w:sz="1" w:space="0" w:color="000000"/>
            </w:tcBorders>
            <w:shd w:val="clear" w:color="auto" w:fill="D9E2F3"/>
            <w:tcMar>
              <w:top w:w="30" w:type="dxa"/>
              <w:left w:w="60" w:type="dxa"/>
              <w:bottom w:w="30" w:type="dxa"/>
              <w:right w:w="60" w:type="dxa"/>
            </w:tcMar>
          </w:tcPr>
          <w:p w14:paraId="716BF0D7" w14:textId="77777777" w:rsidR="00E05E66" w:rsidRDefault="00000000">
            <w:pPr>
              <w:spacing w:after="0" w:line="240" w:lineRule="auto"/>
              <w:jc w:val="center"/>
            </w:pPr>
            <w:r>
              <w:rPr>
                <w:rFonts w:eastAsia="Times New Roman" w:cs="Times New Roman"/>
                <w:b/>
                <w:bCs/>
                <w:sz w:val="18"/>
                <w:szCs w:val="18"/>
              </w:rPr>
              <w:t>β (marked)</w:t>
            </w:r>
          </w:p>
        </w:tc>
        <w:tc>
          <w:tcPr>
            <w:tcW w:w="1050" w:type="dxa"/>
            <w:tcBorders>
              <w:top w:val="single" w:sz="1" w:space="0" w:color="000000"/>
              <w:bottom w:val="single" w:sz="1" w:space="0" w:color="000000"/>
            </w:tcBorders>
            <w:shd w:val="clear" w:color="auto" w:fill="D9E2F3"/>
            <w:tcMar>
              <w:top w:w="30" w:type="dxa"/>
              <w:left w:w="60" w:type="dxa"/>
              <w:bottom w:w="30" w:type="dxa"/>
              <w:right w:w="60" w:type="dxa"/>
            </w:tcMar>
          </w:tcPr>
          <w:p w14:paraId="55035DBE" w14:textId="77777777" w:rsidR="00E05E66" w:rsidRDefault="00000000">
            <w:pPr>
              <w:spacing w:after="0" w:line="240" w:lineRule="auto"/>
              <w:jc w:val="center"/>
            </w:pPr>
            <w:r>
              <w:rPr>
                <w:rFonts w:eastAsia="Times New Roman" w:cs="Times New Roman"/>
                <w:b/>
                <w:bCs/>
                <w:sz w:val="18"/>
                <w:szCs w:val="18"/>
              </w:rPr>
              <w:t>SE</w:t>
            </w:r>
          </w:p>
        </w:tc>
        <w:tc>
          <w:tcPr>
            <w:tcW w:w="1300" w:type="dxa"/>
            <w:tcBorders>
              <w:top w:val="single" w:sz="1" w:space="0" w:color="000000"/>
              <w:bottom w:val="single" w:sz="1" w:space="0" w:color="000000"/>
            </w:tcBorders>
            <w:shd w:val="clear" w:color="auto" w:fill="D9E2F3"/>
            <w:tcMar>
              <w:top w:w="30" w:type="dxa"/>
              <w:left w:w="60" w:type="dxa"/>
              <w:bottom w:w="30" w:type="dxa"/>
              <w:right w:w="60" w:type="dxa"/>
            </w:tcMar>
          </w:tcPr>
          <w:p w14:paraId="7D30229A" w14:textId="77777777" w:rsidR="00E05E66" w:rsidRDefault="00000000">
            <w:pPr>
              <w:spacing w:after="0" w:line="240" w:lineRule="auto"/>
              <w:jc w:val="center"/>
            </w:pPr>
            <w:r>
              <w:rPr>
                <w:rFonts w:eastAsia="Times New Roman" w:cs="Times New Roman"/>
                <w:b/>
                <w:bCs/>
                <w:sz w:val="18"/>
                <w:szCs w:val="18"/>
              </w:rPr>
              <w:t>β (final)</w:t>
            </w:r>
          </w:p>
        </w:tc>
        <w:tc>
          <w:tcPr>
            <w:tcW w:w="1050" w:type="dxa"/>
            <w:tcBorders>
              <w:top w:val="single" w:sz="1" w:space="0" w:color="000000"/>
              <w:bottom w:val="single" w:sz="1" w:space="0" w:color="000000"/>
            </w:tcBorders>
            <w:shd w:val="clear" w:color="auto" w:fill="D9E2F3"/>
            <w:tcMar>
              <w:top w:w="30" w:type="dxa"/>
              <w:left w:w="60" w:type="dxa"/>
              <w:bottom w:w="30" w:type="dxa"/>
              <w:right w:w="60" w:type="dxa"/>
            </w:tcMar>
          </w:tcPr>
          <w:p w14:paraId="3AAC7351" w14:textId="77777777" w:rsidR="00E05E66" w:rsidRDefault="00000000">
            <w:pPr>
              <w:spacing w:after="0" w:line="240" w:lineRule="auto"/>
              <w:jc w:val="center"/>
            </w:pPr>
            <w:r>
              <w:rPr>
                <w:rFonts w:eastAsia="Times New Roman" w:cs="Times New Roman"/>
                <w:b/>
                <w:bCs/>
                <w:sz w:val="18"/>
                <w:szCs w:val="18"/>
              </w:rPr>
              <w:t>SE</w:t>
            </w:r>
          </w:p>
        </w:tc>
        <w:tc>
          <w:tcPr>
            <w:tcW w:w="1200" w:type="dxa"/>
            <w:tcBorders>
              <w:top w:val="single" w:sz="1" w:space="0" w:color="000000"/>
              <w:bottom w:val="single" w:sz="1" w:space="0" w:color="000000"/>
            </w:tcBorders>
            <w:shd w:val="clear" w:color="auto" w:fill="D9E2F3"/>
            <w:tcMar>
              <w:top w:w="30" w:type="dxa"/>
              <w:left w:w="60" w:type="dxa"/>
              <w:bottom w:w="30" w:type="dxa"/>
              <w:right w:w="60" w:type="dxa"/>
            </w:tcMar>
          </w:tcPr>
          <w:p w14:paraId="04D0D08F" w14:textId="77777777" w:rsidR="00E05E66" w:rsidRDefault="00000000">
            <w:pPr>
              <w:spacing w:after="0" w:line="240" w:lineRule="auto"/>
              <w:jc w:val="center"/>
            </w:pPr>
            <w:r>
              <w:rPr>
                <w:rFonts w:eastAsia="Times New Roman" w:cs="Times New Roman"/>
                <w:b/>
                <w:bCs/>
                <w:sz w:val="18"/>
                <w:szCs w:val="18"/>
              </w:rPr>
              <w:t>Erosion</w:t>
            </w:r>
          </w:p>
        </w:tc>
        <w:tc>
          <w:tcPr>
            <w:tcW w:w="1260" w:type="dxa"/>
            <w:tcBorders>
              <w:top w:val="single" w:sz="1" w:space="0" w:color="000000"/>
              <w:bottom w:val="single" w:sz="1" w:space="0" w:color="000000"/>
            </w:tcBorders>
            <w:shd w:val="clear" w:color="auto" w:fill="D9E2F3"/>
            <w:tcMar>
              <w:top w:w="30" w:type="dxa"/>
              <w:left w:w="60" w:type="dxa"/>
              <w:bottom w:w="30" w:type="dxa"/>
              <w:right w:w="60" w:type="dxa"/>
            </w:tcMar>
          </w:tcPr>
          <w:p w14:paraId="59DDA12A" w14:textId="77777777" w:rsidR="00E05E66" w:rsidRDefault="00000000">
            <w:pPr>
              <w:spacing w:after="0" w:line="240" w:lineRule="auto"/>
              <w:jc w:val="center"/>
            </w:pPr>
            <w:r>
              <w:rPr>
                <w:rFonts w:eastAsia="Times New Roman" w:cs="Times New Roman"/>
                <w:b/>
                <w:bCs/>
                <w:sz w:val="18"/>
                <w:szCs w:val="18"/>
              </w:rPr>
              <w:t>Direction</w:t>
            </w:r>
          </w:p>
        </w:tc>
      </w:tr>
      <w:tr w:rsidR="00E05E66" w14:paraId="41D55BBC" w14:textId="77777777">
        <w:tc>
          <w:tcPr>
            <w:tcW w:w="2200" w:type="dxa"/>
            <w:tcMar>
              <w:top w:w="30" w:type="dxa"/>
              <w:left w:w="60" w:type="dxa"/>
              <w:bottom w:w="30" w:type="dxa"/>
              <w:right w:w="60" w:type="dxa"/>
            </w:tcMar>
          </w:tcPr>
          <w:p w14:paraId="1885922F" w14:textId="77777777" w:rsidR="00E05E66" w:rsidRDefault="00000000">
            <w:pPr>
              <w:spacing w:after="0" w:line="240" w:lineRule="auto"/>
            </w:pPr>
            <w:r>
              <w:rPr>
                <w:rFonts w:eastAsia="Times New Roman" w:cs="Times New Roman"/>
                <w:sz w:val="18"/>
                <w:szCs w:val="18"/>
              </w:rPr>
              <w:t>is_branded</w:t>
            </w:r>
          </w:p>
        </w:tc>
        <w:tc>
          <w:tcPr>
            <w:tcW w:w="1300" w:type="dxa"/>
            <w:tcMar>
              <w:top w:w="30" w:type="dxa"/>
              <w:left w:w="60" w:type="dxa"/>
              <w:bottom w:w="30" w:type="dxa"/>
              <w:right w:w="60" w:type="dxa"/>
            </w:tcMar>
          </w:tcPr>
          <w:p w14:paraId="5745DEBA" w14:textId="77777777" w:rsidR="00E05E66" w:rsidRDefault="00000000">
            <w:pPr>
              <w:spacing w:after="0" w:line="240" w:lineRule="auto"/>
              <w:jc w:val="center"/>
            </w:pPr>
            <w:r>
              <w:rPr>
                <w:rFonts w:eastAsia="Times New Roman" w:cs="Times New Roman"/>
                <w:sz w:val="18"/>
                <w:szCs w:val="18"/>
              </w:rPr>
              <w:t>+0.022</w:t>
            </w:r>
          </w:p>
        </w:tc>
        <w:tc>
          <w:tcPr>
            <w:tcW w:w="1050" w:type="dxa"/>
            <w:tcMar>
              <w:top w:w="30" w:type="dxa"/>
              <w:left w:w="60" w:type="dxa"/>
              <w:bottom w:w="30" w:type="dxa"/>
              <w:right w:w="60" w:type="dxa"/>
            </w:tcMar>
          </w:tcPr>
          <w:p w14:paraId="2E7E749E" w14:textId="77777777" w:rsidR="00E05E66" w:rsidRDefault="00000000">
            <w:pPr>
              <w:spacing w:after="0" w:line="240" w:lineRule="auto"/>
              <w:jc w:val="center"/>
            </w:pPr>
            <w:r>
              <w:rPr>
                <w:rFonts w:eastAsia="Times New Roman" w:cs="Times New Roman"/>
                <w:sz w:val="18"/>
                <w:szCs w:val="18"/>
              </w:rPr>
              <w:t>(0.077)</w:t>
            </w:r>
          </w:p>
        </w:tc>
        <w:tc>
          <w:tcPr>
            <w:tcW w:w="1300" w:type="dxa"/>
            <w:tcMar>
              <w:top w:w="30" w:type="dxa"/>
              <w:left w:w="60" w:type="dxa"/>
              <w:bottom w:w="30" w:type="dxa"/>
              <w:right w:w="60" w:type="dxa"/>
            </w:tcMar>
          </w:tcPr>
          <w:p w14:paraId="444C8C38" w14:textId="77777777" w:rsidR="00E05E66" w:rsidRDefault="00000000">
            <w:pPr>
              <w:spacing w:after="0" w:line="240" w:lineRule="auto"/>
              <w:jc w:val="center"/>
            </w:pPr>
            <w:r>
              <w:rPr>
                <w:rFonts w:eastAsia="Times New Roman" w:cs="Times New Roman"/>
                <w:sz w:val="18"/>
                <w:szCs w:val="18"/>
              </w:rPr>
              <w:t>+0.011</w:t>
            </w:r>
          </w:p>
        </w:tc>
        <w:tc>
          <w:tcPr>
            <w:tcW w:w="1050" w:type="dxa"/>
            <w:tcMar>
              <w:top w:w="30" w:type="dxa"/>
              <w:left w:w="60" w:type="dxa"/>
              <w:bottom w:w="30" w:type="dxa"/>
              <w:right w:w="60" w:type="dxa"/>
            </w:tcMar>
          </w:tcPr>
          <w:p w14:paraId="47AC0A5F" w14:textId="77777777" w:rsidR="00E05E66" w:rsidRDefault="00000000">
            <w:pPr>
              <w:spacing w:after="0" w:line="240" w:lineRule="auto"/>
              <w:jc w:val="center"/>
            </w:pPr>
            <w:r>
              <w:rPr>
                <w:rFonts w:eastAsia="Times New Roman" w:cs="Times New Roman"/>
                <w:sz w:val="18"/>
                <w:szCs w:val="18"/>
              </w:rPr>
              <w:t>(0.078)</w:t>
            </w:r>
          </w:p>
        </w:tc>
        <w:tc>
          <w:tcPr>
            <w:tcW w:w="1200" w:type="dxa"/>
            <w:tcMar>
              <w:top w:w="30" w:type="dxa"/>
              <w:left w:w="60" w:type="dxa"/>
              <w:bottom w:w="30" w:type="dxa"/>
              <w:right w:w="60" w:type="dxa"/>
            </w:tcMar>
          </w:tcPr>
          <w:p w14:paraId="2E16CA09" w14:textId="77777777" w:rsidR="00E05E66" w:rsidRDefault="00000000">
            <w:pPr>
              <w:spacing w:after="0" w:line="240" w:lineRule="auto"/>
              <w:jc w:val="center"/>
            </w:pPr>
            <w:r>
              <w:rPr>
                <w:rFonts w:eastAsia="Times New Roman" w:cs="Times New Roman"/>
                <w:sz w:val="18"/>
                <w:szCs w:val="18"/>
              </w:rPr>
              <w:t>50.6%</w:t>
            </w:r>
          </w:p>
        </w:tc>
        <w:tc>
          <w:tcPr>
            <w:tcW w:w="1260" w:type="dxa"/>
            <w:tcMar>
              <w:top w:w="30" w:type="dxa"/>
              <w:left w:w="60" w:type="dxa"/>
              <w:bottom w:w="30" w:type="dxa"/>
              <w:right w:w="60" w:type="dxa"/>
            </w:tcMar>
          </w:tcPr>
          <w:p w14:paraId="3B5187D9" w14:textId="77777777" w:rsidR="00E05E66" w:rsidRDefault="00000000">
            <w:pPr>
              <w:spacing w:after="0" w:line="240" w:lineRule="auto"/>
              <w:jc w:val="center"/>
            </w:pPr>
            <w:r>
              <w:rPr>
                <w:rFonts w:eastAsia="Times New Roman" w:cs="Times New Roman"/>
                <w:sz w:val="18"/>
                <w:szCs w:val="18"/>
              </w:rPr>
              <w:t>Eroded</w:t>
            </w:r>
          </w:p>
        </w:tc>
      </w:tr>
      <w:tr w:rsidR="00E05E66" w14:paraId="43BB4312" w14:textId="77777777">
        <w:tc>
          <w:tcPr>
            <w:tcW w:w="2200" w:type="dxa"/>
            <w:tcMar>
              <w:top w:w="30" w:type="dxa"/>
              <w:left w:w="60" w:type="dxa"/>
              <w:bottom w:w="30" w:type="dxa"/>
              <w:right w:w="60" w:type="dxa"/>
            </w:tcMar>
          </w:tcPr>
          <w:p w14:paraId="312D1536" w14:textId="77777777" w:rsidR="00E05E66" w:rsidRDefault="00000000">
            <w:pPr>
              <w:spacing w:after="0" w:line="240" w:lineRule="auto"/>
            </w:pPr>
            <w:r>
              <w:rPr>
                <w:rFonts w:eastAsia="Times New Roman" w:cs="Times New Roman"/>
                <w:sz w:val="18"/>
                <w:szCs w:val="18"/>
              </w:rPr>
              <w:t>is_premium***</w:t>
            </w:r>
          </w:p>
        </w:tc>
        <w:tc>
          <w:tcPr>
            <w:tcW w:w="1300" w:type="dxa"/>
            <w:tcMar>
              <w:top w:w="30" w:type="dxa"/>
              <w:left w:w="60" w:type="dxa"/>
              <w:bottom w:w="30" w:type="dxa"/>
              <w:right w:w="60" w:type="dxa"/>
            </w:tcMar>
          </w:tcPr>
          <w:p w14:paraId="29939142" w14:textId="77777777" w:rsidR="00E05E66" w:rsidRDefault="00000000">
            <w:pPr>
              <w:spacing w:after="0" w:line="240" w:lineRule="auto"/>
              <w:jc w:val="center"/>
            </w:pPr>
            <w:r>
              <w:rPr>
                <w:rFonts w:eastAsia="Times New Roman" w:cs="Times New Roman"/>
                <w:sz w:val="18"/>
                <w:szCs w:val="18"/>
              </w:rPr>
              <w:t>+0.429</w:t>
            </w:r>
          </w:p>
        </w:tc>
        <w:tc>
          <w:tcPr>
            <w:tcW w:w="1050" w:type="dxa"/>
            <w:tcMar>
              <w:top w:w="30" w:type="dxa"/>
              <w:left w:w="60" w:type="dxa"/>
              <w:bottom w:w="30" w:type="dxa"/>
              <w:right w:w="60" w:type="dxa"/>
            </w:tcMar>
          </w:tcPr>
          <w:p w14:paraId="1D38663F" w14:textId="77777777" w:rsidR="00E05E66" w:rsidRDefault="00000000">
            <w:pPr>
              <w:spacing w:after="0" w:line="240" w:lineRule="auto"/>
              <w:jc w:val="center"/>
            </w:pPr>
            <w:r>
              <w:rPr>
                <w:rFonts w:eastAsia="Times New Roman" w:cs="Times New Roman"/>
                <w:sz w:val="18"/>
                <w:szCs w:val="18"/>
              </w:rPr>
              <w:t>(0.061)</w:t>
            </w:r>
          </w:p>
        </w:tc>
        <w:tc>
          <w:tcPr>
            <w:tcW w:w="1300" w:type="dxa"/>
            <w:tcMar>
              <w:top w:w="30" w:type="dxa"/>
              <w:left w:w="60" w:type="dxa"/>
              <w:bottom w:w="30" w:type="dxa"/>
              <w:right w:w="60" w:type="dxa"/>
            </w:tcMar>
          </w:tcPr>
          <w:p w14:paraId="17B74D7D" w14:textId="77777777" w:rsidR="00E05E66" w:rsidRDefault="00000000">
            <w:pPr>
              <w:spacing w:after="0" w:line="240" w:lineRule="auto"/>
              <w:jc w:val="center"/>
            </w:pPr>
            <w:r>
              <w:rPr>
                <w:rFonts w:eastAsia="Times New Roman" w:cs="Times New Roman"/>
                <w:sz w:val="18"/>
                <w:szCs w:val="18"/>
              </w:rPr>
              <w:t>+0.436</w:t>
            </w:r>
          </w:p>
        </w:tc>
        <w:tc>
          <w:tcPr>
            <w:tcW w:w="1050" w:type="dxa"/>
            <w:tcMar>
              <w:top w:w="30" w:type="dxa"/>
              <w:left w:w="60" w:type="dxa"/>
              <w:bottom w:w="30" w:type="dxa"/>
              <w:right w:w="60" w:type="dxa"/>
            </w:tcMar>
          </w:tcPr>
          <w:p w14:paraId="6E247CA3" w14:textId="77777777" w:rsidR="00E05E66" w:rsidRDefault="00000000">
            <w:pPr>
              <w:spacing w:after="0" w:line="240" w:lineRule="auto"/>
              <w:jc w:val="center"/>
            </w:pPr>
            <w:r>
              <w:rPr>
                <w:rFonts w:eastAsia="Times New Roman" w:cs="Times New Roman"/>
                <w:sz w:val="18"/>
                <w:szCs w:val="18"/>
              </w:rPr>
              <w:t>(0.063)</w:t>
            </w:r>
          </w:p>
        </w:tc>
        <w:tc>
          <w:tcPr>
            <w:tcW w:w="1200" w:type="dxa"/>
            <w:tcMar>
              <w:top w:w="30" w:type="dxa"/>
              <w:left w:w="60" w:type="dxa"/>
              <w:bottom w:w="30" w:type="dxa"/>
              <w:right w:w="60" w:type="dxa"/>
            </w:tcMar>
          </w:tcPr>
          <w:p w14:paraId="08CE7D51" w14:textId="77777777" w:rsidR="00E05E66" w:rsidRDefault="00000000">
            <w:pPr>
              <w:spacing w:after="0" w:line="240" w:lineRule="auto"/>
              <w:jc w:val="center"/>
            </w:pPr>
            <w:r>
              <w:rPr>
                <w:rFonts w:eastAsia="Times New Roman" w:cs="Times New Roman"/>
                <w:sz w:val="18"/>
                <w:szCs w:val="18"/>
              </w:rPr>
              <w:t>−1.7%</w:t>
            </w:r>
          </w:p>
        </w:tc>
        <w:tc>
          <w:tcPr>
            <w:tcW w:w="1260" w:type="dxa"/>
            <w:tcMar>
              <w:top w:w="30" w:type="dxa"/>
              <w:left w:w="60" w:type="dxa"/>
              <w:bottom w:w="30" w:type="dxa"/>
              <w:right w:w="60" w:type="dxa"/>
            </w:tcMar>
          </w:tcPr>
          <w:p w14:paraId="74AA48E4" w14:textId="77777777" w:rsidR="00E05E66" w:rsidRDefault="00000000">
            <w:pPr>
              <w:spacing w:after="0" w:line="240" w:lineRule="auto"/>
              <w:jc w:val="center"/>
            </w:pPr>
            <w:r>
              <w:rPr>
                <w:rFonts w:eastAsia="Times New Roman" w:cs="Times New Roman"/>
                <w:sz w:val="18"/>
                <w:szCs w:val="18"/>
              </w:rPr>
              <w:t>Stable</w:t>
            </w:r>
          </w:p>
        </w:tc>
      </w:tr>
      <w:tr w:rsidR="00E05E66" w14:paraId="1847CFCD" w14:textId="77777777">
        <w:tc>
          <w:tcPr>
            <w:tcW w:w="2200" w:type="dxa"/>
            <w:tcMar>
              <w:top w:w="30" w:type="dxa"/>
              <w:left w:w="60" w:type="dxa"/>
              <w:bottom w:w="30" w:type="dxa"/>
              <w:right w:w="60" w:type="dxa"/>
            </w:tcMar>
          </w:tcPr>
          <w:p w14:paraId="0208E721" w14:textId="77777777" w:rsidR="00E05E66" w:rsidRDefault="00000000">
            <w:pPr>
              <w:spacing w:after="0" w:line="240" w:lineRule="auto"/>
            </w:pPr>
            <w:r>
              <w:rPr>
                <w:rFonts w:eastAsia="Times New Roman" w:cs="Times New Roman"/>
                <w:sz w:val="18"/>
                <w:szCs w:val="18"/>
              </w:rPr>
              <w:t>is_high_recognition***</w:t>
            </w:r>
          </w:p>
        </w:tc>
        <w:tc>
          <w:tcPr>
            <w:tcW w:w="1300" w:type="dxa"/>
            <w:tcMar>
              <w:top w:w="30" w:type="dxa"/>
              <w:left w:w="60" w:type="dxa"/>
              <w:bottom w:w="30" w:type="dxa"/>
              <w:right w:w="60" w:type="dxa"/>
            </w:tcMar>
          </w:tcPr>
          <w:p w14:paraId="2A978B72" w14:textId="77777777" w:rsidR="00E05E66" w:rsidRDefault="00000000">
            <w:pPr>
              <w:spacing w:after="0" w:line="240" w:lineRule="auto"/>
              <w:jc w:val="center"/>
            </w:pPr>
            <w:r>
              <w:rPr>
                <w:rFonts w:eastAsia="Times New Roman" w:cs="Times New Roman"/>
                <w:sz w:val="18"/>
                <w:szCs w:val="18"/>
              </w:rPr>
              <w:t>−0.255</w:t>
            </w:r>
          </w:p>
        </w:tc>
        <w:tc>
          <w:tcPr>
            <w:tcW w:w="1050" w:type="dxa"/>
            <w:tcMar>
              <w:top w:w="30" w:type="dxa"/>
              <w:left w:w="60" w:type="dxa"/>
              <w:bottom w:w="30" w:type="dxa"/>
              <w:right w:w="60" w:type="dxa"/>
            </w:tcMar>
          </w:tcPr>
          <w:p w14:paraId="12CD5F93" w14:textId="77777777" w:rsidR="00E05E66" w:rsidRDefault="00000000">
            <w:pPr>
              <w:spacing w:after="0" w:line="240" w:lineRule="auto"/>
              <w:jc w:val="center"/>
            </w:pPr>
            <w:r>
              <w:rPr>
                <w:rFonts w:eastAsia="Times New Roman" w:cs="Times New Roman"/>
                <w:sz w:val="18"/>
                <w:szCs w:val="18"/>
              </w:rPr>
              <w:t>(0.062)</w:t>
            </w:r>
          </w:p>
        </w:tc>
        <w:tc>
          <w:tcPr>
            <w:tcW w:w="1300" w:type="dxa"/>
            <w:tcMar>
              <w:top w:w="30" w:type="dxa"/>
              <w:left w:w="60" w:type="dxa"/>
              <w:bottom w:w="30" w:type="dxa"/>
              <w:right w:w="60" w:type="dxa"/>
            </w:tcMar>
          </w:tcPr>
          <w:p w14:paraId="6BD835A2" w14:textId="77777777" w:rsidR="00E05E66" w:rsidRDefault="00000000">
            <w:pPr>
              <w:spacing w:after="0" w:line="240" w:lineRule="auto"/>
              <w:jc w:val="center"/>
            </w:pPr>
            <w:r>
              <w:rPr>
                <w:rFonts w:eastAsia="Times New Roman" w:cs="Times New Roman"/>
                <w:sz w:val="18"/>
                <w:szCs w:val="18"/>
              </w:rPr>
              <w:t>−0.266</w:t>
            </w:r>
          </w:p>
        </w:tc>
        <w:tc>
          <w:tcPr>
            <w:tcW w:w="1050" w:type="dxa"/>
            <w:tcMar>
              <w:top w:w="30" w:type="dxa"/>
              <w:left w:w="60" w:type="dxa"/>
              <w:bottom w:w="30" w:type="dxa"/>
              <w:right w:w="60" w:type="dxa"/>
            </w:tcMar>
          </w:tcPr>
          <w:p w14:paraId="608E80A2" w14:textId="77777777" w:rsidR="00E05E66" w:rsidRDefault="00000000">
            <w:pPr>
              <w:spacing w:after="0" w:line="240" w:lineRule="auto"/>
              <w:jc w:val="center"/>
            </w:pPr>
            <w:r>
              <w:rPr>
                <w:rFonts w:eastAsia="Times New Roman" w:cs="Times New Roman"/>
                <w:sz w:val="18"/>
                <w:szCs w:val="18"/>
              </w:rPr>
              <w:t>(0.065)</w:t>
            </w:r>
          </w:p>
        </w:tc>
        <w:tc>
          <w:tcPr>
            <w:tcW w:w="1200" w:type="dxa"/>
            <w:tcMar>
              <w:top w:w="30" w:type="dxa"/>
              <w:left w:w="60" w:type="dxa"/>
              <w:bottom w:w="30" w:type="dxa"/>
              <w:right w:w="60" w:type="dxa"/>
            </w:tcMar>
          </w:tcPr>
          <w:p w14:paraId="55E9BF8F" w14:textId="77777777" w:rsidR="00E05E66" w:rsidRDefault="00000000">
            <w:pPr>
              <w:spacing w:after="0" w:line="240" w:lineRule="auto"/>
              <w:jc w:val="center"/>
            </w:pPr>
            <w:r>
              <w:rPr>
                <w:rFonts w:eastAsia="Times New Roman" w:cs="Times New Roman"/>
                <w:sz w:val="18"/>
                <w:szCs w:val="18"/>
              </w:rPr>
              <w:t>4.3%</w:t>
            </w:r>
          </w:p>
        </w:tc>
        <w:tc>
          <w:tcPr>
            <w:tcW w:w="1260" w:type="dxa"/>
            <w:tcMar>
              <w:top w:w="30" w:type="dxa"/>
              <w:left w:w="60" w:type="dxa"/>
              <w:bottom w:w="30" w:type="dxa"/>
              <w:right w:w="60" w:type="dxa"/>
            </w:tcMar>
          </w:tcPr>
          <w:p w14:paraId="0366C2B2" w14:textId="77777777" w:rsidR="00E05E66" w:rsidRDefault="00000000">
            <w:pPr>
              <w:spacing w:after="0" w:line="240" w:lineRule="auto"/>
              <w:jc w:val="center"/>
            </w:pPr>
            <w:r>
              <w:rPr>
                <w:rFonts w:eastAsia="Times New Roman" w:cs="Times New Roman"/>
                <w:sz w:val="18"/>
                <w:szCs w:val="18"/>
              </w:rPr>
              <w:t>Stable</w:t>
            </w:r>
          </w:p>
        </w:tc>
      </w:tr>
      <w:tr w:rsidR="00E05E66" w14:paraId="63BC54D5" w14:textId="77777777">
        <w:tc>
          <w:tcPr>
            <w:tcW w:w="2200" w:type="dxa"/>
            <w:tcMar>
              <w:top w:w="30" w:type="dxa"/>
              <w:left w:w="60" w:type="dxa"/>
              <w:bottom w:w="30" w:type="dxa"/>
              <w:right w:w="60" w:type="dxa"/>
            </w:tcMar>
          </w:tcPr>
          <w:p w14:paraId="15FBBA9A" w14:textId="77777777" w:rsidR="00E05E66" w:rsidRDefault="00000000">
            <w:pPr>
              <w:spacing w:after="0" w:line="240" w:lineRule="auto"/>
            </w:pPr>
            <w:r>
              <w:rPr>
                <w:rFonts w:eastAsia="Times New Roman" w:cs="Times New Roman"/>
                <w:sz w:val="18"/>
                <w:szCs w:val="18"/>
              </w:rPr>
              <w:t>is_import</w:t>
            </w:r>
          </w:p>
        </w:tc>
        <w:tc>
          <w:tcPr>
            <w:tcW w:w="1300" w:type="dxa"/>
            <w:tcMar>
              <w:top w:w="30" w:type="dxa"/>
              <w:left w:w="60" w:type="dxa"/>
              <w:bottom w:w="30" w:type="dxa"/>
              <w:right w:w="60" w:type="dxa"/>
            </w:tcMar>
          </w:tcPr>
          <w:p w14:paraId="7532523A" w14:textId="77777777" w:rsidR="00E05E66" w:rsidRDefault="00000000">
            <w:pPr>
              <w:spacing w:after="0" w:line="240" w:lineRule="auto"/>
              <w:jc w:val="center"/>
            </w:pPr>
            <w:r>
              <w:rPr>
                <w:rFonts w:eastAsia="Times New Roman" w:cs="Times New Roman"/>
                <w:sz w:val="18"/>
                <w:szCs w:val="18"/>
              </w:rPr>
              <w:t>+0.144</w:t>
            </w:r>
          </w:p>
        </w:tc>
        <w:tc>
          <w:tcPr>
            <w:tcW w:w="1050" w:type="dxa"/>
            <w:tcMar>
              <w:top w:w="30" w:type="dxa"/>
              <w:left w:w="60" w:type="dxa"/>
              <w:bottom w:w="30" w:type="dxa"/>
              <w:right w:w="60" w:type="dxa"/>
            </w:tcMar>
          </w:tcPr>
          <w:p w14:paraId="26896253" w14:textId="77777777" w:rsidR="00E05E66" w:rsidRDefault="00000000">
            <w:pPr>
              <w:spacing w:after="0" w:line="240" w:lineRule="auto"/>
              <w:jc w:val="center"/>
            </w:pPr>
            <w:r>
              <w:rPr>
                <w:rFonts w:eastAsia="Times New Roman" w:cs="Times New Roman"/>
                <w:sz w:val="18"/>
                <w:szCs w:val="18"/>
              </w:rPr>
              <w:t>(0.214)</w:t>
            </w:r>
          </w:p>
        </w:tc>
        <w:tc>
          <w:tcPr>
            <w:tcW w:w="1300" w:type="dxa"/>
            <w:tcMar>
              <w:top w:w="30" w:type="dxa"/>
              <w:left w:w="60" w:type="dxa"/>
              <w:bottom w:w="30" w:type="dxa"/>
              <w:right w:w="60" w:type="dxa"/>
            </w:tcMar>
          </w:tcPr>
          <w:p w14:paraId="7F8DC92A" w14:textId="77777777" w:rsidR="00E05E66" w:rsidRDefault="00000000">
            <w:pPr>
              <w:spacing w:after="0" w:line="240" w:lineRule="auto"/>
              <w:jc w:val="center"/>
            </w:pPr>
            <w:r>
              <w:rPr>
                <w:rFonts w:eastAsia="Times New Roman" w:cs="Times New Roman"/>
                <w:sz w:val="18"/>
                <w:szCs w:val="18"/>
              </w:rPr>
              <w:t>+0.117</w:t>
            </w:r>
          </w:p>
        </w:tc>
        <w:tc>
          <w:tcPr>
            <w:tcW w:w="1050" w:type="dxa"/>
            <w:tcMar>
              <w:top w:w="30" w:type="dxa"/>
              <w:left w:w="60" w:type="dxa"/>
              <w:bottom w:w="30" w:type="dxa"/>
              <w:right w:w="60" w:type="dxa"/>
            </w:tcMar>
          </w:tcPr>
          <w:p w14:paraId="7D6B473E" w14:textId="77777777" w:rsidR="00E05E66" w:rsidRDefault="00000000">
            <w:pPr>
              <w:spacing w:after="0" w:line="240" w:lineRule="auto"/>
              <w:jc w:val="center"/>
            </w:pPr>
            <w:r>
              <w:rPr>
                <w:rFonts w:eastAsia="Times New Roman" w:cs="Times New Roman"/>
                <w:sz w:val="18"/>
                <w:szCs w:val="18"/>
              </w:rPr>
              <w:t>(0.219)</w:t>
            </w:r>
          </w:p>
        </w:tc>
        <w:tc>
          <w:tcPr>
            <w:tcW w:w="1200" w:type="dxa"/>
            <w:tcMar>
              <w:top w:w="30" w:type="dxa"/>
              <w:left w:w="60" w:type="dxa"/>
              <w:bottom w:w="30" w:type="dxa"/>
              <w:right w:w="60" w:type="dxa"/>
            </w:tcMar>
          </w:tcPr>
          <w:p w14:paraId="17990073" w14:textId="77777777" w:rsidR="00E05E66" w:rsidRDefault="00000000">
            <w:pPr>
              <w:spacing w:after="0" w:line="240" w:lineRule="auto"/>
              <w:jc w:val="center"/>
            </w:pPr>
            <w:r>
              <w:rPr>
                <w:rFonts w:eastAsia="Times New Roman" w:cs="Times New Roman"/>
                <w:sz w:val="18"/>
                <w:szCs w:val="18"/>
              </w:rPr>
              <w:t>19.1%</w:t>
            </w:r>
          </w:p>
        </w:tc>
        <w:tc>
          <w:tcPr>
            <w:tcW w:w="1260" w:type="dxa"/>
            <w:tcMar>
              <w:top w:w="30" w:type="dxa"/>
              <w:left w:w="60" w:type="dxa"/>
              <w:bottom w:w="30" w:type="dxa"/>
              <w:right w:w="60" w:type="dxa"/>
            </w:tcMar>
          </w:tcPr>
          <w:p w14:paraId="63B2F70B" w14:textId="77777777" w:rsidR="00E05E66" w:rsidRDefault="00000000">
            <w:pPr>
              <w:spacing w:after="0" w:line="240" w:lineRule="auto"/>
              <w:jc w:val="center"/>
            </w:pPr>
            <w:r>
              <w:rPr>
                <w:rFonts w:eastAsia="Times New Roman" w:cs="Times New Roman"/>
                <w:sz w:val="18"/>
                <w:szCs w:val="18"/>
              </w:rPr>
              <w:t>Partial</w:t>
            </w:r>
          </w:p>
        </w:tc>
      </w:tr>
      <w:tr w:rsidR="00E05E66" w14:paraId="5D61D0DB" w14:textId="77777777">
        <w:tc>
          <w:tcPr>
            <w:tcW w:w="2200" w:type="dxa"/>
            <w:tcMar>
              <w:top w:w="30" w:type="dxa"/>
              <w:left w:w="60" w:type="dxa"/>
              <w:bottom w:w="30" w:type="dxa"/>
              <w:right w:w="60" w:type="dxa"/>
            </w:tcMar>
          </w:tcPr>
          <w:p w14:paraId="4B0F688A" w14:textId="77777777" w:rsidR="00E05E66" w:rsidRDefault="00000000">
            <w:pPr>
              <w:spacing w:after="0" w:line="240" w:lineRule="auto"/>
            </w:pPr>
            <w:r>
              <w:rPr>
                <w:rFonts w:eastAsia="Times New Roman" w:cs="Times New Roman"/>
                <w:sz w:val="18"/>
                <w:szCs w:val="18"/>
              </w:rPr>
              <w:t>is_house_brand</w:t>
            </w:r>
          </w:p>
        </w:tc>
        <w:tc>
          <w:tcPr>
            <w:tcW w:w="1300" w:type="dxa"/>
            <w:tcMar>
              <w:top w:w="30" w:type="dxa"/>
              <w:left w:w="60" w:type="dxa"/>
              <w:bottom w:w="30" w:type="dxa"/>
              <w:right w:w="60" w:type="dxa"/>
            </w:tcMar>
          </w:tcPr>
          <w:p w14:paraId="292A44F6" w14:textId="77777777" w:rsidR="00E05E66" w:rsidRDefault="00000000">
            <w:pPr>
              <w:spacing w:after="0" w:line="240" w:lineRule="auto"/>
              <w:jc w:val="center"/>
            </w:pPr>
            <w:r>
              <w:rPr>
                <w:rFonts w:eastAsia="Times New Roman" w:cs="Times New Roman"/>
                <w:sz w:val="18"/>
                <w:szCs w:val="18"/>
              </w:rPr>
              <w:t>−0.046</w:t>
            </w:r>
          </w:p>
        </w:tc>
        <w:tc>
          <w:tcPr>
            <w:tcW w:w="1050" w:type="dxa"/>
            <w:tcMar>
              <w:top w:w="30" w:type="dxa"/>
              <w:left w:w="60" w:type="dxa"/>
              <w:bottom w:w="30" w:type="dxa"/>
              <w:right w:w="60" w:type="dxa"/>
            </w:tcMar>
          </w:tcPr>
          <w:p w14:paraId="55A44824" w14:textId="77777777" w:rsidR="00E05E66" w:rsidRDefault="00000000">
            <w:pPr>
              <w:spacing w:after="0" w:line="240" w:lineRule="auto"/>
              <w:jc w:val="center"/>
            </w:pPr>
            <w:r>
              <w:rPr>
                <w:rFonts w:eastAsia="Times New Roman" w:cs="Times New Roman"/>
                <w:sz w:val="18"/>
                <w:szCs w:val="18"/>
              </w:rPr>
              <w:t>(0.059)</w:t>
            </w:r>
          </w:p>
        </w:tc>
        <w:tc>
          <w:tcPr>
            <w:tcW w:w="1300" w:type="dxa"/>
            <w:tcMar>
              <w:top w:w="30" w:type="dxa"/>
              <w:left w:w="60" w:type="dxa"/>
              <w:bottom w:w="30" w:type="dxa"/>
              <w:right w:w="60" w:type="dxa"/>
            </w:tcMar>
          </w:tcPr>
          <w:p w14:paraId="1A705E74" w14:textId="77777777" w:rsidR="00E05E66" w:rsidRDefault="00000000">
            <w:pPr>
              <w:spacing w:after="0" w:line="240" w:lineRule="auto"/>
              <w:jc w:val="center"/>
            </w:pPr>
            <w:r>
              <w:rPr>
                <w:rFonts w:eastAsia="Times New Roman" w:cs="Times New Roman"/>
                <w:sz w:val="18"/>
                <w:szCs w:val="18"/>
              </w:rPr>
              <w:t>−0.266***</w:t>
            </w:r>
          </w:p>
        </w:tc>
        <w:tc>
          <w:tcPr>
            <w:tcW w:w="1050" w:type="dxa"/>
            <w:tcMar>
              <w:top w:w="30" w:type="dxa"/>
              <w:left w:w="60" w:type="dxa"/>
              <w:bottom w:w="30" w:type="dxa"/>
              <w:right w:w="60" w:type="dxa"/>
            </w:tcMar>
          </w:tcPr>
          <w:p w14:paraId="63E445A8" w14:textId="77777777" w:rsidR="00E05E66" w:rsidRDefault="00000000">
            <w:pPr>
              <w:spacing w:after="0" w:line="240" w:lineRule="auto"/>
              <w:jc w:val="center"/>
            </w:pPr>
            <w:r>
              <w:rPr>
                <w:rFonts w:eastAsia="Times New Roman" w:cs="Times New Roman"/>
                <w:sz w:val="18"/>
                <w:szCs w:val="18"/>
              </w:rPr>
              <w:t>(0.058)</w:t>
            </w:r>
          </w:p>
        </w:tc>
        <w:tc>
          <w:tcPr>
            <w:tcW w:w="1200" w:type="dxa"/>
            <w:tcMar>
              <w:top w:w="30" w:type="dxa"/>
              <w:left w:w="60" w:type="dxa"/>
              <w:bottom w:w="30" w:type="dxa"/>
              <w:right w:w="60" w:type="dxa"/>
            </w:tcMar>
          </w:tcPr>
          <w:p w14:paraId="47511CBE" w14:textId="77777777" w:rsidR="00E05E66" w:rsidRDefault="00000000">
            <w:pPr>
              <w:spacing w:after="0" w:line="240" w:lineRule="auto"/>
              <w:jc w:val="center"/>
            </w:pPr>
            <w:r>
              <w:rPr>
                <w:rFonts w:eastAsia="Times New Roman" w:cs="Times New Roman"/>
                <w:sz w:val="18"/>
                <w:szCs w:val="18"/>
              </w:rPr>
              <w:t>475.6%</w:t>
            </w:r>
          </w:p>
        </w:tc>
        <w:tc>
          <w:tcPr>
            <w:tcW w:w="1260" w:type="dxa"/>
            <w:tcMar>
              <w:top w:w="30" w:type="dxa"/>
              <w:left w:w="60" w:type="dxa"/>
              <w:bottom w:w="30" w:type="dxa"/>
              <w:right w:w="60" w:type="dxa"/>
            </w:tcMar>
          </w:tcPr>
          <w:p w14:paraId="0DC86F48" w14:textId="77777777" w:rsidR="00E05E66" w:rsidRDefault="00000000">
            <w:pPr>
              <w:spacing w:after="0" w:line="240" w:lineRule="auto"/>
              <w:jc w:val="center"/>
            </w:pPr>
            <w:r>
              <w:rPr>
                <w:rFonts w:eastAsia="Times New Roman" w:cs="Times New Roman"/>
                <w:sz w:val="18"/>
                <w:szCs w:val="18"/>
              </w:rPr>
              <w:t>Amplified</w:t>
            </w:r>
          </w:p>
        </w:tc>
      </w:tr>
      <w:tr w:rsidR="00E05E66" w14:paraId="26A412F1" w14:textId="77777777">
        <w:tc>
          <w:tcPr>
            <w:tcW w:w="2200" w:type="dxa"/>
            <w:tcMar>
              <w:top w:w="30" w:type="dxa"/>
              <w:left w:w="60" w:type="dxa"/>
              <w:bottom w:w="30" w:type="dxa"/>
              <w:right w:w="60" w:type="dxa"/>
            </w:tcMar>
          </w:tcPr>
          <w:p w14:paraId="0C964824" w14:textId="77777777" w:rsidR="00E05E66" w:rsidRDefault="00000000">
            <w:pPr>
              <w:spacing w:after="0" w:line="240" w:lineRule="auto"/>
            </w:pPr>
            <w:r>
              <w:rPr>
                <w:rFonts w:eastAsia="Times New Roman" w:cs="Times New Roman"/>
                <w:sz w:val="18"/>
                <w:szCs w:val="18"/>
              </w:rPr>
              <w:t>ln_pack_size***</w:t>
            </w:r>
          </w:p>
        </w:tc>
        <w:tc>
          <w:tcPr>
            <w:tcW w:w="1300" w:type="dxa"/>
            <w:tcMar>
              <w:top w:w="30" w:type="dxa"/>
              <w:left w:w="60" w:type="dxa"/>
              <w:bottom w:w="30" w:type="dxa"/>
              <w:right w:w="60" w:type="dxa"/>
            </w:tcMar>
          </w:tcPr>
          <w:p w14:paraId="7C5A33BD" w14:textId="77777777" w:rsidR="00E05E66" w:rsidRDefault="00000000">
            <w:pPr>
              <w:spacing w:after="0" w:line="240" w:lineRule="auto"/>
              <w:jc w:val="center"/>
            </w:pPr>
            <w:r>
              <w:rPr>
                <w:rFonts w:eastAsia="Times New Roman" w:cs="Times New Roman"/>
                <w:sz w:val="18"/>
                <w:szCs w:val="18"/>
              </w:rPr>
              <w:t>−0.384</w:t>
            </w:r>
          </w:p>
        </w:tc>
        <w:tc>
          <w:tcPr>
            <w:tcW w:w="1050" w:type="dxa"/>
            <w:tcMar>
              <w:top w:w="30" w:type="dxa"/>
              <w:left w:w="60" w:type="dxa"/>
              <w:bottom w:w="30" w:type="dxa"/>
              <w:right w:w="60" w:type="dxa"/>
            </w:tcMar>
          </w:tcPr>
          <w:p w14:paraId="2B7FCF60" w14:textId="77777777" w:rsidR="00E05E66" w:rsidRDefault="00000000">
            <w:pPr>
              <w:spacing w:after="0" w:line="240" w:lineRule="auto"/>
              <w:jc w:val="center"/>
            </w:pPr>
            <w:r>
              <w:rPr>
                <w:rFonts w:eastAsia="Times New Roman" w:cs="Times New Roman"/>
                <w:sz w:val="18"/>
                <w:szCs w:val="18"/>
              </w:rPr>
              <w:t>(0.044)</w:t>
            </w:r>
          </w:p>
        </w:tc>
        <w:tc>
          <w:tcPr>
            <w:tcW w:w="1300" w:type="dxa"/>
            <w:tcMar>
              <w:top w:w="30" w:type="dxa"/>
              <w:left w:w="60" w:type="dxa"/>
              <w:bottom w:w="30" w:type="dxa"/>
              <w:right w:w="60" w:type="dxa"/>
            </w:tcMar>
          </w:tcPr>
          <w:p w14:paraId="61435723" w14:textId="77777777" w:rsidR="00E05E66" w:rsidRDefault="00000000">
            <w:pPr>
              <w:spacing w:after="0" w:line="240" w:lineRule="auto"/>
              <w:jc w:val="center"/>
            </w:pPr>
            <w:r>
              <w:rPr>
                <w:rFonts w:eastAsia="Times New Roman" w:cs="Times New Roman"/>
                <w:sz w:val="18"/>
                <w:szCs w:val="18"/>
              </w:rPr>
              <w:t>−0.395</w:t>
            </w:r>
          </w:p>
        </w:tc>
        <w:tc>
          <w:tcPr>
            <w:tcW w:w="1050" w:type="dxa"/>
            <w:tcMar>
              <w:top w:w="30" w:type="dxa"/>
              <w:left w:w="60" w:type="dxa"/>
              <w:bottom w:w="30" w:type="dxa"/>
              <w:right w:w="60" w:type="dxa"/>
            </w:tcMar>
          </w:tcPr>
          <w:p w14:paraId="6F72BB92" w14:textId="77777777" w:rsidR="00E05E66" w:rsidRDefault="00000000">
            <w:pPr>
              <w:spacing w:after="0" w:line="240" w:lineRule="auto"/>
              <w:jc w:val="center"/>
            </w:pPr>
            <w:r>
              <w:rPr>
                <w:rFonts w:eastAsia="Times New Roman" w:cs="Times New Roman"/>
                <w:sz w:val="18"/>
                <w:szCs w:val="18"/>
              </w:rPr>
              <w:t>(0.045)</w:t>
            </w:r>
          </w:p>
        </w:tc>
        <w:tc>
          <w:tcPr>
            <w:tcW w:w="1200" w:type="dxa"/>
            <w:tcMar>
              <w:top w:w="30" w:type="dxa"/>
              <w:left w:w="60" w:type="dxa"/>
              <w:bottom w:w="30" w:type="dxa"/>
              <w:right w:w="60" w:type="dxa"/>
            </w:tcMar>
          </w:tcPr>
          <w:p w14:paraId="1F92B26C" w14:textId="77777777" w:rsidR="00E05E66" w:rsidRDefault="00000000">
            <w:pPr>
              <w:spacing w:after="0" w:line="240" w:lineRule="auto"/>
              <w:jc w:val="center"/>
            </w:pPr>
            <w:r>
              <w:rPr>
                <w:rFonts w:eastAsia="Times New Roman" w:cs="Times New Roman"/>
                <w:sz w:val="18"/>
                <w:szCs w:val="18"/>
              </w:rPr>
              <w:t>2.8%</w:t>
            </w:r>
          </w:p>
        </w:tc>
        <w:tc>
          <w:tcPr>
            <w:tcW w:w="1260" w:type="dxa"/>
            <w:tcMar>
              <w:top w:w="30" w:type="dxa"/>
              <w:left w:w="60" w:type="dxa"/>
              <w:bottom w:w="30" w:type="dxa"/>
              <w:right w:w="60" w:type="dxa"/>
            </w:tcMar>
          </w:tcPr>
          <w:p w14:paraId="59D39FBE" w14:textId="77777777" w:rsidR="00E05E66" w:rsidRDefault="00000000">
            <w:pPr>
              <w:spacing w:after="0" w:line="240" w:lineRule="auto"/>
              <w:jc w:val="center"/>
            </w:pPr>
            <w:r>
              <w:rPr>
                <w:rFonts w:eastAsia="Times New Roman" w:cs="Times New Roman"/>
                <w:sz w:val="18"/>
                <w:szCs w:val="18"/>
              </w:rPr>
              <w:t>Stable</w:t>
            </w:r>
          </w:p>
        </w:tc>
      </w:tr>
      <w:tr w:rsidR="00E05E66" w14:paraId="545CFA5F" w14:textId="77777777">
        <w:tc>
          <w:tcPr>
            <w:tcW w:w="2200" w:type="dxa"/>
            <w:tcMar>
              <w:top w:w="30" w:type="dxa"/>
              <w:left w:w="60" w:type="dxa"/>
              <w:bottom w:w="30" w:type="dxa"/>
              <w:right w:w="60" w:type="dxa"/>
            </w:tcMar>
          </w:tcPr>
          <w:p w14:paraId="7F7775FF" w14:textId="77777777" w:rsidR="00E05E66" w:rsidRDefault="00000000">
            <w:pPr>
              <w:spacing w:after="0" w:line="240" w:lineRule="auto"/>
            </w:pPr>
            <w:r>
              <w:rPr>
                <w:rFonts w:eastAsia="Times New Roman" w:cs="Times New Roman"/>
                <w:sz w:val="18"/>
                <w:szCs w:val="18"/>
              </w:rPr>
              <w:t>pack_count***</w:t>
            </w:r>
          </w:p>
        </w:tc>
        <w:tc>
          <w:tcPr>
            <w:tcW w:w="1300" w:type="dxa"/>
            <w:tcMar>
              <w:top w:w="30" w:type="dxa"/>
              <w:left w:w="60" w:type="dxa"/>
              <w:bottom w:w="30" w:type="dxa"/>
              <w:right w:w="60" w:type="dxa"/>
            </w:tcMar>
          </w:tcPr>
          <w:p w14:paraId="24F6BEA9" w14:textId="77777777" w:rsidR="00E05E66" w:rsidRDefault="00000000">
            <w:pPr>
              <w:spacing w:after="0" w:line="240" w:lineRule="auto"/>
              <w:jc w:val="center"/>
            </w:pPr>
            <w:r>
              <w:rPr>
                <w:rFonts w:eastAsia="Times New Roman" w:cs="Times New Roman"/>
                <w:sz w:val="18"/>
                <w:szCs w:val="18"/>
              </w:rPr>
              <w:t>−0.023</w:t>
            </w:r>
          </w:p>
        </w:tc>
        <w:tc>
          <w:tcPr>
            <w:tcW w:w="1050" w:type="dxa"/>
            <w:tcMar>
              <w:top w:w="30" w:type="dxa"/>
              <w:left w:w="60" w:type="dxa"/>
              <w:bottom w:w="30" w:type="dxa"/>
              <w:right w:w="60" w:type="dxa"/>
            </w:tcMar>
          </w:tcPr>
          <w:p w14:paraId="28FD1903" w14:textId="77777777" w:rsidR="00E05E66" w:rsidRDefault="00000000">
            <w:pPr>
              <w:spacing w:after="0" w:line="240" w:lineRule="auto"/>
              <w:jc w:val="center"/>
            </w:pPr>
            <w:r>
              <w:rPr>
                <w:rFonts w:eastAsia="Times New Roman" w:cs="Times New Roman"/>
                <w:sz w:val="18"/>
                <w:szCs w:val="18"/>
              </w:rPr>
              <w:t>(0.006)</w:t>
            </w:r>
          </w:p>
        </w:tc>
        <w:tc>
          <w:tcPr>
            <w:tcW w:w="1300" w:type="dxa"/>
            <w:tcMar>
              <w:top w:w="30" w:type="dxa"/>
              <w:left w:w="60" w:type="dxa"/>
              <w:bottom w:w="30" w:type="dxa"/>
              <w:right w:w="60" w:type="dxa"/>
            </w:tcMar>
          </w:tcPr>
          <w:p w14:paraId="10B543BC" w14:textId="77777777" w:rsidR="00E05E66" w:rsidRDefault="00000000">
            <w:pPr>
              <w:spacing w:after="0" w:line="240" w:lineRule="auto"/>
              <w:jc w:val="center"/>
            </w:pPr>
            <w:r>
              <w:rPr>
                <w:rFonts w:eastAsia="Times New Roman" w:cs="Times New Roman"/>
                <w:sz w:val="18"/>
                <w:szCs w:val="18"/>
              </w:rPr>
              <w:t>−0.022</w:t>
            </w:r>
          </w:p>
        </w:tc>
        <w:tc>
          <w:tcPr>
            <w:tcW w:w="1050" w:type="dxa"/>
            <w:tcMar>
              <w:top w:w="30" w:type="dxa"/>
              <w:left w:w="60" w:type="dxa"/>
              <w:bottom w:w="30" w:type="dxa"/>
              <w:right w:w="60" w:type="dxa"/>
            </w:tcMar>
          </w:tcPr>
          <w:p w14:paraId="14F44D41" w14:textId="77777777" w:rsidR="00E05E66" w:rsidRDefault="00000000">
            <w:pPr>
              <w:spacing w:after="0" w:line="240" w:lineRule="auto"/>
              <w:jc w:val="center"/>
            </w:pPr>
            <w:r>
              <w:rPr>
                <w:rFonts w:eastAsia="Times New Roman" w:cs="Times New Roman"/>
                <w:sz w:val="18"/>
                <w:szCs w:val="18"/>
              </w:rPr>
              <w:t>(0.006)</w:t>
            </w:r>
          </w:p>
        </w:tc>
        <w:tc>
          <w:tcPr>
            <w:tcW w:w="1200" w:type="dxa"/>
            <w:tcMar>
              <w:top w:w="30" w:type="dxa"/>
              <w:left w:w="60" w:type="dxa"/>
              <w:bottom w:w="30" w:type="dxa"/>
              <w:right w:w="60" w:type="dxa"/>
            </w:tcMar>
          </w:tcPr>
          <w:p w14:paraId="7B4474CD" w14:textId="77777777" w:rsidR="00E05E66" w:rsidRDefault="00000000">
            <w:pPr>
              <w:spacing w:after="0" w:line="240" w:lineRule="auto"/>
              <w:jc w:val="center"/>
            </w:pPr>
            <w:r>
              <w:rPr>
                <w:rFonts w:eastAsia="Times New Roman" w:cs="Times New Roman"/>
                <w:sz w:val="18"/>
                <w:szCs w:val="18"/>
              </w:rPr>
              <w:t>−4.8%</w:t>
            </w:r>
          </w:p>
        </w:tc>
        <w:tc>
          <w:tcPr>
            <w:tcW w:w="1260" w:type="dxa"/>
            <w:tcMar>
              <w:top w:w="30" w:type="dxa"/>
              <w:left w:w="60" w:type="dxa"/>
              <w:bottom w:w="30" w:type="dxa"/>
              <w:right w:w="60" w:type="dxa"/>
            </w:tcMar>
          </w:tcPr>
          <w:p w14:paraId="0C41D38A" w14:textId="77777777" w:rsidR="00E05E66" w:rsidRDefault="00000000">
            <w:pPr>
              <w:spacing w:after="0" w:line="240" w:lineRule="auto"/>
              <w:jc w:val="center"/>
            </w:pPr>
            <w:r>
              <w:rPr>
                <w:rFonts w:eastAsia="Times New Roman" w:cs="Times New Roman"/>
                <w:sz w:val="18"/>
                <w:szCs w:val="18"/>
              </w:rPr>
              <w:t>Stable</w:t>
            </w:r>
          </w:p>
        </w:tc>
      </w:tr>
      <w:tr w:rsidR="00E05E66" w14:paraId="491A40F2" w14:textId="77777777">
        <w:tc>
          <w:tcPr>
            <w:tcW w:w="2200" w:type="dxa"/>
            <w:tcMar>
              <w:top w:w="30" w:type="dxa"/>
              <w:left w:w="60" w:type="dxa"/>
              <w:bottom w:w="30" w:type="dxa"/>
              <w:right w:w="60" w:type="dxa"/>
            </w:tcMar>
          </w:tcPr>
          <w:p w14:paraId="0DFDF2EB" w14:textId="77777777" w:rsidR="00E05E66" w:rsidRDefault="00000000">
            <w:pPr>
              <w:spacing w:after="0" w:line="240" w:lineRule="auto"/>
            </w:pPr>
            <w:r>
              <w:rPr>
                <w:rFonts w:eastAsia="Times New Roman" w:cs="Times New Roman"/>
                <w:sz w:val="18"/>
                <w:szCs w:val="18"/>
              </w:rPr>
              <w:t>has_health_claim</w:t>
            </w:r>
          </w:p>
        </w:tc>
        <w:tc>
          <w:tcPr>
            <w:tcW w:w="1300" w:type="dxa"/>
            <w:tcMar>
              <w:top w:w="30" w:type="dxa"/>
              <w:left w:w="60" w:type="dxa"/>
              <w:bottom w:w="30" w:type="dxa"/>
              <w:right w:w="60" w:type="dxa"/>
            </w:tcMar>
          </w:tcPr>
          <w:p w14:paraId="625CE421" w14:textId="77777777" w:rsidR="00E05E66" w:rsidRDefault="00000000">
            <w:pPr>
              <w:spacing w:after="0" w:line="240" w:lineRule="auto"/>
              <w:jc w:val="center"/>
            </w:pPr>
            <w:r>
              <w:rPr>
                <w:rFonts w:eastAsia="Times New Roman" w:cs="Times New Roman"/>
                <w:sz w:val="18"/>
                <w:szCs w:val="18"/>
              </w:rPr>
              <w:t>−0.034</w:t>
            </w:r>
          </w:p>
        </w:tc>
        <w:tc>
          <w:tcPr>
            <w:tcW w:w="1050" w:type="dxa"/>
            <w:tcMar>
              <w:top w:w="30" w:type="dxa"/>
              <w:left w:w="60" w:type="dxa"/>
              <w:bottom w:w="30" w:type="dxa"/>
              <w:right w:w="60" w:type="dxa"/>
            </w:tcMar>
          </w:tcPr>
          <w:p w14:paraId="20A8C020" w14:textId="77777777" w:rsidR="00E05E66" w:rsidRDefault="00000000">
            <w:pPr>
              <w:spacing w:after="0" w:line="240" w:lineRule="auto"/>
              <w:jc w:val="center"/>
            </w:pPr>
            <w:r>
              <w:rPr>
                <w:rFonts w:eastAsia="Times New Roman" w:cs="Times New Roman"/>
                <w:sz w:val="18"/>
                <w:szCs w:val="18"/>
              </w:rPr>
              <w:t>(0.127)</w:t>
            </w:r>
          </w:p>
        </w:tc>
        <w:tc>
          <w:tcPr>
            <w:tcW w:w="1300" w:type="dxa"/>
            <w:tcMar>
              <w:top w:w="30" w:type="dxa"/>
              <w:left w:w="60" w:type="dxa"/>
              <w:bottom w:w="30" w:type="dxa"/>
              <w:right w:w="60" w:type="dxa"/>
            </w:tcMar>
          </w:tcPr>
          <w:p w14:paraId="04DF41F4" w14:textId="77777777" w:rsidR="00E05E66" w:rsidRDefault="00000000">
            <w:pPr>
              <w:spacing w:after="0" w:line="240" w:lineRule="auto"/>
              <w:jc w:val="center"/>
            </w:pPr>
            <w:r>
              <w:rPr>
                <w:rFonts w:eastAsia="Times New Roman" w:cs="Times New Roman"/>
                <w:sz w:val="18"/>
                <w:szCs w:val="18"/>
              </w:rPr>
              <w:t>−0.030</w:t>
            </w:r>
          </w:p>
        </w:tc>
        <w:tc>
          <w:tcPr>
            <w:tcW w:w="1050" w:type="dxa"/>
            <w:tcMar>
              <w:top w:w="30" w:type="dxa"/>
              <w:left w:w="60" w:type="dxa"/>
              <w:bottom w:w="30" w:type="dxa"/>
              <w:right w:w="60" w:type="dxa"/>
            </w:tcMar>
          </w:tcPr>
          <w:p w14:paraId="03F1D535" w14:textId="77777777" w:rsidR="00E05E66" w:rsidRDefault="00000000">
            <w:pPr>
              <w:spacing w:after="0" w:line="240" w:lineRule="auto"/>
              <w:jc w:val="center"/>
            </w:pPr>
            <w:r>
              <w:rPr>
                <w:rFonts w:eastAsia="Times New Roman" w:cs="Times New Roman"/>
                <w:sz w:val="18"/>
                <w:szCs w:val="18"/>
              </w:rPr>
              <w:t>(0.135)</w:t>
            </w:r>
          </w:p>
        </w:tc>
        <w:tc>
          <w:tcPr>
            <w:tcW w:w="1200" w:type="dxa"/>
            <w:tcMar>
              <w:top w:w="30" w:type="dxa"/>
              <w:left w:w="60" w:type="dxa"/>
              <w:bottom w:w="30" w:type="dxa"/>
              <w:right w:w="60" w:type="dxa"/>
            </w:tcMar>
          </w:tcPr>
          <w:p w14:paraId="6F8D0221" w14:textId="77777777" w:rsidR="00E05E66" w:rsidRDefault="00000000">
            <w:pPr>
              <w:spacing w:after="0" w:line="240" w:lineRule="auto"/>
              <w:jc w:val="center"/>
            </w:pPr>
            <w:r>
              <w:rPr>
                <w:rFonts w:eastAsia="Times New Roman" w:cs="Times New Roman"/>
                <w:sz w:val="18"/>
                <w:szCs w:val="18"/>
              </w:rPr>
              <w:t>−13.3%</w:t>
            </w:r>
          </w:p>
        </w:tc>
        <w:tc>
          <w:tcPr>
            <w:tcW w:w="1260" w:type="dxa"/>
            <w:tcMar>
              <w:top w:w="30" w:type="dxa"/>
              <w:left w:w="60" w:type="dxa"/>
              <w:bottom w:w="30" w:type="dxa"/>
              <w:right w:w="60" w:type="dxa"/>
            </w:tcMar>
          </w:tcPr>
          <w:p w14:paraId="0F97AED1" w14:textId="77777777" w:rsidR="00E05E66" w:rsidRDefault="00000000">
            <w:pPr>
              <w:spacing w:after="0" w:line="240" w:lineRule="auto"/>
              <w:jc w:val="center"/>
            </w:pPr>
            <w:r>
              <w:rPr>
                <w:rFonts w:eastAsia="Times New Roman" w:cs="Times New Roman"/>
                <w:sz w:val="18"/>
                <w:szCs w:val="18"/>
              </w:rPr>
              <w:t>Stable</w:t>
            </w:r>
          </w:p>
        </w:tc>
      </w:tr>
      <w:tr w:rsidR="00E05E66" w14:paraId="35F29FD9" w14:textId="77777777">
        <w:tc>
          <w:tcPr>
            <w:tcW w:w="2200" w:type="dxa"/>
            <w:tcBorders>
              <w:bottom w:val="single" w:sz="1" w:space="0" w:color="000000"/>
            </w:tcBorders>
            <w:tcMar>
              <w:top w:w="30" w:type="dxa"/>
              <w:left w:w="60" w:type="dxa"/>
              <w:bottom w:w="30" w:type="dxa"/>
              <w:right w:w="60" w:type="dxa"/>
            </w:tcMar>
          </w:tcPr>
          <w:p w14:paraId="0F3A6686" w14:textId="77777777" w:rsidR="00E05E66" w:rsidRDefault="00000000">
            <w:pPr>
              <w:spacing w:after="0" w:line="240" w:lineRule="auto"/>
            </w:pPr>
            <w:r>
              <w:rPr>
                <w:rFonts w:eastAsia="Times New Roman" w:cs="Times New Roman"/>
                <w:sz w:val="18"/>
                <w:szCs w:val="18"/>
              </w:rPr>
              <w:t>has_freshness_clai</w:t>
              <w:lastRenderedPageBreak/>
              <w:t>m</w:t>
            </w:r>
          </w:p>
        </w:tc>
        <w:tc>
          <w:tcPr>
            <w:tcW w:w="1300" w:type="dxa"/>
            <w:tcBorders>
              <w:bottom w:val="single" w:sz="1" w:space="0" w:color="000000"/>
            </w:tcBorders>
            <w:tcMar>
              <w:top w:w="30" w:type="dxa"/>
              <w:left w:w="60" w:type="dxa"/>
              <w:bottom w:w="30" w:type="dxa"/>
              <w:right w:w="60" w:type="dxa"/>
            </w:tcMar>
          </w:tcPr>
          <w:p w14:paraId="4E7BD7A7" w14:textId="77777777" w:rsidR="00E05E66" w:rsidRDefault="00000000">
            <w:pPr>
              <w:spacing w:after="0" w:line="240" w:lineRule="auto"/>
              <w:jc w:val="center"/>
            </w:pPr>
            <w:r>
              <w:rPr>
                <w:rFonts w:eastAsia="Times New Roman" w:cs="Times New Roman"/>
                <w:sz w:val="18"/>
                <w:szCs w:val="18"/>
              </w:rPr>
              <w:lastRenderedPageBreak/>
              <w:t>−0.05</w:t>
              <w:lastRenderedPageBreak/>
              <w:t>1</w:t>
            </w:r>
          </w:p>
        </w:tc>
        <w:tc>
          <w:tcPr>
            <w:tcW w:w="1050" w:type="dxa"/>
            <w:tcBorders>
              <w:bottom w:val="single" w:sz="1" w:space="0" w:color="000000"/>
            </w:tcBorders>
            <w:tcMar>
              <w:top w:w="30" w:type="dxa"/>
              <w:left w:w="60" w:type="dxa"/>
              <w:bottom w:w="30" w:type="dxa"/>
              <w:right w:w="60" w:type="dxa"/>
            </w:tcMar>
          </w:tcPr>
          <w:p w14:paraId="000D0B9F" w14:textId="77777777" w:rsidR="00E05E66" w:rsidRDefault="00000000">
            <w:pPr>
              <w:spacing w:after="0" w:line="240" w:lineRule="auto"/>
              <w:jc w:val="center"/>
            </w:pPr>
            <w:r>
              <w:rPr>
                <w:rFonts w:eastAsia="Times New Roman" w:cs="Times New Roman"/>
                <w:sz w:val="18"/>
                <w:szCs w:val="18"/>
              </w:rPr>
              <w:lastRenderedPageBreak/>
              <w:t>(0.</w:t>
              <w:lastRenderedPageBreak/>
              <w:t>073)</w:t>
            </w:r>
          </w:p>
        </w:tc>
        <w:tc>
          <w:tcPr>
            <w:tcW w:w="1300" w:type="dxa"/>
            <w:tcBorders>
              <w:bottom w:val="single" w:sz="1" w:space="0" w:color="000000"/>
            </w:tcBorders>
            <w:tcMar>
              <w:top w:w="30" w:type="dxa"/>
              <w:left w:w="60" w:type="dxa"/>
              <w:bottom w:w="30" w:type="dxa"/>
              <w:right w:w="60" w:type="dxa"/>
            </w:tcMar>
          </w:tcPr>
          <w:p w14:paraId="0F838019" w14:textId="77777777" w:rsidR="00E05E66" w:rsidRDefault="00000000">
            <w:pPr>
              <w:spacing w:after="0" w:line="240" w:lineRule="auto"/>
              <w:jc w:val="center"/>
            </w:pPr>
            <w:r>
              <w:rPr>
                <w:rFonts w:eastAsia="Times New Roman" w:cs="Times New Roman"/>
                <w:sz w:val="18"/>
                <w:szCs w:val="18"/>
              </w:rPr>
              <w:lastRenderedPageBreak/>
              <w:t>−0.05</w:t>
              <w:lastRenderedPageBreak/>
              <w:t>8</w:t>
            </w:r>
          </w:p>
        </w:tc>
        <w:tc>
          <w:tcPr>
            <w:tcW w:w="1050" w:type="dxa"/>
            <w:tcBorders>
              <w:bottom w:val="single" w:sz="1" w:space="0" w:color="000000"/>
            </w:tcBorders>
            <w:tcMar>
              <w:top w:w="30" w:type="dxa"/>
              <w:left w:w="60" w:type="dxa"/>
              <w:bottom w:w="30" w:type="dxa"/>
              <w:right w:w="60" w:type="dxa"/>
            </w:tcMar>
          </w:tcPr>
          <w:p w14:paraId="42D5EE70" w14:textId="77777777" w:rsidR="00E05E66" w:rsidRDefault="00000000">
            <w:pPr>
              <w:spacing w:after="0" w:line="240" w:lineRule="auto"/>
              <w:jc w:val="center"/>
            </w:pPr>
            <w:r>
              <w:rPr>
                <w:rFonts w:eastAsia="Times New Roman" w:cs="Times New Roman"/>
                <w:sz w:val="18"/>
                <w:szCs w:val="18"/>
              </w:rPr>
              <w:lastRenderedPageBreak/>
              <w:t>(0.</w:t>
              <w:lastRenderedPageBreak/>
              <w:t>073)</w:t>
            </w:r>
          </w:p>
        </w:tc>
        <w:tc>
          <w:tcPr>
            <w:tcW w:w="1200" w:type="dxa"/>
            <w:tcBorders>
              <w:bottom w:val="single" w:sz="1" w:space="0" w:color="000000"/>
            </w:tcBorders>
            <w:tcMar>
              <w:top w:w="30" w:type="dxa"/>
              <w:left w:w="60" w:type="dxa"/>
              <w:bottom w:w="30" w:type="dxa"/>
              <w:right w:w="60" w:type="dxa"/>
            </w:tcMar>
          </w:tcPr>
          <w:p w14:paraId="24291E64" w14:textId="77777777" w:rsidR="00E05E66" w:rsidRDefault="00000000">
            <w:pPr>
              <w:spacing w:after="0" w:line="240" w:lineRule="auto"/>
              <w:jc w:val="center"/>
            </w:pPr>
            <w:r>
              <w:rPr>
                <w:rFonts w:eastAsia="Times New Roman" w:cs="Times New Roman"/>
                <w:sz w:val="18"/>
                <w:szCs w:val="18"/>
              </w:rPr>
              <w:lastRenderedPageBreak/>
              <w:t>12.3</w:t>
              <w:lastRenderedPageBreak/>
              <w:t>%</w:t>
            </w:r>
          </w:p>
        </w:tc>
        <w:tc>
          <w:tcPr>
            <w:tcW w:w="1260" w:type="dxa"/>
            <w:tcBorders>
              <w:bottom w:val="single" w:sz="1" w:space="0" w:color="000000"/>
            </w:tcBorders>
            <w:tcMar>
              <w:top w:w="30" w:type="dxa"/>
              <w:left w:w="60" w:type="dxa"/>
              <w:bottom w:w="30" w:type="dxa"/>
              <w:right w:w="60" w:type="dxa"/>
            </w:tcMar>
          </w:tcPr>
          <w:p w14:paraId="587FB293" w14:textId="77777777" w:rsidR="00E05E66" w:rsidRDefault="00000000">
            <w:pPr>
              <w:spacing w:after="0" w:line="240" w:lineRule="auto"/>
              <w:jc w:val="center"/>
            </w:pPr>
            <w:r>
              <w:rPr>
                <w:rFonts w:eastAsia="Times New Roman" w:cs="Times New Roman"/>
                <w:sz w:val="18"/>
                <w:szCs w:val="18"/>
              </w:rPr>
              <w:lastRenderedPageBreak/>
              <w:t>Sligh</w:t>
              <w:lastRenderedPageBreak/>
              <w:t>t</w:t>
            </w:r>
          </w:p>
        </w:tc>
      </w:tr>
      <w:tr w:rsidR="00E05E66" w14:paraId="176980E6" w14:textId="77777777">
        <w:tc>
          <w:tcPr>
            <w:tcW w:w="2200" w:type="dxa"/>
            <w:tcBorders>
              <w:top w:val="single" w:sz="1" w:space="0" w:color="000000"/>
              <w:bottom w:val="single" w:sz="1" w:space="0" w:color="000000"/>
            </w:tcBorders>
            <w:tcMar>
              <w:top w:w="30" w:type="dxa"/>
              <w:left w:w="60" w:type="dxa"/>
              <w:bottom w:w="30" w:type="dxa"/>
              <w:right w:w="60" w:type="dxa"/>
            </w:tcMar>
          </w:tcPr>
          <w:p w14:paraId="37EB17A2" w14:textId="77777777" w:rsidR="00E05E66" w:rsidRDefault="00000000">
            <w:pPr>
              <w:spacing w:after="0" w:line="240" w:lineRule="auto"/>
            </w:pPr>
            <w:r>
              <w:rPr>
                <w:rFonts w:eastAsia="Times New Roman" w:cs="Times New Roman"/>
                <w:b/>
                <w:bCs/>
                <w:sz w:val="18"/>
                <w:szCs w:val="18"/>
              </w:rPr>
              <w:lastRenderedPageBreak/>
              <w:t>Adj. R²</w:t>
            </w:r>
          </w:p>
        </w:tc>
        <w:tc>
          <w:tcPr>
            <w:tcW w:w="1300" w:type="dxa"/>
            <w:tcBorders>
              <w:top w:val="single" w:sz="1" w:space="0" w:color="000000"/>
              <w:bottom w:val="single" w:sz="1" w:space="0" w:color="000000"/>
            </w:tcBorders>
            <w:tcMar>
              <w:top w:w="30" w:type="dxa"/>
              <w:left w:w="60" w:type="dxa"/>
              <w:bottom w:w="30" w:type="dxa"/>
              <w:right w:w="60" w:type="dxa"/>
            </w:tcMar>
          </w:tcPr>
          <w:p w14:paraId="50F6667C" w14:textId="77777777" w:rsidR="00E05E66" w:rsidRDefault="00000000">
            <w:pPr>
              <w:spacing w:after="0" w:line="240" w:lineRule="auto"/>
              <w:jc w:val="center"/>
            </w:pPr>
            <w:r>
              <w:rPr>
                <w:rFonts w:eastAsia="Times New Roman" w:cs="Times New Roman"/>
                <w:sz w:val="18"/>
                <w:szCs w:val="18"/>
              </w:rPr>
              <w:t>0.639</w:t>
            </w:r>
          </w:p>
        </w:tc>
        <w:tc>
          <w:tcPr>
            <w:tcW w:w="1050" w:type="dxa"/>
            <w:tcBorders>
              <w:top w:val="single" w:sz="1" w:space="0" w:color="000000"/>
              <w:bottom w:val="single" w:sz="1" w:space="0" w:color="000000"/>
            </w:tcBorders>
            <w:tcMar>
              <w:top w:w="30" w:type="dxa"/>
              <w:left w:w="60" w:type="dxa"/>
              <w:bottom w:w="30" w:type="dxa"/>
              <w:right w:w="60" w:type="dxa"/>
            </w:tcMar>
          </w:tcPr>
          <w:p w14:paraId="17C68B93" w14:textId="77777777" w:rsidR="00E05E66" w:rsidRDefault="00E05E66">
            <w:pPr>
              <w:spacing w:after="0" w:line="240" w:lineRule="auto"/>
            </w:pPr>
          </w:p>
        </w:tc>
        <w:tc>
          <w:tcPr>
            <w:tcW w:w="1300" w:type="dxa"/>
            <w:tcBorders>
              <w:top w:val="single" w:sz="1" w:space="0" w:color="000000"/>
              <w:bottom w:val="single" w:sz="1" w:space="0" w:color="000000"/>
            </w:tcBorders>
            <w:tcMar>
              <w:top w:w="30" w:type="dxa"/>
              <w:left w:w="60" w:type="dxa"/>
              <w:bottom w:w="30" w:type="dxa"/>
              <w:right w:w="60" w:type="dxa"/>
            </w:tcMar>
          </w:tcPr>
          <w:p w14:paraId="36E548CA" w14:textId="77777777" w:rsidR="00E05E66" w:rsidRDefault="00000000">
            <w:pPr>
              <w:spacing w:after="0" w:line="240" w:lineRule="auto"/>
              <w:jc w:val="center"/>
            </w:pPr>
            <w:r>
              <w:rPr>
                <w:rFonts w:eastAsia="Times New Roman" w:cs="Times New Roman"/>
                <w:sz w:val="18"/>
                <w:szCs w:val="18"/>
              </w:rPr>
              <w:t>0.642</w:t>
            </w:r>
          </w:p>
        </w:tc>
        <w:tc>
          <w:tcPr>
            <w:tcW w:w="1050" w:type="dxa"/>
            <w:tcBorders>
              <w:top w:val="single" w:sz="1" w:space="0" w:color="000000"/>
              <w:bottom w:val="single" w:sz="1" w:space="0" w:color="000000"/>
            </w:tcBorders>
            <w:tcMar>
              <w:top w:w="30" w:type="dxa"/>
              <w:left w:w="60" w:type="dxa"/>
              <w:bottom w:w="30" w:type="dxa"/>
              <w:right w:w="60" w:type="dxa"/>
            </w:tcMar>
          </w:tcPr>
          <w:p w14:paraId="152644AD" w14:textId="77777777" w:rsidR="00E05E66" w:rsidRDefault="00E05E66">
            <w:pPr>
              <w:spacing w:after="0" w:line="240" w:lineRule="auto"/>
            </w:pPr>
          </w:p>
        </w:tc>
        <w:tc>
          <w:tcPr>
            <w:tcW w:w="1200" w:type="dxa"/>
            <w:tcBorders>
              <w:top w:val="single" w:sz="1" w:space="0" w:color="000000"/>
              <w:bottom w:val="single" w:sz="1" w:space="0" w:color="000000"/>
            </w:tcBorders>
            <w:tcMar>
              <w:top w:w="30" w:type="dxa"/>
              <w:left w:w="60" w:type="dxa"/>
              <w:bottom w:w="30" w:type="dxa"/>
              <w:right w:w="60" w:type="dxa"/>
            </w:tcMar>
          </w:tcPr>
          <w:p w14:paraId="78256BC6" w14:textId="77777777" w:rsidR="00E05E66" w:rsidRDefault="00E05E66">
            <w:pPr>
              <w:spacing w:after="0" w:line="240" w:lineRule="auto"/>
            </w:pPr>
          </w:p>
        </w:tc>
        <w:tc>
          <w:tcPr>
            <w:tcW w:w="1260" w:type="dxa"/>
            <w:tcBorders>
              <w:top w:val="single" w:sz="1" w:space="0" w:color="000000"/>
              <w:bottom w:val="single" w:sz="1" w:space="0" w:color="000000"/>
            </w:tcBorders>
            <w:tcMar>
              <w:top w:w="30" w:type="dxa"/>
              <w:left w:w="60" w:type="dxa"/>
              <w:bottom w:w="30" w:type="dxa"/>
              <w:right w:w="60" w:type="dxa"/>
            </w:tcMar>
          </w:tcPr>
          <w:p w14:paraId="4EA47D58" w14:textId="77777777" w:rsidR="00E05E66" w:rsidRDefault="00E05E66">
            <w:pPr>
              <w:spacing w:after="0" w:line="240" w:lineRule="auto"/>
            </w:pPr>
          </w:p>
        </w:tc>
      </w:tr>
    </w:tbl>
    <w:p w14:paraId="4582A88F" w14:textId="77777777" w:rsidR="00E05E66" w:rsidRDefault="00000000">
      <w:pPr>
        <w:spacing w:before="60" w:after="200"/>
      </w:pPr>
      <w:r>
        <w:rPr>
          <w:rFonts w:eastAsia="Times New Roman" w:cs="Times New Roman"/>
          <w:i/>
          <w:iCs/>
          <w:sz w:val="18"/>
          <w:szCs w:val="18"/>
        </w:rPr>
        <w:t>Note: *** p &lt; 0.001. Cluster-robust standard errors (40 subcategories) in parentheses. Erosion = (β_marked − β_final) / β_marked × 100. Positive erosion = premium shrinks at checkout. N = 2,203 products.</w:t>
      </w:r>
    </w:p>
    <w:p w14:paraId="408947D9" w14:textId="77777777" w:rsidR="00E05E66" w:rsidRDefault="00000000">
      <w:pPr>
        <w:pStyle w:val="Heading2"/>
        <w:spacing w:before="360" w:after="180"/>
      </w:pPr>
      <w:r>
        <w:rPr>
          <w:rFonts w:ascii="Times New Roman" w:eastAsia="Times New Roman" w:hAnsi="Times New Roman" w:cs="Times New Roman"/>
          <w:sz w:val="26"/>
        </w:rPr>
        <w:t>4.1 Data Source, Collection, and Single-Retailer Design</w:t>
      </w:r>
    </w:p>
    <w:p w14:paraId="6D9617C3" w14:textId="77777777" w:rsidR="00E05E66" w:rsidRDefault="00000000">
      <w:pPr>
        <w:jc w:val="both"/>
      </w:pPr>
      <w:r>
        <w:rPr>
          <w:rFonts w:eastAsia="Times New Roman" w:cs="Times New Roman"/>
          <w:sz w:val="24"/>
          <w:szCs w:val="24"/>
        </w:rPr>
        <w:t>The empirical data for this study are drawn from Winmart.vn, the online grocery platform operated by Masan Group. Winmart is Vietnam’s largest modern grocery chain by store count (WinCommerce, 2025) and occupies a mid-market position within the country’s modern trade segment. Its online catalog functions as a publicly accessible, structured price archive that lends itself to automated collection, and its product assortment spans branded, imported, and private-label food items across all major food categories.</w:t>
      </w:r>
    </w:p>
    <w:p w14:paraId="321A7C11" w14:textId="77777777" w:rsidR="00E05E66" w:rsidRDefault="00000000">
      <w:pPr>
        <w:jc w:val="both"/>
      </w:pPr>
      <w:r>
        <w:rPr>
          <w:rFonts w:eastAsia="Times New Roman" w:cs="Times New Roman"/>
          <w:sz w:val="24"/>
          <w:szCs w:val="24"/>
        </w:rPr>
        <w:t>Data collection relies on a fully automated scraping architecture comprising fifteen robots, each triggered daily through HTTP PUT requests to a local orchestration server. Every robot is assigned to exactly one parent category and scrapes that category’s and captures the complete product listing in JSON format. The raw JSON files are downloaded from the API server, deduplicated so that only the last successful run of each calendar date is retained, and then converted into a standardized CSV format. Each observation records the product name, unit of sale, final price (the checkout price after all applied promotions), marked price (the sticker or shelf price before promotions), the product URL, a scrape timestamp, and a run identifier.</w:t>
      </w:r>
    </w:p>
    <w:p w14:paraId="3D166521" w14:textId="77777777" w:rsidR="00E05E66" w:rsidRDefault="00000000">
      <w:pPr>
        <w:jc w:val="both"/>
      </w:pPr>
      <w:r>
        <w:rPr>
          <w:rFonts w:eastAsia="Times New Roman" w:cs="Times New Roman"/>
          <w:sz w:val="24"/>
          <w:szCs w:val="24"/>
        </w:rPr>
        <w:t xml:space="preserve">The resulting dataset covers ten food parent categories, forty subcategories, and 2,286 unique products observed over eighty-eight days from December 18, 2025 to March 15, 2026. All prices are denominated in Vietnamese Dong. The ten parent categories, with product counts, are Dairy (n = 346), Fresh Produce (n = 254), Dry Food (n = 182), Instant Food (n = 228), Processed Food (n = 173), Frozen (n = 137), Eggs and Tofu (n = 24), Confectionary (n = 583), Spices (n = 300), and Baby Products (n = 58). Baby Products are retained in the sample for a single reason: the "infant formula" subcategory (Sữa Bột-Dinh Dưỡng, n = 34 in the regression sample) is a shelf-stable powdered-milk product that competes directly with adult dairy powders and qualifies as food under the GSO CPI food </w:t>
        <w:lastRenderedPageBreak/>
        <w:t>basket. The non-food Baby Products subcategories (diapers, bath and hair products) are excluded from all food-related analyses.</w:t>
      </w:r>
    </w:p>
    <w:p w14:paraId="1F326B5F" w14:textId="77777777" w:rsidR="00E05E66" w:rsidRDefault="00000000">
      <w:pPr>
        <w:jc w:val="both"/>
      </w:pPr>
      <w:r>
        <w:rPr>
          <w:rFonts w:eastAsia="Times New Roman" w:cs="Times New Roman"/>
          <w:sz w:val="24"/>
          <w:szCs w:val="24"/>
        </w:rPr>
        <w:t>Every observation carries both a marked price and a final price (see Section 3.3 for the definition and theoretical role of the dual-price structure); this is the raw material for the promotional erosion analysis in Section 4.6.</w:t>
      </w:r>
    </w:p>
    <w:p w14:paraId="6C4DE0D1" w14:textId="77777777" w:rsidR="00E05E66" w:rsidRDefault="00000000">
      <w:pPr>
        <w:jc w:val="both"/>
      </w:pPr>
      <w:r>
        <w:rPr>
          <w:rFonts w:eastAsia="Times New Roman" w:cs="Times New Roman"/>
          <w:sz w:val="24"/>
          <w:szCs w:val="24"/>
        </w:rPr>
        <w:t>The single-retailer design, and the reasons it is preferred for this analysis, are set out in Section 3.3. The external validity constraint that accompanies the choice is discussed in Section 5.3.</w:t>
      </w:r>
    </w:p>
    <w:p w14:paraId="02B6B2CE" w14:textId="77777777" w:rsidR="00E05E66" w:rsidRDefault="00000000">
      <w:pPr>
        <w:pStyle w:val="Heading2"/>
        <w:spacing w:before="360" w:after="180"/>
      </w:pPr>
      <w:r>
        <w:rPr>
          <w:rFonts w:ascii="Times New Roman" w:eastAsia="Times New Roman" w:hAnsi="Times New Roman" w:cs="Times New Roman"/>
          <w:sz w:val="26"/>
        </w:rPr>
        <w:t>4.2 Data Limitations and Coverage</w:t>
      </w:r>
    </w:p>
    <w:p w14:paraId="35F64C7F" w14:textId="77777777" w:rsidR="00E05E66" w:rsidRDefault="00000000">
      <w:pPr>
        <w:jc w:val="both"/>
      </w:pPr>
      <w:r>
        <w:rPr>
          <w:rFonts w:eastAsia="Times New Roman" w:cs="Times New Roman"/>
          <w:sz w:val="24"/>
          <w:szCs w:val="24"/>
        </w:rPr>
        <w:t>The dataset assembled for this thesis exhibits specific coverage limitations. Some categories are observed continuously across the full eighty-eight-day window; others were added mid-way, or lost coverage during the Tết holiday, or are too thin for category-level inference. Before presenting the regression results, this section sets out those gaps plainly, so that the reader can see which findings rest on complete coverage and which should be read as conditional on the data that was actually recoverable.</w:t>
      </w:r>
    </w:p>
    <w:p w14:paraId="44E17ECD" w14:textId="77777777" w:rsidR="00E05E66" w:rsidRDefault="00000000">
      <w:pPr>
        <w:jc w:val="both"/>
      </w:pPr>
      <w:r>
        <w:rPr>
          <w:rFonts w:eastAsia="Times New Roman" w:cs="Times New Roman"/>
          <w:b/>
          <w:bCs/>
          <w:sz w:val="24"/>
          <w:szCs w:val="24"/>
        </w:rPr>
        <w:t>Tết-window coverage gaps.</w:t>
      </w:r>
      <w:r>
        <w:rPr>
          <w:rFonts w:eastAsia="Times New Roman" w:cs="Times New Roman"/>
          <w:sz w:val="24"/>
          <w:szCs w:val="24"/>
        </w:rPr>
        <w:t xml:space="preserve"> Two of the most Tết-sensitive categories in the sample have incomplete coverage over the holiday window. The Confectionary scraping robot was not part of the initial configuration and was added on February 2, 2026, forty-six days after the base date, so the entire pre-Tết surge window for that category is unobserved; Confectionary is therefore excluded from all temporal analyses that span the full December to March window, and the days-observed variable absorbs its shorter observation window (roughly fifty days versus eighty-eight) in the cross-sectional regressions. The Instant Food category has a continuous eighteen-day gap from January 31 to February 18, 2026, which coincides almost exactly with the period in which a Tết-driven price spike would be expected; the chain-linked Jevons index bridges January 31 directly to February 18, but whatever happened in between is unobserved, and no claims about Tết-period pricing dynamics are made for this category. Three of the four Instant Food subcategories also have no data in the first ten days of the overall window.</w:t>
      </w:r>
    </w:p>
    <w:p w14:paraId="19CA6713" w14:textId="77777777" w:rsidR="00E05E66" w:rsidRDefault="00000000">
      <w:pPr>
        <w:jc w:val="both"/>
      </w:pPr>
      <w:r>
        <w:rPr>
          <w:rFonts w:eastAsia="Times New Roman" w:cs="Times New Roman"/>
          <w:b/>
          <w:bCs/>
          <w:sz w:val="24"/>
          <w:szCs w:val="24"/>
        </w:rPr>
        <w:lastRenderedPageBreak/>
        <w:t>What can and cannot be said about Tết.</w:t>
      </w:r>
      <w:r>
        <w:rPr>
          <w:rFonts w:eastAsia="Times New Roman" w:cs="Times New Roman"/>
          <w:sz w:val="24"/>
          <w:szCs w:val="24"/>
        </w:rPr>
        <w:t xml:space="preserve"> Because the two categories most affected by Tết are also the two with the most incomplete data, a formal event study of Tết pricing would need to drop the very observations it most needs, and is therefore not attempted here. What the chapter does show is the aggregate behavior of the Jevons indices through the Tết window using the categories that remain continuously observed (Dairy, Spices, Processed Food, Frozen, Eggs and Tofu, Fresh Produce, Dry Food, and Baby Products) and the cross-sectional hedonic estimates pooled across the window. The descriptive reading of Tết as a stocking-and-pullback event is developed as contextual background in Section 5.1 rather than as a statistical test.</w:t>
      </w:r>
    </w:p>
    <w:p w14:paraId="04E10D43" w14:textId="77777777" w:rsidR="00E05E66" w:rsidRDefault="00000000">
      <w:pPr>
        <w:jc w:val="both"/>
      </w:pPr>
      <w:r>
        <w:rPr>
          <w:rFonts w:eastAsia="Times New Roman" w:cs="Times New Roman"/>
          <w:b/>
          <w:bCs/>
          <w:sz w:val="24"/>
          <w:szCs w:val="24"/>
        </w:rPr>
        <w:t>Dynamic product catalog.</w:t>
      </w:r>
      <w:r>
        <w:rPr>
          <w:rFonts w:eastAsia="Times New Roman" w:cs="Times New Roman"/>
          <w:sz w:val="24"/>
          <w:szCs w:val="24"/>
        </w:rPr>
        <w:t xml:space="preserve"> Products enter and exit the Winmart catalog across dates. A sparse product filter requiring at least seven days of observation removes eighty-three products (3.6% of the total), yielding an effective cross-sectional sample of approximately 2,203 products. This filtering prevents products with only one or two days of data from distorting cross-sectional price averages. Each product’s price is averaged over its available observation days, making the cross-sectional estimates robust to temporal entry and exit patterns.</w:t>
      </w:r>
    </w:p>
    <w:p w14:paraId="48C67026" w14:textId="77777777" w:rsidR="00E05E66" w:rsidRDefault="00000000">
      <w:pPr>
        <w:jc w:val="both"/>
      </w:pPr>
      <w:r>
        <w:rPr>
          <w:rFonts w:eastAsia="Times New Roman" w:cs="Times New Roman"/>
          <w:b/>
          <w:bCs/>
          <w:sz w:val="24"/>
          <w:szCs w:val="24"/>
        </w:rPr>
        <w:t>No transaction volumes.</w:t>
      </w:r>
      <w:r>
        <w:rPr>
          <w:rFonts w:eastAsia="Times New Roman" w:cs="Times New Roman"/>
          <w:sz w:val="24"/>
          <w:szCs w:val="24"/>
        </w:rPr>
        <w:t xml:space="preserve"> Web scraping captures listed prices only; quantities sold and units purchased are not observed. This means the study cannot compute sales-weighted price indices, estimate demand elasticities, or determine whether promotional discounts shift consumer purchasing behavior. The analysis describes Winmart’s price architecture, the structure of prices as listed, rather than consumer demand responses to that architecture.</w:t>
      </w:r>
    </w:p>
    <w:p w14:paraId="7FC92D1B" w14:textId="77777777" w:rsidR="00E05E66" w:rsidRDefault="00000000">
      <w:pPr>
        <w:pStyle w:val="Heading2"/>
        <w:spacing w:before="360" w:after="180"/>
      </w:pPr>
      <w:r>
        <w:rPr>
          <w:rFonts w:ascii="Times New Roman" w:eastAsia="Times New Roman" w:hAnsi="Times New Roman" w:cs="Times New Roman"/>
          <w:sz w:val="26"/>
        </w:rPr>
        <w:t>4.3 Variable Definitions and Descriptive Statistics</w:t>
      </w:r>
    </w:p>
    <w:p w14:paraId="63D453B3" w14:textId="77777777" w:rsidR="00E05E66" w:rsidRDefault="00000000">
      <w:pPr>
        <w:jc w:val="both"/>
      </w:pPr>
      <w:r>
        <w:rPr>
          <w:rFonts w:eastAsia="Times New Roman" w:cs="Times New Roman"/>
          <w:sz w:val="24"/>
          <w:szCs w:val="24"/>
        </w:rPr>
        <w:t>Nine product-level features are extracted programmatically from product name strings using a combination of substring matching, regular expressions, and keyword dictionaries. The extraction module normalizes Vietnamese text through NFC normalization, lowercasing, and diacritic-preserving transformations before applying pattern matching, ensuring that spelling variants and diacritical differences do not cause misclassification. The nine features and their construction are described in turn.</w:t>
      </w:r>
    </w:p>
    <w:p w14:paraId="639BF3A2" w14:textId="77777777" w:rsidR="00E05E66" w:rsidRDefault="00000000">
      <w:pPr>
        <w:jc w:val="both"/>
      </w:pPr>
      <w:r>
        <w:rPr>
          <w:rFonts w:eastAsia="Times New Roman" w:cs="Times New Roman"/>
          <w:i/>
          <w:iCs/>
          <w:sz w:val="24"/>
          <w:szCs w:val="24"/>
        </w:rPr>
        <w:lastRenderedPageBreak/>
        <w:t>Brand identification (is_branded).</w:t>
      </w:r>
      <w:r>
        <w:rPr>
          <w:rFonts w:eastAsia="Times New Roman" w:cs="Times New Roman"/>
          <w:sz w:val="24"/>
          <w:szCs w:val="24"/>
        </w:rPr>
        <w:t xml:space="preserve"> Substring matching against a curated list of more than 310 brand keywords classifies 1,581 products (69.2 percent) as branded and 705 products (30.8 percent) as unbranded or generic, covering major Vietnamese brands (Vinamilk, TH True Milk), regional brands (Dutch Lady, Meiji), and international brands (Ajinomoto, Nestlé).</w:t>
      </w:r>
    </w:p>
    <w:p w14:paraId="70DE867C" w14:textId="77777777" w:rsidR="00E05E66" w:rsidRDefault="00000000">
      <w:pPr>
        <w:jc w:val="both"/>
      </w:pPr>
      <w:r>
        <w:rPr>
          <w:rFonts w:eastAsia="Times New Roman" w:cs="Times New Roman"/>
          <w:i/>
          <w:iCs/>
          <w:sz w:val="24"/>
          <w:szCs w:val="24"/>
        </w:rPr>
        <w:t>Price-tier classification (is_premium).</w:t>
      </w:r>
      <w:r>
        <w:rPr>
          <w:rFonts w:eastAsia="Times New Roman" w:cs="Times New Roman"/>
          <w:sz w:val="24"/>
          <w:szCs w:val="24"/>
        </w:rPr>
        <w:t xml:space="preserve"> A product is classified as premium if it is branded and its average final price exceeds the subcategory median. This within-subcategory relative measure yields 452 premium products (19.8 percent).</w:t>
      </w:r>
    </w:p>
    <w:p w14:paraId="23DA2DD2" w14:textId="77777777" w:rsidR="00E05E66" w:rsidRDefault="00000000">
      <w:pPr>
        <w:jc w:val="both"/>
      </w:pPr>
      <w:r>
        <w:rPr>
          <w:rFonts w:eastAsia="Times New Roman" w:cs="Times New Roman"/>
          <w:i/>
          <w:iCs/>
          <w:sz w:val="24"/>
          <w:szCs w:val="24"/>
        </w:rPr>
        <w:t>Brand recognition (is_high_recognition).</w:t>
      </w:r>
      <w:r>
        <w:rPr>
          <w:rFonts w:eastAsia="Times New Roman" w:cs="Times New Roman"/>
          <w:sz w:val="24"/>
          <w:szCs w:val="24"/>
        </w:rPr>
        <w:t xml:space="preserve"> A curated subset of approximately thirty nationally distributed brands with confirmed high consumer awareness forms the high-recognition group, applying to 709 products (31.0 percent).</w:t>
      </w:r>
    </w:p>
    <w:p w14:paraId="041CA4FD" w14:textId="77777777" w:rsidR="00E05E66" w:rsidRDefault="00000000">
      <w:pPr>
        <w:jc w:val="both"/>
      </w:pPr>
      <w:r>
        <w:rPr>
          <w:rFonts w:eastAsia="Times New Roman" w:cs="Times New Roman"/>
          <w:i/>
          <w:iCs/>
          <w:sz w:val="24"/>
          <w:szCs w:val="24"/>
        </w:rPr>
        <w:t>Import origin (is_import).</w:t>
      </w:r>
      <w:r>
        <w:rPr>
          <w:rFonts w:eastAsia="Times New Roman" w:cs="Times New Roman"/>
          <w:sz w:val="24"/>
          <w:szCs w:val="24"/>
        </w:rPr>
        <w:t xml:space="preserve"> Keyword detection identifies country-of-origin markers embedded in product names. Ninety-eight products (4.3 percent) are classified as imported, with import share concentrated in Fresh Produce (13.4 percent of the category).</w:t>
      </w:r>
    </w:p>
    <w:p w14:paraId="59F22D43" w14:textId="77777777" w:rsidR="00E05E66" w:rsidRDefault="00000000">
      <w:pPr>
        <w:jc w:val="both"/>
      </w:pPr>
      <w:r>
        <w:rPr>
          <w:rFonts w:eastAsia="Times New Roman" w:cs="Times New Roman"/>
          <w:i/>
          <w:iCs/>
          <w:sz w:val="24"/>
          <w:szCs w:val="24"/>
        </w:rPr>
        <w:t>House brand (is_house_brand).</w:t>
      </w:r>
      <w:r>
        <w:rPr>
          <w:rFonts w:eastAsia="Times New Roman" w:cs="Times New Roman"/>
          <w:sz w:val="24"/>
          <w:szCs w:val="24"/>
        </w:rPr>
        <w:t xml:space="preserve"> WinEco and WinMart private-label products are identified by brand keyword matching. Twenty-one products (0.9 percent) carry the house-brand label.</w:t>
      </w:r>
    </w:p>
    <w:p w14:paraId="3ABF5BC0" w14:textId="77777777" w:rsidR="00E05E66" w:rsidRDefault="00000000">
      <w:pPr>
        <w:jc w:val="both"/>
      </w:pPr>
      <w:r>
        <w:rPr>
          <w:rFonts w:eastAsia="Times New Roman" w:cs="Times New Roman"/>
          <w:i/>
          <w:iCs/>
          <w:sz w:val="24"/>
          <w:szCs w:val="24"/>
        </w:rPr>
        <w:t>Health and freshness claims.</w:t>
      </w:r>
      <w:r>
        <w:rPr>
          <w:rFonts w:eastAsia="Times New Roman" w:cs="Times New Roman"/>
          <w:sz w:val="24"/>
          <w:szCs w:val="24"/>
        </w:rPr>
        <w:t xml:space="preserve"> Keyword detection identifies 122 products (5.3 percent) with health claims and 154 products (6.7 percent) with freshness claims. These are credence attributes that consumers cannot verify even after consumption.</w:t>
      </w:r>
    </w:p>
    <w:p w14:paraId="5A2FAA9E" w14:textId="77777777" w:rsidR="00E05E66" w:rsidRDefault="00000000">
      <w:pPr>
        <w:jc w:val="both"/>
      </w:pPr>
      <w:r>
        <w:rPr>
          <w:rFonts w:eastAsia="Times New Roman" w:cs="Times New Roman"/>
          <w:i/>
          <w:iCs/>
          <w:sz w:val="24"/>
          <w:szCs w:val="24"/>
        </w:rPr>
        <w:t>Physical packaging features (ln_pack_size, pack_count).</w:t>
      </w:r>
      <w:r>
        <w:rPr>
          <w:rFonts w:eastAsia="Times New Roman" w:cs="Times New Roman"/>
          <w:sz w:val="24"/>
          <w:szCs w:val="24"/>
        </w:rPr>
        <w:t xml:space="preserve"> Regex-based extraction recovers weight and volume from product names. Pack size enters in log-transformed form to capture economies of scale; pack count captures multi-pack configurations.</w:t>
      </w:r>
    </w:p>
    <w:p w14:paraId="71B14F61" w14:textId="77777777" w:rsidR="00E05E66" w:rsidRDefault="00000000">
      <w:pPr>
        <w:spacing w:before="300" w:after="80"/>
        <w:jc w:val="center"/>
      </w:pPr>
      <w:r>
        <w:rPr>
          <w:rFonts w:eastAsia="Times New Roman" w:cs="Times New Roman"/>
          <w:b/>
          <w:bCs/>
          <w:sz w:val="20"/>
          <w:szCs w:val="20"/>
        </w:rPr>
        <w:t>Table 4.2: Descriptive Statistics by Product Category</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650"/>
        <w:gridCol w:w="1050"/>
        <w:gridCol w:w="1050"/>
        <w:gridCol w:w="750"/>
        <w:gridCol w:w="750"/>
        <w:gridCol w:w="750"/>
        <w:gridCol w:w="750"/>
        <w:gridCol w:w="710"/>
      </w:tblGrid>
      <w:tr w:rsidR="00E05E66" w14:paraId="6C89BE5B" w14:textId="77777777">
        <w:tc>
          <w:tcPr>
            <w:tcW w:w="1900" w:type="dxa"/>
            <w:tcBorders>
              <w:top w:val="single" w:sz="1" w:space="0" w:color="000000"/>
              <w:bottom w:val="single" w:sz="1" w:space="0" w:color="000000"/>
            </w:tcBorders>
            <w:shd w:val="clear" w:color="auto" w:fill="D9E2F3"/>
            <w:tcMar>
              <w:top w:w="30" w:type="dxa"/>
              <w:left w:w="60" w:type="dxa"/>
              <w:bottom w:w="30" w:type="dxa"/>
              <w:right w:w="60" w:type="dxa"/>
            </w:tcMar>
          </w:tcPr>
          <w:p w14:paraId="3A3F303A" w14:textId="77777777" w:rsidR="00E05E66" w:rsidRDefault="00000000">
            <w:pPr>
              <w:spacing w:after="0" w:line="240" w:lineRule="auto"/>
            </w:pPr>
            <w:r>
              <w:rPr>
                <w:rFonts w:eastAsia="Times New Roman" w:cs="Times New Roman"/>
                <w:b/>
                <w:bCs/>
                <w:sz w:val="17"/>
                <w:szCs w:val="17"/>
              </w:rPr>
              <w:t>Category</w:t>
            </w:r>
          </w:p>
        </w:tc>
        <w:tc>
          <w:tcPr>
            <w:tcW w:w="650" w:type="dxa"/>
            <w:tcBorders>
              <w:top w:val="single" w:sz="1" w:space="0" w:color="000000"/>
              <w:bottom w:val="single" w:sz="1" w:space="0" w:color="000000"/>
            </w:tcBorders>
            <w:shd w:val="clear" w:color="auto" w:fill="D9E2F3"/>
            <w:tcMar>
              <w:top w:w="30" w:type="dxa"/>
              <w:left w:w="60" w:type="dxa"/>
              <w:bottom w:w="30" w:type="dxa"/>
              <w:right w:w="60" w:type="dxa"/>
            </w:tcMar>
          </w:tcPr>
          <w:p w14:paraId="252A01CE" w14:textId="77777777" w:rsidR="00E05E66" w:rsidRDefault="00000000">
            <w:pPr>
              <w:spacing w:after="0" w:line="240" w:lineRule="auto"/>
              <w:jc w:val="center"/>
            </w:pPr>
            <w:r>
              <w:rPr>
                <w:rFonts w:eastAsia="Times New Roman" w:cs="Times New Roman"/>
                <w:b/>
                <w:bCs/>
                <w:sz w:val="17"/>
                <w:szCs w:val="17"/>
              </w:rPr>
              <w:t>N</w:t>
            </w:r>
          </w:p>
        </w:tc>
        <w:tc>
          <w:tcPr>
            <w:tcW w:w="1050" w:type="dxa"/>
            <w:tcBorders>
              <w:top w:val="single" w:sz="1" w:space="0" w:color="000000"/>
              <w:bottom w:val="single" w:sz="1" w:space="0" w:color="000000"/>
            </w:tcBorders>
            <w:shd w:val="clear" w:color="auto" w:fill="D9E2F3"/>
            <w:tcMar>
              <w:top w:w="30" w:type="dxa"/>
              <w:left w:w="60" w:type="dxa"/>
              <w:bottom w:w="30" w:type="dxa"/>
              <w:right w:w="60" w:type="dxa"/>
            </w:tcMar>
          </w:tcPr>
          <w:p w14:paraId="5794026B" w14:textId="77777777" w:rsidR="00E05E66" w:rsidRDefault="00000000">
            <w:pPr>
              <w:spacing w:after="0" w:line="240" w:lineRule="auto"/>
              <w:jc w:val="center"/>
            </w:pPr>
            <w:r>
              <w:rPr>
                <w:rFonts w:eastAsia="Times New Roman" w:cs="Times New Roman"/>
                <w:b/>
                <w:bCs/>
                <w:sz w:val="17"/>
                <w:szCs w:val="17"/>
              </w:rPr>
              <w:t>Avg Final (VND)</w:t>
            </w:r>
          </w:p>
        </w:tc>
        <w:tc>
          <w:tcPr>
            <w:tcW w:w="1050" w:type="dxa"/>
            <w:tcBorders>
              <w:top w:val="single" w:sz="1" w:space="0" w:color="000000"/>
              <w:bottom w:val="single" w:sz="1" w:space="0" w:color="000000"/>
            </w:tcBorders>
            <w:shd w:val="clear" w:color="auto" w:fill="D9E2F3"/>
            <w:tcMar>
              <w:top w:w="30" w:type="dxa"/>
              <w:left w:w="60" w:type="dxa"/>
              <w:bottom w:w="30" w:type="dxa"/>
              <w:right w:w="60" w:type="dxa"/>
            </w:tcMar>
          </w:tcPr>
          <w:p w14:paraId="642DA0C1" w14:textId="77777777" w:rsidR="00E05E66" w:rsidRDefault="00000000">
            <w:pPr>
              <w:spacing w:after="0" w:line="240" w:lineRule="auto"/>
              <w:jc w:val="center"/>
            </w:pPr>
            <w:r>
              <w:rPr>
                <w:rFonts w:eastAsia="Times New Roman" w:cs="Times New Roman"/>
                <w:b/>
                <w:bCs/>
                <w:sz w:val="17"/>
                <w:szCs w:val="17"/>
              </w:rPr>
              <w:t>Avg Marked (VND)</w:t>
            </w:r>
          </w:p>
        </w:tc>
        <w:tc>
          <w:tcPr>
            <w:tcW w:w="750" w:type="dxa"/>
            <w:tcBorders>
              <w:top w:val="single" w:sz="1" w:space="0" w:color="000000"/>
              <w:bottom w:val="single" w:sz="1" w:space="0" w:color="000000"/>
            </w:tcBorders>
            <w:shd w:val="clear" w:color="auto" w:fill="D9E2F3"/>
            <w:tcMar>
              <w:top w:w="30" w:type="dxa"/>
              <w:left w:w="60" w:type="dxa"/>
              <w:bottom w:w="30" w:type="dxa"/>
              <w:right w:w="60" w:type="dxa"/>
            </w:tcMar>
          </w:tcPr>
          <w:p w14:paraId="457CFCCE" w14:textId="77777777" w:rsidR="00E05E66" w:rsidRDefault="00000000">
            <w:pPr>
              <w:spacing w:after="0" w:line="240" w:lineRule="auto"/>
              <w:jc w:val="center"/>
            </w:pPr>
            <w:r>
              <w:rPr>
                <w:rFonts w:eastAsia="Times New Roman" w:cs="Times New Roman"/>
                <w:b/>
                <w:bCs/>
                <w:sz w:val="17"/>
                <w:szCs w:val="17"/>
              </w:rPr>
              <w:t>Promo (%)</w:t>
            </w:r>
          </w:p>
        </w:tc>
        <w:tc>
          <w:tcPr>
            <w:tcW w:w="750" w:type="dxa"/>
            <w:tcBorders>
              <w:top w:val="single" w:sz="1" w:space="0" w:color="000000"/>
              <w:bottom w:val="single" w:sz="1" w:space="0" w:color="000000"/>
            </w:tcBorders>
            <w:shd w:val="clear" w:color="auto" w:fill="D9E2F3"/>
            <w:tcMar>
              <w:top w:w="30" w:type="dxa"/>
              <w:left w:w="60" w:type="dxa"/>
              <w:bottom w:w="30" w:type="dxa"/>
              <w:right w:w="60" w:type="dxa"/>
            </w:tcMar>
          </w:tcPr>
          <w:p w14:paraId="66FB4BDE" w14:textId="77777777" w:rsidR="00E05E66" w:rsidRDefault="00000000">
            <w:pPr>
              <w:spacing w:after="0" w:line="240" w:lineRule="auto"/>
              <w:jc w:val="center"/>
            </w:pPr>
            <w:r>
              <w:rPr>
                <w:rFonts w:eastAsia="Times New Roman" w:cs="Times New Roman"/>
                <w:b/>
                <w:bCs/>
                <w:sz w:val="17"/>
                <w:szCs w:val="17"/>
              </w:rPr>
              <w:t>Disc. (%)</w:t>
            </w:r>
          </w:p>
        </w:tc>
        <w:tc>
          <w:tcPr>
            <w:tcW w:w="750" w:type="dxa"/>
            <w:tcBorders>
              <w:top w:val="single" w:sz="1" w:space="0" w:color="000000"/>
              <w:bottom w:val="single" w:sz="1" w:space="0" w:color="000000"/>
            </w:tcBorders>
            <w:shd w:val="clear" w:color="auto" w:fill="D9E2F3"/>
            <w:tcMar>
              <w:top w:w="30" w:type="dxa"/>
              <w:left w:w="60" w:type="dxa"/>
              <w:bottom w:w="30" w:type="dxa"/>
              <w:right w:w="60" w:type="dxa"/>
            </w:tcMar>
          </w:tcPr>
          <w:p w14:paraId="519A661A" w14:textId="77777777" w:rsidR="00E05E66" w:rsidRDefault="00000000">
            <w:pPr>
              <w:spacing w:after="0" w:line="240" w:lineRule="auto"/>
              <w:jc w:val="center"/>
            </w:pPr>
            <w:r>
              <w:rPr>
                <w:rFonts w:eastAsia="Times New Roman" w:cs="Times New Roman"/>
                <w:b/>
                <w:bCs/>
                <w:sz w:val="17"/>
                <w:szCs w:val="17"/>
              </w:rPr>
              <w:t>Brand (%)</w:t>
            </w:r>
          </w:p>
        </w:tc>
        <w:tc>
          <w:tcPr>
            <w:tcW w:w="750" w:type="dxa"/>
            <w:tcBorders>
              <w:top w:val="single" w:sz="1" w:space="0" w:color="000000"/>
              <w:bottom w:val="single" w:sz="1" w:space="0" w:color="000000"/>
            </w:tcBorders>
            <w:shd w:val="clear" w:color="auto" w:fill="D9E2F3"/>
            <w:tcMar>
              <w:top w:w="30" w:type="dxa"/>
              <w:left w:w="60" w:type="dxa"/>
              <w:bottom w:w="30" w:type="dxa"/>
              <w:right w:w="60" w:type="dxa"/>
            </w:tcMar>
          </w:tcPr>
          <w:p w14:paraId="2B4BE736" w14:textId="77777777" w:rsidR="00E05E66" w:rsidRDefault="00000000">
            <w:pPr>
              <w:spacing w:after="0" w:line="240" w:lineRule="auto"/>
              <w:jc w:val="center"/>
            </w:pPr>
            <w:r>
              <w:rPr>
                <w:rFonts w:eastAsia="Times New Roman" w:cs="Times New Roman"/>
                <w:b/>
                <w:bCs/>
                <w:sz w:val="17"/>
                <w:szCs w:val="17"/>
              </w:rPr>
              <w:t>Import (%)</w:t>
            </w:r>
          </w:p>
        </w:tc>
        <w:tc>
          <w:tcPr>
            <w:tcW w:w="710" w:type="dxa"/>
            <w:tcBorders>
              <w:top w:val="single" w:sz="1" w:space="0" w:color="000000"/>
              <w:bottom w:val="single" w:sz="1" w:space="0" w:color="000000"/>
            </w:tcBorders>
            <w:shd w:val="clear" w:color="auto" w:fill="D9E2F3"/>
            <w:tcMar>
              <w:top w:w="30" w:type="dxa"/>
              <w:left w:w="60" w:type="dxa"/>
              <w:bottom w:w="30" w:type="dxa"/>
              <w:right w:w="60" w:type="dxa"/>
            </w:tcMar>
          </w:tcPr>
          <w:p w14:paraId="19F1CE73" w14:textId="77777777" w:rsidR="00E05E66" w:rsidRDefault="00000000">
            <w:pPr>
              <w:spacing w:after="0" w:line="240" w:lineRule="auto"/>
              <w:jc w:val="center"/>
            </w:pPr>
            <w:r>
              <w:rPr>
                <w:rFonts w:eastAsia="Times New Roman" w:cs="Times New Roman"/>
                <w:b/>
                <w:bCs/>
                <w:sz w:val="17"/>
                <w:szCs w:val="17"/>
              </w:rPr>
              <w:t>Health (%)</w:t>
            </w:r>
          </w:p>
        </w:tc>
      </w:tr>
      <w:tr w:rsidR="00E05E66" w14:paraId="3006924A" w14:textId="77777777">
        <w:tc>
          <w:tcPr>
            <w:tcW w:w="1900" w:type="dxa"/>
            <w:tcMar>
              <w:top w:w="30" w:type="dxa"/>
              <w:left w:w="60" w:type="dxa"/>
              <w:bottom w:w="30" w:type="dxa"/>
              <w:right w:w="60" w:type="dxa"/>
            </w:tcMar>
          </w:tcPr>
          <w:p w14:paraId="7B58AC2E" w14:textId="77777777" w:rsidR="00E05E66" w:rsidRDefault="00000000">
            <w:pPr>
              <w:spacing w:after="0" w:line="240" w:lineRule="auto"/>
            </w:pPr>
            <w:r>
              <w:rPr>
                <w:rFonts w:eastAsia="Times New Roman" w:cs="Times New Roman"/>
                <w:sz w:val="17"/>
                <w:szCs w:val="17"/>
              </w:rPr>
              <w:t>Dairy</w:t>
            </w:r>
          </w:p>
        </w:tc>
        <w:tc>
          <w:tcPr>
            <w:tcW w:w="650" w:type="dxa"/>
            <w:tcMar>
              <w:top w:w="30" w:type="dxa"/>
              <w:left w:w="60" w:type="dxa"/>
              <w:bottom w:w="30" w:type="dxa"/>
              <w:right w:w="60" w:type="dxa"/>
            </w:tcMar>
          </w:tcPr>
          <w:p w14:paraId="13D25BF9" w14:textId="77777777" w:rsidR="00E05E66" w:rsidRDefault="00000000">
            <w:pPr>
              <w:spacing w:after="0" w:line="240" w:lineRule="auto"/>
              <w:jc w:val="center"/>
            </w:pPr>
            <w:r>
              <w:rPr>
                <w:rFonts w:eastAsia="Times New Roman" w:cs="Times New Roman"/>
                <w:sz w:val="17"/>
                <w:szCs w:val="17"/>
              </w:rPr>
              <w:t>346</w:t>
            </w:r>
          </w:p>
        </w:tc>
        <w:tc>
          <w:tcPr>
            <w:tcW w:w="1050" w:type="dxa"/>
            <w:tcMar>
              <w:top w:w="30" w:type="dxa"/>
              <w:left w:w="60" w:type="dxa"/>
              <w:bottom w:w="30" w:type="dxa"/>
              <w:right w:w="60" w:type="dxa"/>
            </w:tcMar>
          </w:tcPr>
          <w:p w14:paraId="081F0B4B" w14:textId="77777777" w:rsidR="00E05E66" w:rsidRDefault="00000000">
            <w:pPr>
              <w:spacing w:after="0" w:line="240" w:lineRule="auto"/>
              <w:jc w:val="center"/>
            </w:pPr>
            <w:r>
              <w:rPr>
                <w:rFonts w:eastAsia="Times New Roman" w:cs="Times New Roman"/>
                <w:sz w:val="17"/>
                <w:szCs w:val="17"/>
              </w:rPr>
              <w:t>80,083</w:t>
            </w:r>
          </w:p>
        </w:tc>
        <w:tc>
          <w:tcPr>
            <w:tcW w:w="1050" w:type="dxa"/>
            <w:tcMar>
              <w:top w:w="30" w:type="dxa"/>
              <w:left w:w="60" w:type="dxa"/>
              <w:bottom w:w="30" w:type="dxa"/>
              <w:right w:w="60" w:type="dxa"/>
            </w:tcMar>
          </w:tcPr>
          <w:p w14:paraId="2A00F9B0" w14:textId="77777777" w:rsidR="00E05E66" w:rsidRDefault="00000000">
            <w:pPr>
              <w:spacing w:after="0" w:line="240" w:lineRule="auto"/>
              <w:jc w:val="center"/>
            </w:pPr>
            <w:r>
              <w:rPr>
                <w:rFonts w:eastAsia="Times New Roman" w:cs="Times New Roman"/>
                <w:sz w:val="17"/>
                <w:szCs w:val="17"/>
              </w:rPr>
              <w:t>82,139</w:t>
            </w:r>
          </w:p>
        </w:tc>
        <w:tc>
          <w:tcPr>
            <w:tcW w:w="750" w:type="dxa"/>
            <w:shd w:val="clear" w:color="auto" w:fill="F6D2CE"/>
            <w:tcMar>
              <w:top w:w="30" w:type="dxa"/>
              <w:left w:w="60" w:type="dxa"/>
              <w:bottom w:w="30" w:type="dxa"/>
              <w:right w:w="60" w:type="dxa"/>
            </w:tcMar>
          </w:tcPr>
          <w:p w14:paraId="0277ACAF" w14:textId="77777777" w:rsidR="00E05E66" w:rsidRDefault="00000000">
            <w:pPr>
              <w:spacing w:after="0" w:line="240" w:lineRule="auto"/>
              <w:jc w:val="center"/>
            </w:pPr>
            <w:r>
              <w:rPr>
                <w:rFonts w:eastAsia="Times New Roman" w:cs="Times New Roman"/>
                <w:sz w:val="17"/>
                <w:szCs w:val="17"/>
              </w:rPr>
              <w:t>32.3</w:t>
            </w:r>
          </w:p>
        </w:tc>
        <w:tc>
          <w:tcPr>
            <w:tcW w:w="750" w:type="dxa"/>
            <w:shd w:val="clear" w:color="auto" w:fill="E8F5E8"/>
            <w:tcMar>
              <w:top w:w="30" w:type="dxa"/>
              <w:left w:w="60" w:type="dxa"/>
              <w:bottom w:w="30" w:type="dxa"/>
              <w:right w:w="60" w:type="dxa"/>
            </w:tcMar>
          </w:tcPr>
          <w:p w14:paraId="44285D96" w14:textId="77777777" w:rsidR="00E05E66" w:rsidRDefault="00000000">
            <w:pPr>
              <w:spacing w:after="0" w:line="240" w:lineRule="auto"/>
              <w:jc w:val="center"/>
            </w:pPr>
            <w:r>
              <w:rPr>
                <w:rFonts w:eastAsia="Times New Roman" w:cs="Times New Roman"/>
                <w:sz w:val="17"/>
                <w:szCs w:val="17"/>
              </w:rPr>
              <w:t>12.6</w:t>
            </w:r>
          </w:p>
        </w:tc>
        <w:tc>
          <w:tcPr>
            <w:tcW w:w="750" w:type="dxa"/>
            <w:shd w:val="clear" w:color="auto" w:fill="F7CFCD"/>
            <w:tcMar>
              <w:top w:w="30" w:type="dxa"/>
              <w:left w:w="60" w:type="dxa"/>
              <w:bottom w:w="30" w:type="dxa"/>
              <w:right w:w="60" w:type="dxa"/>
            </w:tcMar>
          </w:tcPr>
          <w:p w14:paraId="5B9B1D2F" w14:textId="77777777" w:rsidR="00E05E66" w:rsidRDefault="00000000">
            <w:pPr>
              <w:spacing w:after="0" w:line="240" w:lineRule="auto"/>
              <w:jc w:val="center"/>
            </w:pPr>
            <w:r>
              <w:rPr>
                <w:rFonts w:eastAsia="Times New Roman" w:cs="Times New Roman"/>
                <w:sz w:val="17"/>
                <w:szCs w:val="17"/>
              </w:rPr>
              <w:t>89.0</w:t>
            </w:r>
          </w:p>
        </w:tc>
        <w:tc>
          <w:tcPr>
            <w:tcW w:w="750" w:type="dxa"/>
            <w:shd w:val="clear" w:color="auto" w:fill="ECEAE0"/>
            <w:tcMar>
              <w:top w:w="30" w:type="dxa"/>
              <w:left w:w="60" w:type="dxa"/>
              <w:bottom w:w="30" w:type="dxa"/>
              <w:right w:w="60" w:type="dxa"/>
            </w:tcMar>
          </w:tcPr>
          <w:p w14:paraId="68BB6ECF" w14:textId="77777777" w:rsidR="00E05E66" w:rsidRDefault="00000000">
            <w:pPr>
              <w:spacing w:after="0" w:line="240" w:lineRule="auto"/>
              <w:jc w:val="center"/>
            </w:pPr>
            <w:r>
              <w:rPr>
                <w:rFonts w:eastAsia="Times New Roman" w:cs="Times New Roman"/>
                <w:sz w:val="17"/>
                <w:szCs w:val="17"/>
              </w:rPr>
              <w:t>3.5</w:t>
            </w:r>
          </w:p>
        </w:tc>
        <w:tc>
          <w:tcPr>
            <w:tcW w:w="710" w:type="dxa"/>
            <w:shd w:val="clear" w:color="auto" w:fill="F8CECC"/>
            <w:tcMar>
              <w:top w:w="30" w:type="dxa"/>
              <w:left w:w="60" w:type="dxa"/>
              <w:bottom w:w="30" w:type="dxa"/>
              <w:right w:w="60" w:type="dxa"/>
            </w:tcMar>
          </w:tcPr>
          <w:p w14:paraId="7996FA20" w14:textId="77777777" w:rsidR="00E05E66" w:rsidRDefault="00000000">
            <w:pPr>
              <w:spacing w:after="0" w:line="240" w:lineRule="auto"/>
              <w:jc w:val="center"/>
            </w:pPr>
            <w:r>
              <w:rPr>
                <w:rFonts w:eastAsia="Times New Roman" w:cs="Times New Roman"/>
                <w:sz w:val="17"/>
                <w:szCs w:val="17"/>
              </w:rPr>
              <w:t>19.7</w:t>
            </w:r>
          </w:p>
        </w:tc>
      </w:tr>
      <w:tr w:rsidR="00E05E66" w14:paraId="2317447A" w14:textId="77777777">
        <w:tc>
          <w:tcPr>
            <w:tcW w:w="1900" w:type="dxa"/>
            <w:tcMar>
              <w:top w:w="30" w:type="dxa"/>
              <w:left w:w="60" w:type="dxa"/>
              <w:bottom w:w="30" w:type="dxa"/>
              <w:right w:w="60" w:type="dxa"/>
            </w:tcMar>
          </w:tcPr>
          <w:p w14:paraId="0726F3AF" w14:textId="77777777" w:rsidR="00E05E66" w:rsidRDefault="00000000">
            <w:pPr>
              <w:spacing w:after="0" w:line="240" w:lineRule="auto"/>
            </w:pPr>
            <w:r>
              <w:rPr>
                <w:rFonts w:eastAsia="Times New Roman" w:cs="Times New Roman"/>
                <w:sz w:val="17"/>
                <w:szCs w:val="17"/>
              </w:rPr>
              <w:t>Fresh Produce</w:t>
            </w:r>
          </w:p>
        </w:tc>
        <w:tc>
          <w:tcPr>
            <w:tcW w:w="650" w:type="dxa"/>
            <w:tcMar>
              <w:top w:w="30" w:type="dxa"/>
              <w:left w:w="60" w:type="dxa"/>
              <w:bottom w:w="30" w:type="dxa"/>
              <w:right w:w="60" w:type="dxa"/>
            </w:tcMar>
          </w:tcPr>
          <w:p w14:paraId="7C5F2908" w14:textId="77777777" w:rsidR="00E05E66" w:rsidRDefault="00000000">
            <w:pPr>
              <w:spacing w:after="0" w:line="240" w:lineRule="auto"/>
              <w:jc w:val="center"/>
            </w:pPr>
            <w:r>
              <w:rPr>
                <w:rFonts w:eastAsia="Times New Roman" w:cs="Times New Roman"/>
                <w:sz w:val="17"/>
                <w:szCs w:val="17"/>
              </w:rPr>
              <w:t>254</w:t>
            </w:r>
          </w:p>
        </w:tc>
        <w:tc>
          <w:tcPr>
            <w:tcW w:w="1050" w:type="dxa"/>
            <w:tcMar>
              <w:top w:w="30" w:type="dxa"/>
              <w:left w:w="60" w:type="dxa"/>
              <w:bottom w:w="30" w:type="dxa"/>
              <w:right w:w="60" w:type="dxa"/>
            </w:tcMar>
          </w:tcPr>
          <w:p w14:paraId="69B61B67" w14:textId="77777777" w:rsidR="00E05E66" w:rsidRDefault="00000000">
            <w:pPr>
              <w:spacing w:after="0" w:line="240" w:lineRule="auto"/>
              <w:jc w:val="center"/>
            </w:pPr>
            <w:r>
              <w:rPr>
                <w:rFonts w:eastAsia="Times New Roman" w:cs="Times New Roman"/>
                <w:sz w:val="17"/>
                <w:szCs w:val="17"/>
              </w:rPr>
              <w:t>68,055</w:t>
            </w:r>
          </w:p>
        </w:tc>
        <w:tc>
          <w:tcPr>
            <w:tcW w:w="1050" w:type="dxa"/>
            <w:tcMar>
              <w:top w:w="30" w:type="dxa"/>
              <w:left w:w="60" w:type="dxa"/>
              <w:bottom w:w="30" w:type="dxa"/>
              <w:right w:w="60" w:type="dxa"/>
            </w:tcMar>
          </w:tcPr>
          <w:p w14:paraId="0A46363B" w14:textId="77777777" w:rsidR="00E05E66" w:rsidRDefault="00000000">
            <w:pPr>
              <w:spacing w:after="0" w:line="240" w:lineRule="auto"/>
              <w:jc w:val="center"/>
            </w:pPr>
            <w:r>
              <w:rPr>
                <w:rFonts w:eastAsia="Times New Roman" w:cs="Times New Roman"/>
                <w:sz w:val="17"/>
                <w:szCs w:val="17"/>
              </w:rPr>
              <w:t>69,595</w:t>
            </w:r>
          </w:p>
        </w:tc>
        <w:tc>
          <w:tcPr>
            <w:tcW w:w="750" w:type="dxa"/>
            <w:shd w:val="clear" w:color="auto" w:fill="EDE6DD"/>
            <w:tcMar>
              <w:top w:w="30" w:type="dxa"/>
              <w:left w:w="60" w:type="dxa"/>
              <w:bottom w:w="30" w:type="dxa"/>
              <w:right w:w="60" w:type="dxa"/>
            </w:tcMar>
          </w:tcPr>
          <w:p w14:paraId="429B39EB" w14:textId="77777777" w:rsidR="00E05E66" w:rsidRDefault="00000000">
            <w:pPr>
              <w:spacing w:after="0" w:line="240" w:lineRule="auto"/>
              <w:jc w:val="center"/>
            </w:pPr>
            <w:r>
              <w:rPr>
                <w:rFonts w:eastAsia="Times New Roman" w:cs="Times New Roman"/>
                <w:sz w:val="17"/>
                <w:szCs w:val="17"/>
              </w:rPr>
              <w:t>13.4</w:t>
            </w:r>
          </w:p>
        </w:tc>
        <w:tc>
          <w:tcPr>
            <w:tcW w:w="750" w:type="dxa"/>
            <w:shd w:val="clear" w:color="auto" w:fill="F6D2CF"/>
            <w:tcMar>
              <w:top w:w="30" w:type="dxa"/>
              <w:left w:w="60" w:type="dxa"/>
              <w:bottom w:w="30" w:type="dxa"/>
              <w:right w:w="60" w:type="dxa"/>
            </w:tcMar>
          </w:tcPr>
          <w:p w14:paraId="5809C6F5" w14:textId="77777777" w:rsidR="00E05E66" w:rsidRDefault="00000000">
            <w:pPr>
              <w:spacing w:after="0" w:line="240" w:lineRule="auto"/>
              <w:jc w:val="center"/>
            </w:pPr>
            <w:r>
              <w:rPr>
                <w:rFonts w:eastAsia="Times New Roman" w:cs="Times New Roman"/>
                <w:sz w:val="17"/>
                <w:szCs w:val="17"/>
              </w:rPr>
              <w:t>18.4</w:t>
            </w:r>
          </w:p>
        </w:tc>
        <w:tc>
          <w:tcPr>
            <w:tcW w:w="750" w:type="dxa"/>
            <w:shd w:val="clear" w:color="auto" w:fill="E8F5E8"/>
            <w:tcMar>
              <w:top w:w="30" w:type="dxa"/>
              <w:left w:w="60" w:type="dxa"/>
              <w:bottom w:w="30" w:type="dxa"/>
              <w:right w:w="60" w:type="dxa"/>
            </w:tcMar>
          </w:tcPr>
          <w:p w14:paraId="0A229600" w14:textId="77777777" w:rsidR="00E05E66" w:rsidRDefault="00000000">
            <w:pPr>
              <w:spacing w:after="0" w:line="240" w:lineRule="auto"/>
              <w:jc w:val="center"/>
            </w:pPr>
            <w:r>
              <w:rPr>
                <w:rFonts w:eastAsia="Times New Roman" w:cs="Times New Roman"/>
                <w:sz w:val="17"/>
                <w:szCs w:val="17"/>
              </w:rPr>
              <w:t>7.5</w:t>
            </w:r>
          </w:p>
        </w:tc>
        <w:tc>
          <w:tcPr>
            <w:tcW w:w="750" w:type="dxa"/>
            <w:shd w:val="clear" w:color="auto" w:fill="F8CECC"/>
            <w:tcMar>
              <w:top w:w="30" w:type="dxa"/>
              <w:left w:w="60" w:type="dxa"/>
              <w:bottom w:w="30" w:type="dxa"/>
              <w:right w:w="60" w:type="dxa"/>
            </w:tcMar>
          </w:tcPr>
          <w:p w14:paraId="6BE12E2D" w14:textId="77777777" w:rsidR="00E05E66" w:rsidRDefault="00000000">
            <w:pPr>
              <w:spacing w:after="0" w:line="240" w:lineRule="auto"/>
              <w:jc w:val="center"/>
            </w:pPr>
            <w:r>
              <w:rPr>
                <w:rFonts w:eastAsia="Times New Roman" w:cs="Times New Roman"/>
                <w:sz w:val="17"/>
                <w:szCs w:val="17"/>
              </w:rPr>
              <w:t>13.4</w:t>
            </w:r>
          </w:p>
        </w:tc>
        <w:tc>
          <w:tcPr>
            <w:tcW w:w="710" w:type="dxa"/>
            <w:shd w:val="clear" w:color="auto" w:fill="E8F4E7"/>
            <w:tcMar>
              <w:top w:w="30" w:type="dxa"/>
              <w:left w:w="60" w:type="dxa"/>
              <w:bottom w:w="30" w:type="dxa"/>
              <w:right w:w="60" w:type="dxa"/>
            </w:tcMar>
          </w:tcPr>
          <w:p w14:paraId="38B56CAF" w14:textId="77777777" w:rsidR="00E05E66" w:rsidRDefault="00000000">
            <w:pPr>
              <w:spacing w:after="0" w:line="240" w:lineRule="auto"/>
              <w:jc w:val="center"/>
            </w:pPr>
            <w:r>
              <w:rPr>
                <w:rFonts w:eastAsia="Times New Roman" w:cs="Times New Roman"/>
                <w:sz w:val="17"/>
                <w:szCs w:val="17"/>
              </w:rPr>
              <w:t>0.4</w:t>
            </w:r>
          </w:p>
        </w:tc>
      </w:tr>
      <w:tr w:rsidR="00E05E66" w14:paraId="733BB86A" w14:textId="77777777">
        <w:tc>
          <w:tcPr>
            <w:tcW w:w="1900" w:type="dxa"/>
            <w:tcMar>
              <w:top w:w="30" w:type="dxa"/>
              <w:left w:w="60" w:type="dxa"/>
              <w:bottom w:w="30" w:type="dxa"/>
              <w:right w:w="60" w:type="dxa"/>
            </w:tcMar>
          </w:tcPr>
          <w:p w14:paraId="4EAABA10" w14:textId="77777777" w:rsidR="00E05E66" w:rsidRDefault="00000000">
            <w:pPr>
              <w:spacing w:after="0" w:line="240" w:lineRule="auto"/>
            </w:pPr>
            <w:r>
              <w:rPr>
                <w:rFonts w:eastAsia="Times New Roman" w:cs="Times New Roman"/>
                <w:sz w:val="17"/>
                <w:szCs w:val="17"/>
              </w:rPr>
              <w:t>Dry Food</w:t>
            </w:r>
          </w:p>
        </w:tc>
        <w:tc>
          <w:tcPr>
            <w:tcW w:w="650" w:type="dxa"/>
            <w:tcMar>
              <w:top w:w="30" w:type="dxa"/>
              <w:left w:w="60" w:type="dxa"/>
              <w:bottom w:w="30" w:type="dxa"/>
              <w:right w:w="60" w:type="dxa"/>
            </w:tcMar>
          </w:tcPr>
          <w:p w14:paraId="06B0C511" w14:textId="77777777" w:rsidR="00E05E66" w:rsidRDefault="00000000">
            <w:pPr>
              <w:spacing w:after="0" w:line="240" w:lineRule="auto"/>
              <w:jc w:val="center"/>
            </w:pPr>
            <w:r>
              <w:rPr>
                <w:rFonts w:eastAsia="Times New Roman" w:cs="Times New Roman"/>
                <w:sz w:val="17"/>
                <w:szCs w:val="17"/>
              </w:rPr>
              <w:t>1</w:t>
              <w:lastRenderedPageBreak/>
              <w:t>82</w:t>
            </w:r>
          </w:p>
        </w:tc>
        <w:tc>
          <w:tcPr>
            <w:tcW w:w="1050" w:type="dxa"/>
            <w:tcMar>
              <w:top w:w="30" w:type="dxa"/>
              <w:left w:w="60" w:type="dxa"/>
              <w:bottom w:w="30" w:type="dxa"/>
              <w:right w:w="60" w:type="dxa"/>
            </w:tcMar>
          </w:tcPr>
          <w:p w14:paraId="4684DB11" w14:textId="77777777" w:rsidR="00E05E66" w:rsidRDefault="00000000">
            <w:pPr>
              <w:spacing w:after="0" w:line="240" w:lineRule="auto"/>
              <w:jc w:val="center"/>
            </w:pPr>
            <w:r>
              <w:rPr>
                <w:rFonts w:eastAsia="Times New Roman" w:cs="Times New Roman"/>
                <w:sz w:val="17"/>
                <w:szCs w:val="17"/>
              </w:rPr>
              <w:lastRenderedPageBreak/>
              <w:t>65</w:t>
              <w:lastRenderedPageBreak/>
              <w:t>,060</w:t>
            </w:r>
          </w:p>
        </w:tc>
        <w:tc>
          <w:tcPr>
            <w:tcW w:w="1050" w:type="dxa"/>
            <w:tcMar>
              <w:top w:w="30" w:type="dxa"/>
              <w:left w:w="60" w:type="dxa"/>
              <w:bottom w:w="30" w:type="dxa"/>
              <w:right w:w="60" w:type="dxa"/>
            </w:tcMar>
          </w:tcPr>
          <w:p w14:paraId="71D4F65C" w14:textId="77777777" w:rsidR="00E05E66" w:rsidRDefault="00000000">
            <w:pPr>
              <w:spacing w:after="0" w:line="240" w:lineRule="auto"/>
              <w:jc w:val="center"/>
            </w:pPr>
            <w:r>
              <w:rPr>
                <w:rFonts w:eastAsia="Times New Roman" w:cs="Times New Roman"/>
                <w:sz w:val="17"/>
                <w:szCs w:val="17"/>
              </w:rPr>
              <w:lastRenderedPageBreak/>
              <w:t>67</w:t>
              <w:lastRenderedPageBreak/>
              <w:t>,587</w:t>
            </w:r>
          </w:p>
        </w:tc>
        <w:tc>
          <w:tcPr>
            <w:tcW w:w="750" w:type="dxa"/>
            <w:shd w:val="clear" w:color="auto" w:fill="F3D7D3"/>
            <w:tcMar>
              <w:top w:w="30" w:type="dxa"/>
              <w:left w:w="60" w:type="dxa"/>
              <w:bottom w:w="30" w:type="dxa"/>
              <w:right w:w="60" w:type="dxa"/>
            </w:tcMar>
          </w:tcPr>
          <w:p w14:paraId="11FC29CD" w14:textId="77777777" w:rsidR="00E05E66" w:rsidRDefault="00000000">
            <w:pPr>
              <w:spacing w:after="0" w:line="240" w:lineRule="auto"/>
              <w:jc w:val="center"/>
            </w:pPr>
            <w:r>
              <w:rPr>
                <w:rFonts w:eastAsia="Times New Roman" w:cs="Times New Roman"/>
                <w:sz w:val="17"/>
                <w:szCs w:val="17"/>
              </w:rPr>
              <w:lastRenderedPageBreak/>
              <w:t>2</w:t>
              <w:lastRenderedPageBreak/>
              <w:t>6.9</w:t>
            </w:r>
          </w:p>
        </w:tc>
        <w:tc>
          <w:tcPr>
            <w:tcW w:w="750" w:type="dxa"/>
            <w:shd w:val="clear" w:color="auto" w:fill="EEE6DD"/>
            <w:tcMar>
              <w:top w:w="30" w:type="dxa"/>
              <w:left w:w="60" w:type="dxa"/>
              <w:bottom w:w="30" w:type="dxa"/>
              <w:right w:w="60" w:type="dxa"/>
            </w:tcMar>
          </w:tcPr>
          <w:p w14:paraId="11DC530D" w14:textId="77777777" w:rsidR="00E05E66" w:rsidRDefault="00000000">
            <w:pPr>
              <w:spacing w:after="0" w:line="240" w:lineRule="auto"/>
              <w:jc w:val="center"/>
            </w:pPr>
            <w:r>
              <w:rPr>
                <w:rFonts w:eastAsia="Times New Roman" w:cs="Times New Roman"/>
                <w:sz w:val="17"/>
                <w:szCs w:val="17"/>
              </w:rPr>
              <w:lastRenderedPageBreak/>
              <w:t>1</w:t>
              <w:lastRenderedPageBreak/>
              <w:t>5.1</w:t>
            </w:r>
          </w:p>
        </w:tc>
        <w:tc>
          <w:tcPr>
            <w:tcW w:w="750" w:type="dxa"/>
            <w:shd w:val="clear" w:color="auto" w:fill="F4D6D1"/>
            <w:tcMar>
              <w:top w:w="30" w:type="dxa"/>
              <w:left w:w="60" w:type="dxa"/>
              <w:bottom w:w="30" w:type="dxa"/>
              <w:right w:w="60" w:type="dxa"/>
            </w:tcMar>
          </w:tcPr>
          <w:p w14:paraId="4C6AC854" w14:textId="77777777" w:rsidR="00E05E66" w:rsidRDefault="00000000">
            <w:pPr>
              <w:spacing w:after="0" w:line="240" w:lineRule="auto"/>
              <w:jc w:val="center"/>
            </w:pPr>
            <w:r>
              <w:rPr>
                <w:rFonts w:eastAsia="Times New Roman" w:cs="Times New Roman"/>
                <w:sz w:val="17"/>
                <w:szCs w:val="17"/>
              </w:rPr>
              <w:lastRenderedPageBreak/>
              <w:t>7</w:t>
              <w:lastRenderedPageBreak/>
              <w:t>5.3</w:t>
            </w:r>
          </w:p>
        </w:tc>
        <w:tc>
          <w:tcPr>
            <w:tcW w:w="750" w:type="dxa"/>
            <w:shd w:val="clear" w:color="auto" w:fill="E8F3E6"/>
            <w:tcMar>
              <w:top w:w="30" w:type="dxa"/>
              <w:left w:w="60" w:type="dxa"/>
              <w:bottom w:w="30" w:type="dxa"/>
              <w:right w:w="60" w:type="dxa"/>
            </w:tcMar>
          </w:tcPr>
          <w:p w14:paraId="3794179B" w14:textId="77777777" w:rsidR="00E05E66" w:rsidRDefault="00000000">
            <w:pPr>
              <w:spacing w:after="0" w:line="240" w:lineRule="auto"/>
              <w:jc w:val="center"/>
            </w:pPr>
            <w:r>
              <w:rPr>
                <w:rFonts w:eastAsia="Times New Roman" w:cs="Times New Roman"/>
                <w:sz w:val="17"/>
                <w:szCs w:val="17"/>
              </w:rPr>
              <w:lastRenderedPageBreak/>
              <w:t>0</w:t>
              <w:lastRenderedPageBreak/>
              <w:t>.5</w:t>
            </w:r>
          </w:p>
        </w:tc>
        <w:tc>
          <w:tcPr>
            <w:tcW w:w="710" w:type="dxa"/>
            <w:shd w:val="clear" w:color="auto" w:fill="E9F0E4"/>
            <w:tcMar>
              <w:top w:w="30" w:type="dxa"/>
              <w:left w:w="60" w:type="dxa"/>
              <w:bottom w:w="30" w:type="dxa"/>
              <w:right w:w="60" w:type="dxa"/>
            </w:tcMar>
          </w:tcPr>
          <w:p w14:paraId="475A6E06" w14:textId="77777777" w:rsidR="00E05E66" w:rsidRDefault="00000000">
            <w:pPr>
              <w:spacing w:after="0" w:line="240" w:lineRule="auto"/>
              <w:jc w:val="center"/>
            </w:pPr>
            <w:r>
              <w:rPr>
                <w:rFonts w:eastAsia="Times New Roman" w:cs="Times New Roman"/>
                <w:sz w:val="17"/>
                <w:szCs w:val="17"/>
              </w:rPr>
              <w:lastRenderedPageBreak/>
              <w:t>2</w:t>
              <w:lastRenderedPageBreak/>
              <w:t>.2</w:t>
            </w:r>
          </w:p>
        </w:tc>
      </w:tr>
      <w:tr w:rsidR="00E05E66" w14:paraId="5D972249" w14:textId="77777777">
        <w:tc>
          <w:tcPr>
            <w:tcW w:w="1900" w:type="dxa"/>
            <w:tcMar>
              <w:top w:w="30" w:type="dxa"/>
              <w:left w:w="60" w:type="dxa"/>
              <w:bottom w:w="30" w:type="dxa"/>
              <w:right w:w="60" w:type="dxa"/>
            </w:tcMar>
          </w:tcPr>
          <w:p w14:paraId="551EAB59" w14:textId="77777777" w:rsidR="00E05E66" w:rsidRDefault="00000000">
            <w:pPr>
              <w:spacing w:after="0" w:line="240" w:lineRule="auto"/>
            </w:pPr>
            <w:r>
              <w:rPr>
                <w:rFonts w:eastAsia="Times New Roman" w:cs="Times New Roman"/>
                <w:sz w:val="17"/>
                <w:szCs w:val="17"/>
              </w:rPr>
              <w:lastRenderedPageBreak/>
              <w:t>Instant Food</w:t>
            </w:r>
          </w:p>
        </w:tc>
        <w:tc>
          <w:tcPr>
            <w:tcW w:w="650" w:type="dxa"/>
            <w:tcMar>
              <w:top w:w="30" w:type="dxa"/>
              <w:left w:w="60" w:type="dxa"/>
              <w:bottom w:w="30" w:type="dxa"/>
              <w:right w:w="60" w:type="dxa"/>
            </w:tcMar>
          </w:tcPr>
          <w:p w14:paraId="14A0644E" w14:textId="77777777" w:rsidR="00E05E66" w:rsidRDefault="00000000">
            <w:pPr>
              <w:spacing w:after="0" w:line="240" w:lineRule="auto"/>
              <w:jc w:val="center"/>
            </w:pPr>
            <w:r>
              <w:rPr>
                <w:rFonts w:eastAsia="Times New Roman" w:cs="Times New Roman"/>
                <w:sz w:val="17"/>
                <w:szCs w:val="17"/>
              </w:rPr>
              <w:t>228</w:t>
            </w:r>
          </w:p>
        </w:tc>
        <w:tc>
          <w:tcPr>
            <w:tcW w:w="1050" w:type="dxa"/>
            <w:tcMar>
              <w:top w:w="30" w:type="dxa"/>
              <w:left w:w="60" w:type="dxa"/>
              <w:bottom w:w="30" w:type="dxa"/>
              <w:right w:w="60" w:type="dxa"/>
            </w:tcMar>
          </w:tcPr>
          <w:p w14:paraId="6834B82F" w14:textId="77777777" w:rsidR="00E05E66" w:rsidRDefault="00000000">
            <w:pPr>
              <w:spacing w:after="0" w:line="240" w:lineRule="auto"/>
              <w:jc w:val="center"/>
            </w:pPr>
            <w:r>
              <w:rPr>
                <w:rFonts w:eastAsia="Times New Roman" w:cs="Times New Roman"/>
                <w:sz w:val="17"/>
                <w:szCs w:val="17"/>
              </w:rPr>
              <w:t>65,651</w:t>
            </w:r>
          </w:p>
        </w:tc>
        <w:tc>
          <w:tcPr>
            <w:tcW w:w="1050" w:type="dxa"/>
            <w:tcMar>
              <w:top w:w="30" w:type="dxa"/>
              <w:left w:w="60" w:type="dxa"/>
              <w:bottom w:w="30" w:type="dxa"/>
              <w:right w:w="60" w:type="dxa"/>
            </w:tcMar>
          </w:tcPr>
          <w:p w14:paraId="498AD796" w14:textId="77777777" w:rsidR="00E05E66" w:rsidRDefault="00000000">
            <w:pPr>
              <w:spacing w:after="0" w:line="240" w:lineRule="auto"/>
              <w:jc w:val="center"/>
            </w:pPr>
            <w:r>
              <w:rPr>
                <w:rFonts w:eastAsia="Times New Roman" w:cs="Times New Roman"/>
                <w:sz w:val="17"/>
                <w:szCs w:val="17"/>
              </w:rPr>
              <w:t>67,126</w:t>
            </w:r>
          </w:p>
        </w:tc>
        <w:tc>
          <w:tcPr>
            <w:tcW w:w="750" w:type="dxa"/>
            <w:shd w:val="clear" w:color="auto" w:fill="F4D5D1"/>
            <w:tcMar>
              <w:top w:w="30" w:type="dxa"/>
              <w:left w:w="60" w:type="dxa"/>
              <w:bottom w:w="30" w:type="dxa"/>
              <w:right w:w="60" w:type="dxa"/>
            </w:tcMar>
          </w:tcPr>
          <w:p w14:paraId="6E7D80A3" w14:textId="77777777" w:rsidR="00E05E66" w:rsidRDefault="00000000">
            <w:pPr>
              <w:spacing w:after="0" w:line="240" w:lineRule="auto"/>
              <w:jc w:val="center"/>
            </w:pPr>
            <w:r>
              <w:rPr>
                <w:rFonts w:eastAsia="Times New Roman" w:cs="Times New Roman"/>
                <w:sz w:val="17"/>
                <w:szCs w:val="17"/>
              </w:rPr>
              <w:t>28.8</w:t>
            </w:r>
          </w:p>
        </w:tc>
        <w:tc>
          <w:tcPr>
            <w:tcW w:w="750" w:type="dxa"/>
            <w:shd w:val="clear" w:color="auto" w:fill="EBEBE1"/>
            <w:tcMar>
              <w:top w:w="30" w:type="dxa"/>
              <w:left w:w="60" w:type="dxa"/>
              <w:bottom w:w="30" w:type="dxa"/>
              <w:right w:w="60" w:type="dxa"/>
            </w:tcMar>
          </w:tcPr>
          <w:p w14:paraId="5FBCE3AD" w14:textId="77777777" w:rsidR="00E05E66" w:rsidRDefault="00000000">
            <w:pPr>
              <w:spacing w:after="0" w:line="240" w:lineRule="auto"/>
              <w:jc w:val="center"/>
            </w:pPr>
            <w:r>
              <w:rPr>
                <w:rFonts w:eastAsia="Times New Roman" w:cs="Times New Roman"/>
                <w:sz w:val="17"/>
                <w:szCs w:val="17"/>
              </w:rPr>
              <w:t>14.2</w:t>
            </w:r>
          </w:p>
        </w:tc>
        <w:tc>
          <w:tcPr>
            <w:tcW w:w="750" w:type="dxa"/>
            <w:shd w:val="clear" w:color="auto" w:fill="F6D2CF"/>
            <w:tcMar>
              <w:top w:w="30" w:type="dxa"/>
              <w:left w:w="60" w:type="dxa"/>
              <w:bottom w:w="30" w:type="dxa"/>
              <w:right w:w="60" w:type="dxa"/>
            </w:tcMar>
          </w:tcPr>
          <w:p w14:paraId="6C77446E" w14:textId="77777777" w:rsidR="00E05E66" w:rsidRDefault="00000000">
            <w:pPr>
              <w:spacing w:after="0" w:line="240" w:lineRule="auto"/>
              <w:jc w:val="center"/>
            </w:pPr>
            <w:r>
              <w:rPr>
                <w:rFonts w:eastAsia="Times New Roman" w:cs="Times New Roman"/>
                <w:sz w:val="17"/>
                <w:szCs w:val="17"/>
              </w:rPr>
              <w:t>83.8</w:t>
            </w:r>
          </w:p>
        </w:tc>
        <w:tc>
          <w:tcPr>
            <w:tcW w:w="750" w:type="dxa"/>
            <w:shd w:val="clear" w:color="auto" w:fill="F0E0D9"/>
            <w:tcMar>
              <w:top w:w="30" w:type="dxa"/>
              <w:left w:w="60" w:type="dxa"/>
              <w:bottom w:w="30" w:type="dxa"/>
              <w:right w:w="60" w:type="dxa"/>
            </w:tcMar>
          </w:tcPr>
          <w:p w14:paraId="36890EF9" w14:textId="77777777" w:rsidR="00E05E66" w:rsidRDefault="00000000">
            <w:pPr>
              <w:spacing w:after="0" w:line="240" w:lineRule="auto"/>
              <w:jc w:val="center"/>
            </w:pPr>
            <w:r>
              <w:rPr>
                <w:rFonts w:eastAsia="Times New Roman" w:cs="Times New Roman"/>
                <w:sz w:val="17"/>
                <w:szCs w:val="17"/>
              </w:rPr>
              <w:t>7.0</w:t>
            </w:r>
          </w:p>
        </w:tc>
        <w:tc>
          <w:tcPr>
            <w:tcW w:w="710" w:type="dxa"/>
            <w:shd w:val="clear" w:color="auto" w:fill="E8F5E8"/>
            <w:tcMar>
              <w:top w:w="30" w:type="dxa"/>
              <w:left w:w="60" w:type="dxa"/>
              <w:bottom w:w="30" w:type="dxa"/>
              <w:right w:w="60" w:type="dxa"/>
            </w:tcMar>
          </w:tcPr>
          <w:p w14:paraId="43102639" w14:textId="77777777" w:rsidR="00E05E66" w:rsidRDefault="00000000">
            <w:pPr>
              <w:spacing w:after="0" w:line="240" w:lineRule="auto"/>
              <w:jc w:val="center"/>
            </w:pPr>
            <w:r>
              <w:rPr>
                <w:rFonts w:eastAsia="Times New Roman" w:cs="Times New Roman"/>
                <w:sz w:val="17"/>
                <w:szCs w:val="17"/>
              </w:rPr>
              <w:t>0.0</w:t>
            </w:r>
          </w:p>
        </w:tc>
      </w:tr>
      <w:tr w:rsidR="00E05E66" w14:paraId="27DC4F4C" w14:textId="77777777">
        <w:tc>
          <w:tcPr>
            <w:tcW w:w="1900" w:type="dxa"/>
            <w:tcMar>
              <w:top w:w="30" w:type="dxa"/>
              <w:left w:w="60" w:type="dxa"/>
              <w:bottom w:w="30" w:type="dxa"/>
              <w:right w:w="60" w:type="dxa"/>
            </w:tcMar>
          </w:tcPr>
          <w:p w14:paraId="0A0B3299" w14:textId="77777777" w:rsidR="00E05E66" w:rsidRDefault="00000000">
            <w:pPr>
              <w:spacing w:after="0" w:line="240" w:lineRule="auto"/>
            </w:pPr>
            <w:r>
              <w:rPr>
                <w:rFonts w:eastAsia="Times New Roman" w:cs="Times New Roman"/>
                <w:sz w:val="17"/>
                <w:szCs w:val="17"/>
              </w:rPr>
              <w:t>Processed Food</w:t>
            </w:r>
          </w:p>
        </w:tc>
        <w:tc>
          <w:tcPr>
            <w:tcW w:w="650" w:type="dxa"/>
            <w:tcMar>
              <w:top w:w="30" w:type="dxa"/>
              <w:left w:w="60" w:type="dxa"/>
              <w:bottom w:w="30" w:type="dxa"/>
              <w:right w:w="60" w:type="dxa"/>
            </w:tcMar>
          </w:tcPr>
          <w:p w14:paraId="6AA0D685" w14:textId="77777777" w:rsidR="00E05E66" w:rsidRDefault="00000000">
            <w:pPr>
              <w:spacing w:after="0" w:line="240" w:lineRule="auto"/>
              <w:jc w:val="center"/>
            </w:pPr>
            <w:r>
              <w:rPr>
                <w:rFonts w:eastAsia="Times New Roman" w:cs="Times New Roman"/>
                <w:sz w:val="17"/>
                <w:szCs w:val="17"/>
              </w:rPr>
              <w:t>173</w:t>
            </w:r>
          </w:p>
        </w:tc>
        <w:tc>
          <w:tcPr>
            <w:tcW w:w="1050" w:type="dxa"/>
            <w:tcMar>
              <w:top w:w="30" w:type="dxa"/>
              <w:left w:w="60" w:type="dxa"/>
              <w:bottom w:w="30" w:type="dxa"/>
              <w:right w:w="60" w:type="dxa"/>
            </w:tcMar>
          </w:tcPr>
          <w:p w14:paraId="37529C56" w14:textId="77777777" w:rsidR="00E05E66" w:rsidRDefault="00000000">
            <w:pPr>
              <w:spacing w:after="0" w:line="240" w:lineRule="auto"/>
              <w:jc w:val="center"/>
            </w:pPr>
            <w:r>
              <w:rPr>
                <w:rFonts w:eastAsia="Times New Roman" w:cs="Times New Roman"/>
                <w:sz w:val="17"/>
                <w:szCs w:val="17"/>
              </w:rPr>
              <w:t>55,018</w:t>
            </w:r>
          </w:p>
        </w:tc>
        <w:tc>
          <w:tcPr>
            <w:tcW w:w="1050" w:type="dxa"/>
            <w:tcMar>
              <w:top w:w="30" w:type="dxa"/>
              <w:left w:w="60" w:type="dxa"/>
              <w:bottom w:w="30" w:type="dxa"/>
              <w:right w:w="60" w:type="dxa"/>
            </w:tcMar>
          </w:tcPr>
          <w:p w14:paraId="774457EB" w14:textId="77777777" w:rsidR="00E05E66" w:rsidRDefault="00000000">
            <w:pPr>
              <w:spacing w:after="0" w:line="240" w:lineRule="auto"/>
              <w:jc w:val="center"/>
            </w:pPr>
            <w:r>
              <w:rPr>
                <w:rFonts w:eastAsia="Times New Roman" w:cs="Times New Roman"/>
                <w:sz w:val="17"/>
                <w:szCs w:val="17"/>
              </w:rPr>
              <w:t>56,232</w:t>
            </w:r>
          </w:p>
        </w:tc>
        <w:tc>
          <w:tcPr>
            <w:tcW w:w="750" w:type="dxa"/>
            <w:shd w:val="clear" w:color="auto" w:fill="EEE4DC"/>
            <w:tcMar>
              <w:top w:w="30" w:type="dxa"/>
              <w:left w:w="60" w:type="dxa"/>
              <w:bottom w:w="30" w:type="dxa"/>
              <w:right w:w="60" w:type="dxa"/>
            </w:tcMar>
          </w:tcPr>
          <w:p w14:paraId="13EDD9EB" w14:textId="77777777" w:rsidR="00E05E66" w:rsidRDefault="00000000">
            <w:pPr>
              <w:spacing w:after="0" w:line="240" w:lineRule="auto"/>
              <w:jc w:val="center"/>
            </w:pPr>
            <w:r>
              <w:rPr>
                <w:rFonts w:eastAsia="Times New Roman" w:cs="Times New Roman"/>
                <w:sz w:val="17"/>
                <w:szCs w:val="17"/>
              </w:rPr>
              <w:t>15.2</w:t>
            </w:r>
          </w:p>
        </w:tc>
        <w:tc>
          <w:tcPr>
            <w:tcW w:w="750" w:type="dxa"/>
            <w:shd w:val="clear" w:color="auto" w:fill="F1DED7"/>
            <w:tcMar>
              <w:top w:w="30" w:type="dxa"/>
              <w:left w:w="60" w:type="dxa"/>
              <w:bottom w:w="30" w:type="dxa"/>
              <w:right w:w="60" w:type="dxa"/>
            </w:tcMar>
          </w:tcPr>
          <w:p w14:paraId="26CDD67A" w14:textId="77777777" w:rsidR="00E05E66" w:rsidRDefault="00000000">
            <w:pPr>
              <w:spacing w:after="0" w:line="240" w:lineRule="auto"/>
              <w:jc w:val="center"/>
            </w:pPr>
            <w:r>
              <w:rPr>
                <w:rFonts w:eastAsia="Times New Roman" w:cs="Times New Roman"/>
                <w:sz w:val="17"/>
                <w:szCs w:val="17"/>
              </w:rPr>
              <w:t>16.4</w:t>
            </w:r>
          </w:p>
        </w:tc>
        <w:tc>
          <w:tcPr>
            <w:tcW w:w="750" w:type="dxa"/>
            <w:shd w:val="clear" w:color="auto" w:fill="F6D2CF"/>
            <w:tcMar>
              <w:top w:w="30" w:type="dxa"/>
              <w:left w:w="60" w:type="dxa"/>
              <w:bottom w:w="30" w:type="dxa"/>
              <w:right w:w="60" w:type="dxa"/>
            </w:tcMar>
          </w:tcPr>
          <w:p w14:paraId="41A9D273" w14:textId="77777777" w:rsidR="00E05E66" w:rsidRDefault="00000000">
            <w:pPr>
              <w:spacing w:after="0" w:line="240" w:lineRule="auto"/>
              <w:jc w:val="center"/>
            </w:pPr>
            <w:r>
              <w:rPr>
                <w:rFonts w:eastAsia="Times New Roman" w:cs="Times New Roman"/>
                <w:sz w:val="17"/>
                <w:szCs w:val="17"/>
              </w:rPr>
              <w:t>83.8</w:t>
            </w:r>
          </w:p>
        </w:tc>
        <w:tc>
          <w:tcPr>
            <w:tcW w:w="750" w:type="dxa"/>
            <w:shd w:val="clear" w:color="auto" w:fill="EDE7DE"/>
            <w:tcMar>
              <w:top w:w="30" w:type="dxa"/>
              <w:left w:w="60" w:type="dxa"/>
              <w:bottom w:w="30" w:type="dxa"/>
              <w:right w:w="60" w:type="dxa"/>
            </w:tcMar>
          </w:tcPr>
          <w:p w14:paraId="2AFB4E3C" w14:textId="77777777" w:rsidR="00E05E66" w:rsidRDefault="00000000">
            <w:pPr>
              <w:spacing w:after="0" w:line="240" w:lineRule="auto"/>
              <w:jc w:val="center"/>
            </w:pPr>
            <w:r>
              <w:rPr>
                <w:rFonts w:eastAsia="Times New Roman" w:cs="Times New Roman"/>
                <w:sz w:val="17"/>
                <w:szCs w:val="17"/>
              </w:rPr>
              <w:t>4.6</w:t>
            </w:r>
          </w:p>
        </w:tc>
        <w:tc>
          <w:tcPr>
            <w:tcW w:w="710" w:type="dxa"/>
            <w:shd w:val="clear" w:color="auto" w:fill="E9F1E5"/>
            <w:tcMar>
              <w:top w:w="30" w:type="dxa"/>
              <w:left w:w="60" w:type="dxa"/>
              <w:bottom w:w="30" w:type="dxa"/>
              <w:right w:w="60" w:type="dxa"/>
            </w:tcMar>
          </w:tcPr>
          <w:p w14:paraId="05F52014" w14:textId="77777777" w:rsidR="00E05E66" w:rsidRDefault="00000000">
            <w:pPr>
              <w:spacing w:after="0" w:line="240" w:lineRule="auto"/>
              <w:jc w:val="center"/>
            </w:pPr>
            <w:r>
              <w:rPr>
                <w:rFonts w:eastAsia="Times New Roman" w:cs="Times New Roman"/>
                <w:sz w:val="17"/>
                <w:szCs w:val="17"/>
              </w:rPr>
              <w:t>1.7</w:t>
            </w:r>
          </w:p>
        </w:tc>
      </w:tr>
      <w:tr w:rsidR="00E05E66" w14:paraId="4024765B" w14:textId="77777777">
        <w:tc>
          <w:tcPr>
            <w:tcW w:w="1900" w:type="dxa"/>
            <w:tcMar>
              <w:top w:w="30" w:type="dxa"/>
              <w:left w:w="60" w:type="dxa"/>
              <w:bottom w:w="30" w:type="dxa"/>
              <w:right w:w="60" w:type="dxa"/>
            </w:tcMar>
          </w:tcPr>
          <w:p w14:paraId="49DADAA5" w14:textId="77777777" w:rsidR="00E05E66" w:rsidRDefault="00000000">
            <w:pPr>
              <w:spacing w:after="0" w:line="240" w:lineRule="auto"/>
            </w:pPr>
            <w:r>
              <w:rPr>
                <w:rFonts w:eastAsia="Times New Roman" w:cs="Times New Roman"/>
                <w:sz w:val="17"/>
                <w:szCs w:val="17"/>
              </w:rPr>
              <w:t>Frozen</w:t>
            </w:r>
          </w:p>
        </w:tc>
        <w:tc>
          <w:tcPr>
            <w:tcW w:w="650" w:type="dxa"/>
            <w:tcMar>
              <w:top w:w="30" w:type="dxa"/>
              <w:left w:w="60" w:type="dxa"/>
              <w:bottom w:w="30" w:type="dxa"/>
              <w:right w:w="60" w:type="dxa"/>
            </w:tcMar>
          </w:tcPr>
          <w:p w14:paraId="6C02C315" w14:textId="77777777" w:rsidR="00E05E66" w:rsidRDefault="00000000">
            <w:pPr>
              <w:spacing w:after="0" w:line="240" w:lineRule="auto"/>
              <w:jc w:val="center"/>
            </w:pPr>
            <w:r>
              <w:rPr>
                <w:rFonts w:eastAsia="Times New Roman" w:cs="Times New Roman"/>
                <w:sz w:val="17"/>
                <w:szCs w:val="17"/>
              </w:rPr>
              <w:t>137</w:t>
            </w:r>
          </w:p>
        </w:tc>
        <w:tc>
          <w:tcPr>
            <w:tcW w:w="1050" w:type="dxa"/>
            <w:tcMar>
              <w:top w:w="30" w:type="dxa"/>
              <w:left w:w="60" w:type="dxa"/>
              <w:bottom w:w="30" w:type="dxa"/>
              <w:right w:w="60" w:type="dxa"/>
            </w:tcMar>
          </w:tcPr>
          <w:p w14:paraId="4102DFFC" w14:textId="77777777" w:rsidR="00E05E66" w:rsidRDefault="00000000">
            <w:pPr>
              <w:spacing w:after="0" w:line="240" w:lineRule="auto"/>
              <w:jc w:val="center"/>
            </w:pPr>
            <w:r>
              <w:rPr>
                <w:rFonts w:eastAsia="Times New Roman" w:cs="Times New Roman"/>
                <w:sz w:val="17"/>
                <w:szCs w:val="17"/>
              </w:rPr>
              <w:t>90,696</w:t>
            </w:r>
          </w:p>
        </w:tc>
        <w:tc>
          <w:tcPr>
            <w:tcW w:w="1050" w:type="dxa"/>
            <w:tcMar>
              <w:top w:w="30" w:type="dxa"/>
              <w:left w:w="60" w:type="dxa"/>
              <w:bottom w:w="30" w:type="dxa"/>
              <w:right w:w="60" w:type="dxa"/>
            </w:tcMar>
          </w:tcPr>
          <w:p w14:paraId="26579AD8" w14:textId="77777777" w:rsidR="00E05E66" w:rsidRDefault="00000000">
            <w:pPr>
              <w:spacing w:after="0" w:line="240" w:lineRule="auto"/>
              <w:jc w:val="center"/>
            </w:pPr>
            <w:r>
              <w:rPr>
                <w:rFonts w:eastAsia="Times New Roman" w:cs="Times New Roman"/>
                <w:sz w:val="17"/>
                <w:szCs w:val="17"/>
              </w:rPr>
              <w:t>92,016</w:t>
            </w:r>
          </w:p>
        </w:tc>
        <w:tc>
          <w:tcPr>
            <w:tcW w:w="750" w:type="dxa"/>
            <w:shd w:val="clear" w:color="auto" w:fill="ECEAE0"/>
            <w:tcMar>
              <w:top w:w="30" w:type="dxa"/>
              <w:left w:w="60" w:type="dxa"/>
              <w:bottom w:w="30" w:type="dxa"/>
              <w:right w:w="60" w:type="dxa"/>
            </w:tcMar>
          </w:tcPr>
          <w:p w14:paraId="09DC1136" w14:textId="77777777" w:rsidR="00E05E66" w:rsidRDefault="00000000">
            <w:pPr>
              <w:spacing w:after="0" w:line="240" w:lineRule="auto"/>
              <w:jc w:val="center"/>
            </w:pPr>
            <w:r>
              <w:rPr>
                <w:rFonts w:eastAsia="Times New Roman" w:cs="Times New Roman"/>
                <w:sz w:val="17"/>
                <w:szCs w:val="17"/>
              </w:rPr>
              <w:t>9.3</w:t>
            </w:r>
          </w:p>
        </w:tc>
        <w:tc>
          <w:tcPr>
            <w:tcW w:w="750" w:type="dxa"/>
            <w:shd w:val="clear" w:color="auto" w:fill="F0E0D8"/>
            <w:tcMar>
              <w:top w:w="30" w:type="dxa"/>
              <w:left w:w="60" w:type="dxa"/>
              <w:bottom w:w="30" w:type="dxa"/>
              <w:right w:w="60" w:type="dxa"/>
            </w:tcMar>
          </w:tcPr>
          <w:p w14:paraId="5A8CF5B2" w14:textId="77777777" w:rsidR="00E05E66" w:rsidRDefault="00000000">
            <w:pPr>
              <w:spacing w:after="0" w:line="240" w:lineRule="auto"/>
              <w:jc w:val="center"/>
            </w:pPr>
            <w:r>
              <w:rPr>
                <w:rFonts w:eastAsia="Times New Roman" w:cs="Times New Roman"/>
                <w:sz w:val="17"/>
                <w:szCs w:val="17"/>
              </w:rPr>
              <w:t>16.1</w:t>
            </w:r>
          </w:p>
        </w:tc>
        <w:tc>
          <w:tcPr>
            <w:tcW w:w="750" w:type="dxa"/>
            <w:shd w:val="clear" w:color="auto" w:fill="F4D7D2"/>
            <w:tcMar>
              <w:top w:w="30" w:type="dxa"/>
              <w:left w:w="60" w:type="dxa"/>
              <w:bottom w:w="30" w:type="dxa"/>
              <w:right w:w="60" w:type="dxa"/>
            </w:tcMar>
          </w:tcPr>
          <w:p w14:paraId="6CBA8687" w14:textId="77777777" w:rsidR="00E05E66" w:rsidRDefault="00000000">
            <w:pPr>
              <w:spacing w:after="0" w:line="240" w:lineRule="auto"/>
              <w:jc w:val="center"/>
            </w:pPr>
            <w:r>
              <w:rPr>
                <w:rFonts w:eastAsia="Times New Roman" w:cs="Times New Roman"/>
                <w:sz w:val="17"/>
                <w:szCs w:val="17"/>
              </w:rPr>
              <w:t>73.0</w:t>
            </w:r>
          </w:p>
        </w:tc>
        <w:tc>
          <w:tcPr>
            <w:tcW w:w="750" w:type="dxa"/>
            <w:shd w:val="clear" w:color="auto" w:fill="EEE4DB"/>
            <w:tcMar>
              <w:top w:w="30" w:type="dxa"/>
              <w:left w:w="60" w:type="dxa"/>
              <w:bottom w:w="30" w:type="dxa"/>
              <w:right w:w="60" w:type="dxa"/>
            </w:tcMar>
          </w:tcPr>
          <w:p w14:paraId="4AC7D337" w14:textId="77777777" w:rsidR="00E05E66" w:rsidRDefault="00000000">
            <w:pPr>
              <w:spacing w:after="0" w:line="240" w:lineRule="auto"/>
              <w:jc w:val="center"/>
            </w:pPr>
            <w:r>
              <w:rPr>
                <w:rFonts w:eastAsia="Times New Roman" w:cs="Times New Roman"/>
                <w:sz w:val="17"/>
                <w:szCs w:val="17"/>
              </w:rPr>
              <w:t>5.8</w:t>
            </w:r>
          </w:p>
        </w:tc>
        <w:tc>
          <w:tcPr>
            <w:tcW w:w="710" w:type="dxa"/>
            <w:shd w:val="clear" w:color="auto" w:fill="E8F5E8"/>
            <w:tcMar>
              <w:top w:w="30" w:type="dxa"/>
              <w:left w:w="60" w:type="dxa"/>
              <w:bottom w:w="30" w:type="dxa"/>
              <w:right w:w="60" w:type="dxa"/>
            </w:tcMar>
          </w:tcPr>
          <w:p w14:paraId="6EFECDA7" w14:textId="77777777" w:rsidR="00E05E66" w:rsidRDefault="00000000">
            <w:pPr>
              <w:spacing w:after="0" w:line="240" w:lineRule="auto"/>
              <w:jc w:val="center"/>
            </w:pPr>
            <w:r>
              <w:rPr>
                <w:rFonts w:eastAsia="Times New Roman" w:cs="Times New Roman"/>
                <w:sz w:val="17"/>
                <w:szCs w:val="17"/>
              </w:rPr>
              <w:t>0.0</w:t>
            </w:r>
          </w:p>
        </w:tc>
      </w:tr>
      <w:tr w:rsidR="00E05E66" w14:paraId="33EB4299" w14:textId="77777777">
        <w:tc>
          <w:tcPr>
            <w:tcW w:w="1900" w:type="dxa"/>
            <w:tcMar>
              <w:top w:w="30" w:type="dxa"/>
              <w:left w:w="60" w:type="dxa"/>
              <w:bottom w:w="30" w:type="dxa"/>
              <w:right w:w="60" w:type="dxa"/>
            </w:tcMar>
          </w:tcPr>
          <w:p w14:paraId="51DD501B" w14:textId="77777777" w:rsidR="00E05E66" w:rsidRDefault="00000000">
            <w:pPr>
              <w:spacing w:after="0" w:line="240" w:lineRule="auto"/>
            </w:pPr>
            <w:r>
              <w:rPr>
                <w:rFonts w:eastAsia="Times New Roman" w:cs="Times New Roman"/>
                <w:sz w:val="17"/>
                <w:szCs w:val="17"/>
              </w:rPr>
              <w:t>Eggs &amp; Tofu</w:t>
            </w:r>
          </w:p>
        </w:tc>
        <w:tc>
          <w:tcPr>
            <w:tcW w:w="650" w:type="dxa"/>
            <w:tcMar>
              <w:top w:w="30" w:type="dxa"/>
              <w:left w:w="60" w:type="dxa"/>
              <w:bottom w:w="30" w:type="dxa"/>
              <w:right w:w="60" w:type="dxa"/>
            </w:tcMar>
          </w:tcPr>
          <w:p w14:paraId="32570DDA" w14:textId="77777777" w:rsidR="00E05E66" w:rsidRDefault="00000000">
            <w:pPr>
              <w:spacing w:after="0" w:line="240" w:lineRule="auto"/>
              <w:jc w:val="center"/>
            </w:pPr>
            <w:r>
              <w:rPr>
                <w:rFonts w:eastAsia="Times New Roman" w:cs="Times New Roman"/>
                <w:sz w:val="17"/>
                <w:szCs w:val="17"/>
              </w:rPr>
              <w:t>24</w:t>
            </w:r>
          </w:p>
        </w:tc>
        <w:tc>
          <w:tcPr>
            <w:tcW w:w="1050" w:type="dxa"/>
            <w:tcMar>
              <w:top w:w="30" w:type="dxa"/>
              <w:left w:w="60" w:type="dxa"/>
              <w:bottom w:w="30" w:type="dxa"/>
              <w:right w:w="60" w:type="dxa"/>
            </w:tcMar>
          </w:tcPr>
          <w:p w14:paraId="50BB2934" w14:textId="77777777" w:rsidR="00E05E66" w:rsidRDefault="00000000">
            <w:pPr>
              <w:spacing w:after="0" w:line="240" w:lineRule="auto"/>
              <w:jc w:val="center"/>
            </w:pPr>
            <w:r>
              <w:rPr>
                <w:rFonts w:eastAsia="Times New Roman" w:cs="Times New Roman"/>
                <w:sz w:val="17"/>
                <w:szCs w:val="17"/>
              </w:rPr>
              <w:t>38,308</w:t>
            </w:r>
          </w:p>
        </w:tc>
        <w:tc>
          <w:tcPr>
            <w:tcW w:w="1050" w:type="dxa"/>
            <w:tcMar>
              <w:top w:w="30" w:type="dxa"/>
              <w:left w:w="60" w:type="dxa"/>
              <w:bottom w:w="30" w:type="dxa"/>
              <w:right w:w="60" w:type="dxa"/>
            </w:tcMar>
          </w:tcPr>
          <w:p w14:paraId="372894E5" w14:textId="77777777" w:rsidR="00E05E66" w:rsidRDefault="00000000">
            <w:pPr>
              <w:spacing w:after="0" w:line="240" w:lineRule="auto"/>
              <w:jc w:val="center"/>
            </w:pPr>
            <w:r>
              <w:rPr>
                <w:rFonts w:eastAsia="Times New Roman" w:cs="Times New Roman"/>
                <w:sz w:val="17"/>
                <w:szCs w:val="17"/>
              </w:rPr>
              <w:t>38,308</w:t>
            </w:r>
          </w:p>
        </w:tc>
        <w:tc>
          <w:tcPr>
            <w:tcW w:w="750" w:type="dxa"/>
            <w:shd w:val="clear" w:color="auto" w:fill="E8F5E8"/>
            <w:tcMar>
              <w:top w:w="30" w:type="dxa"/>
              <w:left w:w="60" w:type="dxa"/>
              <w:bottom w:w="30" w:type="dxa"/>
              <w:right w:w="60" w:type="dxa"/>
            </w:tcMar>
          </w:tcPr>
          <w:p w14:paraId="2AE4E956" w14:textId="77777777" w:rsidR="00E05E66" w:rsidRDefault="00000000">
            <w:pPr>
              <w:spacing w:after="0" w:line="240" w:lineRule="auto"/>
              <w:jc w:val="center"/>
            </w:pPr>
            <w:r>
              <w:rPr>
                <w:rFonts w:eastAsia="Times New Roman" w:cs="Times New Roman"/>
                <w:sz w:val="17"/>
                <w:szCs w:val="17"/>
              </w:rPr>
              <w:t>0.0</w:t>
            </w:r>
          </w:p>
        </w:tc>
        <w:tc>
          <w:tcPr>
            <w:tcW w:w="750" w:type="dxa"/>
            <w:tcMar>
              <w:top w:w="30" w:type="dxa"/>
              <w:left w:w="60" w:type="dxa"/>
              <w:bottom w:w="30" w:type="dxa"/>
              <w:right w:w="60" w:type="dxa"/>
            </w:tcMar>
          </w:tcPr>
          <w:p w14:paraId="2AD86169" w14:textId="77777777" w:rsidR="00E05E66" w:rsidRDefault="00000000">
            <w:pPr>
              <w:spacing w:after="0" w:line="240" w:lineRule="auto"/>
              <w:jc w:val="center"/>
            </w:pPr>
            <w:r>
              <w:rPr>
                <w:rFonts w:eastAsia="Times New Roman" w:cs="Times New Roman"/>
                <w:sz w:val="17"/>
                <w:szCs w:val="17"/>
              </w:rPr>
              <w:t xml:space="preserve">, </w:t>
            </w:r>
          </w:p>
        </w:tc>
        <w:tc>
          <w:tcPr>
            <w:tcW w:w="750" w:type="dxa"/>
            <w:shd w:val="clear" w:color="auto" w:fill="F6D0CD"/>
            <w:tcMar>
              <w:top w:w="30" w:type="dxa"/>
              <w:left w:w="60" w:type="dxa"/>
              <w:bottom w:w="30" w:type="dxa"/>
              <w:right w:w="60" w:type="dxa"/>
            </w:tcMar>
          </w:tcPr>
          <w:p w14:paraId="4A1DB277" w14:textId="77777777" w:rsidR="00E05E66" w:rsidRDefault="00000000">
            <w:pPr>
              <w:spacing w:after="0" w:line="240" w:lineRule="auto"/>
              <w:jc w:val="center"/>
            </w:pPr>
            <w:r>
              <w:rPr>
                <w:rFonts w:eastAsia="Times New Roman" w:cs="Times New Roman"/>
                <w:sz w:val="17"/>
                <w:szCs w:val="17"/>
              </w:rPr>
              <w:t>87.5</w:t>
            </w:r>
          </w:p>
        </w:tc>
        <w:tc>
          <w:tcPr>
            <w:tcW w:w="750" w:type="dxa"/>
            <w:shd w:val="clear" w:color="auto" w:fill="E8F5E8"/>
            <w:tcMar>
              <w:top w:w="30" w:type="dxa"/>
              <w:left w:w="60" w:type="dxa"/>
              <w:bottom w:w="30" w:type="dxa"/>
              <w:right w:w="60" w:type="dxa"/>
            </w:tcMar>
          </w:tcPr>
          <w:p w14:paraId="70545758" w14:textId="77777777" w:rsidR="00E05E66" w:rsidRDefault="00000000">
            <w:pPr>
              <w:spacing w:after="0" w:line="240" w:lineRule="auto"/>
              <w:jc w:val="center"/>
            </w:pPr>
            <w:r>
              <w:rPr>
                <w:rFonts w:eastAsia="Times New Roman" w:cs="Times New Roman"/>
                <w:sz w:val="17"/>
                <w:szCs w:val="17"/>
              </w:rPr>
              <w:t>0.0</w:t>
            </w:r>
          </w:p>
        </w:tc>
        <w:tc>
          <w:tcPr>
            <w:tcW w:w="710" w:type="dxa"/>
            <w:shd w:val="clear" w:color="auto" w:fill="F2DCD6"/>
            <w:tcMar>
              <w:top w:w="30" w:type="dxa"/>
              <w:left w:w="60" w:type="dxa"/>
              <w:bottom w:w="30" w:type="dxa"/>
              <w:right w:w="60" w:type="dxa"/>
            </w:tcMar>
          </w:tcPr>
          <w:p w14:paraId="6EA7BC2F" w14:textId="77777777" w:rsidR="00E05E66" w:rsidRDefault="00000000">
            <w:pPr>
              <w:spacing w:after="0" w:line="240" w:lineRule="auto"/>
              <w:jc w:val="center"/>
            </w:pPr>
            <w:r>
              <w:rPr>
                <w:rFonts w:eastAsia="Times New Roman" w:cs="Times New Roman"/>
                <w:sz w:val="17"/>
                <w:szCs w:val="17"/>
              </w:rPr>
              <w:t>12.5</w:t>
            </w:r>
          </w:p>
        </w:tc>
      </w:tr>
      <w:tr w:rsidR="00E05E66" w14:paraId="7ABF12E4" w14:textId="77777777">
        <w:tc>
          <w:tcPr>
            <w:tcW w:w="1900" w:type="dxa"/>
            <w:tcMar>
              <w:top w:w="30" w:type="dxa"/>
              <w:left w:w="60" w:type="dxa"/>
              <w:bottom w:w="30" w:type="dxa"/>
              <w:right w:w="60" w:type="dxa"/>
            </w:tcMar>
          </w:tcPr>
          <w:p w14:paraId="6366B43B" w14:textId="77777777" w:rsidR="00E05E66" w:rsidRDefault="00000000">
            <w:pPr>
              <w:spacing w:after="0" w:line="240" w:lineRule="auto"/>
            </w:pPr>
            <w:r>
              <w:rPr>
                <w:rFonts w:eastAsia="Times New Roman" w:cs="Times New Roman"/>
                <w:sz w:val="17"/>
                <w:szCs w:val="17"/>
              </w:rPr>
              <w:t>Confectionary</w:t>
            </w:r>
          </w:p>
        </w:tc>
        <w:tc>
          <w:tcPr>
            <w:tcW w:w="650" w:type="dxa"/>
            <w:tcMar>
              <w:top w:w="30" w:type="dxa"/>
              <w:left w:w="60" w:type="dxa"/>
              <w:bottom w:w="30" w:type="dxa"/>
              <w:right w:w="60" w:type="dxa"/>
            </w:tcMar>
          </w:tcPr>
          <w:p w14:paraId="761D34AA" w14:textId="77777777" w:rsidR="00E05E66" w:rsidRDefault="00000000">
            <w:pPr>
              <w:spacing w:after="0" w:line="240" w:lineRule="auto"/>
              <w:jc w:val="center"/>
            </w:pPr>
            <w:r>
              <w:rPr>
                <w:rFonts w:eastAsia="Times New Roman" w:cs="Times New Roman"/>
                <w:sz w:val="17"/>
                <w:szCs w:val="17"/>
              </w:rPr>
              <w:t>583</w:t>
            </w:r>
          </w:p>
        </w:tc>
        <w:tc>
          <w:tcPr>
            <w:tcW w:w="1050" w:type="dxa"/>
            <w:tcMar>
              <w:top w:w="30" w:type="dxa"/>
              <w:left w:w="60" w:type="dxa"/>
              <w:bottom w:w="30" w:type="dxa"/>
              <w:right w:w="60" w:type="dxa"/>
            </w:tcMar>
          </w:tcPr>
          <w:p w14:paraId="597A59EA" w14:textId="77777777" w:rsidR="00E05E66" w:rsidRDefault="00000000">
            <w:pPr>
              <w:spacing w:after="0" w:line="240" w:lineRule="auto"/>
              <w:jc w:val="center"/>
            </w:pPr>
            <w:r>
              <w:rPr>
                <w:rFonts w:eastAsia="Times New Roman" w:cs="Times New Roman"/>
                <w:sz w:val="17"/>
                <w:szCs w:val="17"/>
              </w:rPr>
              <w:t>63,327</w:t>
            </w:r>
          </w:p>
        </w:tc>
        <w:tc>
          <w:tcPr>
            <w:tcW w:w="1050" w:type="dxa"/>
            <w:tcMar>
              <w:top w:w="30" w:type="dxa"/>
              <w:left w:w="60" w:type="dxa"/>
              <w:bottom w:w="30" w:type="dxa"/>
              <w:right w:w="60" w:type="dxa"/>
            </w:tcMar>
          </w:tcPr>
          <w:p w14:paraId="45D83F19" w14:textId="77777777" w:rsidR="00E05E66" w:rsidRDefault="00000000">
            <w:pPr>
              <w:spacing w:after="0" w:line="240" w:lineRule="auto"/>
              <w:jc w:val="center"/>
            </w:pPr>
            <w:r>
              <w:rPr>
                <w:rFonts w:eastAsia="Times New Roman" w:cs="Times New Roman"/>
                <w:sz w:val="17"/>
                <w:szCs w:val="17"/>
              </w:rPr>
              <w:t>67,482</w:t>
            </w:r>
          </w:p>
        </w:tc>
        <w:tc>
          <w:tcPr>
            <w:tcW w:w="750" w:type="dxa"/>
            <w:shd w:val="clear" w:color="auto" w:fill="EFE1DA"/>
            <w:tcMar>
              <w:top w:w="30" w:type="dxa"/>
              <w:left w:w="60" w:type="dxa"/>
              <w:bottom w:w="30" w:type="dxa"/>
              <w:right w:w="60" w:type="dxa"/>
            </w:tcMar>
          </w:tcPr>
          <w:p w14:paraId="13F97ACD" w14:textId="77777777" w:rsidR="00E05E66" w:rsidRDefault="00000000">
            <w:pPr>
              <w:spacing w:after="0" w:line="240" w:lineRule="auto"/>
              <w:jc w:val="center"/>
            </w:pPr>
            <w:r>
              <w:rPr>
                <w:rFonts w:eastAsia="Times New Roman" w:cs="Times New Roman"/>
                <w:sz w:val="17"/>
                <w:szCs w:val="17"/>
              </w:rPr>
              <w:t>17.6</w:t>
            </w:r>
          </w:p>
        </w:tc>
        <w:tc>
          <w:tcPr>
            <w:tcW w:w="750" w:type="dxa"/>
            <w:shd w:val="clear" w:color="auto" w:fill="F8CECC"/>
            <w:tcMar>
              <w:top w:w="30" w:type="dxa"/>
              <w:left w:w="60" w:type="dxa"/>
              <w:bottom w:w="30" w:type="dxa"/>
              <w:right w:w="60" w:type="dxa"/>
            </w:tcMar>
          </w:tcPr>
          <w:p w14:paraId="64E8C058" w14:textId="77777777" w:rsidR="00E05E66" w:rsidRDefault="00000000">
            <w:pPr>
              <w:spacing w:after="0" w:line="240" w:lineRule="auto"/>
              <w:jc w:val="center"/>
            </w:pPr>
            <w:r>
              <w:rPr>
                <w:rFonts w:eastAsia="Times New Roman" w:cs="Times New Roman"/>
                <w:sz w:val="17"/>
                <w:szCs w:val="17"/>
              </w:rPr>
              <w:t>19.1</w:t>
            </w:r>
          </w:p>
        </w:tc>
        <w:tc>
          <w:tcPr>
            <w:tcW w:w="750" w:type="dxa"/>
            <w:shd w:val="clear" w:color="auto" w:fill="F1DED8"/>
            <w:tcMar>
              <w:top w:w="30" w:type="dxa"/>
              <w:left w:w="60" w:type="dxa"/>
              <w:bottom w:w="30" w:type="dxa"/>
              <w:right w:w="60" w:type="dxa"/>
            </w:tcMar>
          </w:tcPr>
          <w:p w14:paraId="5027E0CF" w14:textId="77777777" w:rsidR="00E05E66" w:rsidRDefault="00000000">
            <w:pPr>
              <w:spacing w:after="0" w:line="240" w:lineRule="auto"/>
              <w:jc w:val="center"/>
            </w:pPr>
            <w:r>
              <w:rPr>
                <w:rFonts w:eastAsia="Times New Roman" w:cs="Times New Roman"/>
                <w:sz w:val="17"/>
                <w:szCs w:val="17"/>
              </w:rPr>
              <w:t>56.3</w:t>
            </w:r>
          </w:p>
        </w:tc>
        <w:tc>
          <w:tcPr>
            <w:tcW w:w="750" w:type="dxa"/>
            <w:shd w:val="clear" w:color="auto" w:fill="EBECE1"/>
            <w:tcMar>
              <w:top w:w="30" w:type="dxa"/>
              <w:left w:w="60" w:type="dxa"/>
              <w:bottom w:w="30" w:type="dxa"/>
              <w:right w:w="60" w:type="dxa"/>
            </w:tcMar>
          </w:tcPr>
          <w:p w14:paraId="24E8542C" w14:textId="77777777" w:rsidR="00E05E66" w:rsidRDefault="00000000">
            <w:pPr>
              <w:spacing w:after="0" w:line="240" w:lineRule="auto"/>
              <w:jc w:val="center"/>
            </w:pPr>
            <w:r>
              <w:rPr>
                <w:rFonts w:eastAsia="Times New Roman" w:cs="Times New Roman"/>
                <w:sz w:val="17"/>
                <w:szCs w:val="17"/>
              </w:rPr>
              <w:t>2.9</w:t>
            </w:r>
          </w:p>
        </w:tc>
        <w:tc>
          <w:tcPr>
            <w:tcW w:w="710" w:type="dxa"/>
            <w:shd w:val="clear" w:color="auto" w:fill="EAEDE2"/>
            <w:tcMar>
              <w:top w:w="30" w:type="dxa"/>
              <w:left w:w="60" w:type="dxa"/>
              <w:bottom w:w="30" w:type="dxa"/>
              <w:right w:w="60" w:type="dxa"/>
            </w:tcMar>
          </w:tcPr>
          <w:p w14:paraId="7FF1CFD5" w14:textId="77777777" w:rsidR="00E05E66" w:rsidRDefault="00000000">
            <w:pPr>
              <w:spacing w:after="0" w:line="240" w:lineRule="auto"/>
              <w:jc w:val="center"/>
            </w:pPr>
            <w:r>
              <w:rPr>
                <w:rFonts w:eastAsia="Times New Roman" w:cs="Times New Roman"/>
                <w:sz w:val="17"/>
                <w:szCs w:val="17"/>
              </w:rPr>
              <w:t>3.6</w:t>
            </w:r>
          </w:p>
        </w:tc>
      </w:tr>
      <w:tr w:rsidR="00E05E66" w14:paraId="2374BA44" w14:textId="77777777">
        <w:tc>
          <w:tcPr>
            <w:tcW w:w="1900" w:type="dxa"/>
            <w:tcMar>
              <w:top w:w="30" w:type="dxa"/>
              <w:left w:w="60" w:type="dxa"/>
              <w:bottom w:w="30" w:type="dxa"/>
              <w:right w:w="60" w:type="dxa"/>
            </w:tcMar>
          </w:tcPr>
          <w:p w14:paraId="0F44A00E" w14:textId="77777777" w:rsidR="00E05E66" w:rsidRDefault="00000000">
            <w:pPr>
              <w:spacing w:after="0" w:line="240" w:lineRule="auto"/>
            </w:pPr>
            <w:r>
              <w:rPr>
                <w:rFonts w:eastAsia="Times New Roman" w:cs="Times New Roman"/>
                <w:sz w:val="17"/>
                <w:szCs w:val="17"/>
              </w:rPr>
              <w:t>Spices</w:t>
            </w:r>
          </w:p>
        </w:tc>
        <w:tc>
          <w:tcPr>
            <w:tcW w:w="650" w:type="dxa"/>
            <w:tcMar>
              <w:top w:w="30" w:type="dxa"/>
              <w:left w:w="60" w:type="dxa"/>
              <w:bottom w:w="30" w:type="dxa"/>
              <w:right w:w="60" w:type="dxa"/>
            </w:tcMar>
          </w:tcPr>
          <w:p w14:paraId="56BCE9DD" w14:textId="77777777" w:rsidR="00E05E66" w:rsidRDefault="00000000">
            <w:pPr>
              <w:spacing w:after="0" w:line="240" w:lineRule="auto"/>
              <w:jc w:val="center"/>
            </w:pPr>
            <w:r>
              <w:rPr>
                <w:rFonts w:eastAsia="Times New Roman" w:cs="Times New Roman"/>
                <w:sz w:val="17"/>
                <w:szCs w:val="17"/>
              </w:rPr>
              <w:t>300</w:t>
            </w:r>
          </w:p>
        </w:tc>
        <w:tc>
          <w:tcPr>
            <w:tcW w:w="1050" w:type="dxa"/>
            <w:tcMar>
              <w:top w:w="30" w:type="dxa"/>
              <w:left w:w="60" w:type="dxa"/>
              <w:bottom w:w="30" w:type="dxa"/>
              <w:right w:w="60" w:type="dxa"/>
            </w:tcMar>
          </w:tcPr>
          <w:p w14:paraId="2864A6A4" w14:textId="77777777" w:rsidR="00E05E66" w:rsidRDefault="00000000">
            <w:pPr>
              <w:spacing w:after="0" w:line="240" w:lineRule="auto"/>
              <w:jc w:val="center"/>
            </w:pPr>
            <w:r>
              <w:rPr>
                <w:rFonts w:eastAsia="Times New Roman" w:cs="Times New Roman"/>
                <w:sz w:val="17"/>
                <w:szCs w:val="17"/>
              </w:rPr>
              <w:t>67,891</w:t>
            </w:r>
          </w:p>
        </w:tc>
        <w:tc>
          <w:tcPr>
            <w:tcW w:w="1050" w:type="dxa"/>
            <w:tcMar>
              <w:top w:w="30" w:type="dxa"/>
              <w:left w:w="60" w:type="dxa"/>
              <w:bottom w:w="30" w:type="dxa"/>
              <w:right w:w="60" w:type="dxa"/>
            </w:tcMar>
          </w:tcPr>
          <w:p w14:paraId="3859B5E0" w14:textId="77777777" w:rsidR="00E05E66" w:rsidRDefault="00000000">
            <w:pPr>
              <w:spacing w:after="0" w:line="240" w:lineRule="auto"/>
              <w:jc w:val="center"/>
            </w:pPr>
            <w:r>
              <w:rPr>
                <w:rFonts w:eastAsia="Times New Roman" w:cs="Times New Roman"/>
                <w:sz w:val="17"/>
                <w:szCs w:val="17"/>
              </w:rPr>
              <w:t>72,636</w:t>
            </w:r>
          </w:p>
        </w:tc>
        <w:tc>
          <w:tcPr>
            <w:tcW w:w="750" w:type="dxa"/>
            <w:shd w:val="clear" w:color="auto" w:fill="F8CECC"/>
            <w:tcMar>
              <w:top w:w="30" w:type="dxa"/>
              <w:left w:w="60" w:type="dxa"/>
              <w:bottom w:w="30" w:type="dxa"/>
              <w:right w:w="60" w:type="dxa"/>
            </w:tcMar>
          </w:tcPr>
          <w:p w14:paraId="64A3131C" w14:textId="77777777" w:rsidR="00E05E66" w:rsidRDefault="00000000">
            <w:pPr>
              <w:spacing w:after="0" w:line="240" w:lineRule="auto"/>
              <w:jc w:val="center"/>
            </w:pPr>
            <w:r>
              <w:rPr>
                <w:rFonts w:eastAsia="Times New Roman" w:cs="Times New Roman"/>
                <w:sz w:val="17"/>
                <w:szCs w:val="17"/>
              </w:rPr>
              <w:t>36.1</w:t>
            </w:r>
          </w:p>
        </w:tc>
        <w:tc>
          <w:tcPr>
            <w:tcW w:w="750" w:type="dxa"/>
            <w:shd w:val="clear" w:color="auto" w:fill="EFE3DB"/>
            <w:tcMar>
              <w:top w:w="30" w:type="dxa"/>
              <w:left w:w="60" w:type="dxa"/>
              <w:bottom w:w="30" w:type="dxa"/>
              <w:right w:w="60" w:type="dxa"/>
            </w:tcMar>
          </w:tcPr>
          <w:p w14:paraId="5F2116FA" w14:textId="77777777" w:rsidR="00E05E66" w:rsidRDefault="00000000">
            <w:pPr>
              <w:spacing w:after="0" w:line="240" w:lineRule="auto"/>
              <w:jc w:val="center"/>
            </w:pPr>
            <w:r>
              <w:rPr>
                <w:rFonts w:eastAsia="Times New Roman" w:cs="Times New Roman"/>
                <w:sz w:val="17"/>
                <w:szCs w:val="17"/>
              </w:rPr>
              <w:t>15.6</w:t>
            </w:r>
          </w:p>
        </w:tc>
        <w:tc>
          <w:tcPr>
            <w:tcW w:w="750" w:type="dxa"/>
            <w:shd w:val="clear" w:color="auto" w:fill="F7CECC"/>
            <w:tcMar>
              <w:top w:w="30" w:type="dxa"/>
              <w:left w:w="60" w:type="dxa"/>
              <w:bottom w:w="30" w:type="dxa"/>
              <w:right w:w="60" w:type="dxa"/>
            </w:tcMar>
          </w:tcPr>
          <w:p w14:paraId="137B4DB0" w14:textId="77777777" w:rsidR="00E05E66" w:rsidRDefault="00000000">
            <w:pPr>
              <w:spacing w:after="0" w:line="240" w:lineRule="auto"/>
              <w:jc w:val="center"/>
            </w:pPr>
            <w:r>
              <w:rPr>
                <w:rFonts w:eastAsia="Times New Roman" w:cs="Times New Roman"/>
                <w:sz w:val="17"/>
                <w:szCs w:val="17"/>
              </w:rPr>
              <w:t>92.7</w:t>
            </w:r>
          </w:p>
        </w:tc>
        <w:tc>
          <w:tcPr>
            <w:tcW w:w="750" w:type="dxa"/>
            <w:shd w:val="clear" w:color="auto" w:fill="E8F2E6"/>
            <w:tcMar>
              <w:top w:w="30" w:type="dxa"/>
              <w:left w:w="60" w:type="dxa"/>
              <w:bottom w:w="30" w:type="dxa"/>
              <w:right w:w="60" w:type="dxa"/>
            </w:tcMar>
          </w:tcPr>
          <w:p w14:paraId="7C601CBF" w14:textId="77777777" w:rsidR="00E05E66" w:rsidRDefault="00000000">
            <w:pPr>
              <w:spacing w:after="0" w:line="240" w:lineRule="auto"/>
              <w:jc w:val="center"/>
            </w:pPr>
            <w:r>
              <w:rPr>
                <w:rFonts w:eastAsia="Times New Roman" w:cs="Times New Roman"/>
                <w:sz w:val="17"/>
                <w:szCs w:val="17"/>
              </w:rPr>
              <w:t>0.7</w:t>
            </w:r>
          </w:p>
        </w:tc>
        <w:tc>
          <w:tcPr>
            <w:tcW w:w="710" w:type="dxa"/>
            <w:shd w:val="clear" w:color="auto" w:fill="EBEDE2"/>
            <w:tcMar>
              <w:top w:w="30" w:type="dxa"/>
              <w:left w:w="60" w:type="dxa"/>
              <w:bottom w:w="30" w:type="dxa"/>
              <w:right w:w="60" w:type="dxa"/>
            </w:tcMar>
          </w:tcPr>
          <w:p w14:paraId="0E3BB3FD" w14:textId="77777777" w:rsidR="00E05E66" w:rsidRDefault="00000000">
            <w:pPr>
              <w:spacing w:after="0" w:line="240" w:lineRule="auto"/>
              <w:jc w:val="center"/>
            </w:pPr>
            <w:r>
              <w:rPr>
                <w:rFonts w:eastAsia="Times New Roman" w:cs="Times New Roman"/>
                <w:sz w:val="17"/>
                <w:szCs w:val="17"/>
              </w:rPr>
              <w:t>3.7</w:t>
            </w:r>
          </w:p>
        </w:tc>
      </w:tr>
      <w:tr w:rsidR="00E05E66" w14:paraId="35E1161B" w14:textId="77777777">
        <w:tc>
          <w:tcPr>
            <w:tcW w:w="1900" w:type="dxa"/>
            <w:tcBorders>
              <w:bottom w:val="single" w:sz="1" w:space="0" w:color="000000"/>
            </w:tcBorders>
            <w:tcMar>
              <w:top w:w="30" w:type="dxa"/>
              <w:left w:w="60" w:type="dxa"/>
              <w:bottom w:w="30" w:type="dxa"/>
              <w:right w:w="60" w:type="dxa"/>
            </w:tcMar>
          </w:tcPr>
          <w:p w14:paraId="501A95DF" w14:textId="77777777" w:rsidR="00E05E66" w:rsidRDefault="00000000">
            <w:pPr>
              <w:spacing w:after="0" w:line="240" w:lineRule="auto"/>
            </w:pPr>
            <w:r>
              <w:rPr>
                <w:rFonts w:eastAsia="Times New Roman" w:cs="Times New Roman"/>
                <w:sz w:val="17"/>
                <w:szCs w:val="17"/>
              </w:rPr>
              <w:t>Baby Products</w:t>
            </w:r>
          </w:p>
        </w:tc>
        <w:tc>
          <w:tcPr>
            <w:tcW w:w="650" w:type="dxa"/>
            <w:tcBorders>
              <w:bottom w:val="single" w:sz="1" w:space="0" w:color="000000"/>
            </w:tcBorders>
            <w:tcMar>
              <w:top w:w="30" w:type="dxa"/>
              <w:left w:w="60" w:type="dxa"/>
              <w:bottom w:w="30" w:type="dxa"/>
              <w:right w:w="60" w:type="dxa"/>
            </w:tcMar>
          </w:tcPr>
          <w:p w14:paraId="26F47DAE" w14:textId="77777777" w:rsidR="00E05E66" w:rsidRDefault="00000000">
            <w:pPr>
              <w:spacing w:after="0" w:line="240" w:lineRule="auto"/>
              <w:jc w:val="center"/>
            </w:pPr>
            <w:r>
              <w:rPr>
                <w:rFonts w:eastAsia="Times New Roman" w:cs="Times New Roman"/>
                <w:sz w:val="17"/>
                <w:szCs w:val="17"/>
              </w:rPr>
              <w:t>58</w:t>
            </w:r>
          </w:p>
        </w:tc>
        <w:tc>
          <w:tcPr>
            <w:tcW w:w="1050" w:type="dxa"/>
            <w:tcBorders>
              <w:bottom w:val="single" w:sz="1" w:space="0" w:color="000000"/>
            </w:tcBorders>
            <w:tcMar>
              <w:top w:w="30" w:type="dxa"/>
              <w:left w:w="60" w:type="dxa"/>
              <w:bottom w:w="30" w:type="dxa"/>
              <w:right w:w="60" w:type="dxa"/>
            </w:tcMar>
          </w:tcPr>
          <w:p w14:paraId="0C8644BF" w14:textId="77777777" w:rsidR="00E05E66" w:rsidRDefault="00000000">
            <w:pPr>
              <w:spacing w:after="0" w:line="240" w:lineRule="auto"/>
              <w:jc w:val="center"/>
            </w:pPr>
            <w:r>
              <w:rPr>
                <w:rFonts w:eastAsia="Times New Roman" w:cs="Times New Roman"/>
                <w:sz w:val="17"/>
                <w:szCs w:val="17"/>
              </w:rPr>
              <w:t>141,978</w:t>
            </w:r>
          </w:p>
        </w:tc>
        <w:tc>
          <w:tcPr>
            <w:tcW w:w="1050" w:type="dxa"/>
            <w:tcBorders>
              <w:bottom w:val="single" w:sz="1" w:space="0" w:color="000000"/>
            </w:tcBorders>
            <w:tcMar>
              <w:top w:w="30" w:type="dxa"/>
              <w:left w:w="60" w:type="dxa"/>
              <w:bottom w:w="30" w:type="dxa"/>
              <w:right w:w="60" w:type="dxa"/>
            </w:tcMar>
          </w:tcPr>
          <w:p w14:paraId="16080046" w14:textId="77777777" w:rsidR="00E05E66" w:rsidRDefault="00000000">
            <w:pPr>
              <w:spacing w:after="0" w:line="240" w:lineRule="auto"/>
              <w:jc w:val="center"/>
            </w:pPr>
            <w:r>
              <w:rPr>
                <w:rFonts w:eastAsia="Times New Roman" w:cs="Times New Roman"/>
                <w:sz w:val="17"/>
                <w:szCs w:val="17"/>
              </w:rPr>
              <w:t>147,681</w:t>
            </w:r>
          </w:p>
        </w:tc>
        <w:tc>
          <w:tcPr>
            <w:tcW w:w="750" w:type="dxa"/>
            <w:tcBorders>
              <w:bottom w:val="single" w:sz="1" w:space="0" w:color="000000"/>
            </w:tcBorders>
            <w:shd w:val="clear" w:color="auto" w:fill="F5D5D1"/>
            <w:tcMar>
              <w:top w:w="30" w:type="dxa"/>
              <w:left w:w="60" w:type="dxa"/>
              <w:bottom w:w="30" w:type="dxa"/>
              <w:right w:w="60" w:type="dxa"/>
            </w:tcMar>
          </w:tcPr>
          <w:p w14:paraId="4BFF2956" w14:textId="77777777" w:rsidR="00E05E66" w:rsidRDefault="00000000">
            <w:pPr>
              <w:spacing w:after="0" w:line="240" w:lineRule="auto"/>
              <w:jc w:val="center"/>
            </w:pPr>
            <w:r>
              <w:rPr>
                <w:rFonts w:eastAsia="Times New Roman" w:cs="Times New Roman"/>
                <w:sz w:val="17"/>
                <w:szCs w:val="17"/>
              </w:rPr>
              <w:t>29.4</w:t>
            </w:r>
          </w:p>
        </w:tc>
        <w:tc>
          <w:tcPr>
            <w:tcW w:w="750" w:type="dxa"/>
            <w:tcBorders>
              <w:bottom w:val="single" w:sz="1" w:space="0" w:color="000000"/>
            </w:tcBorders>
            <w:shd w:val="clear" w:color="auto" w:fill="F1DED8"/>
            <w:tcMar>
              <w:top w:w="30" w:type="dxa"/>
              <w:left w:w="60" w:type="dxa"/>
              <w:bottom w:w="30" w:type="dxa"/>
              <w:right w:w="60" w:type="dxa"/>
            </w:tcMar>
          </w:tcPr>
          <w:p w14:paraId="16E1B305" w14:textId="77777777" w:rsidR="00E05E66" w:rsidRDefault="00000000">
            <w:pPr>
              <w:spacing w:after="0" w:line="240" w:lineRule="auto"/>
              <w:jc w:val="center"/>
            </w:pPr>
            <w:r>
              <w:rPr>
                <w:rFonts w:eastAsia="Times New Roman" w:cs="Times New Roman"/>
                <w:sz w:val="17"/>
                <w:szCs w:val="17"/>
              </w:rPr>
              <w:t>16.3</w:t>
            </w:r>
          </w:p>
        </w:tc>
        <w:tc>
          <w:tcPr>
            <w:tcW w:w="750" w:type="dxa"/>
            <w:tcBorders>
              <w:bottom w:val="single" w:sz="1" w:space="0" w:color="000000"/>
            </w:tcBorders>
            <w:shd w:val="clear" w:color="auto" w:fill="F8CECC"/>
            <w:tcMar>
              <w:top w:w="30" w:type="dxa"/>
              <w:left w:w="60" w:type="dxa"/>
              <w:bottom w:w="30" w:type="dxa"/>
              <w:right w:w="60" w:type="dxa"/>
            </w:tcMar>
          </w:tcPr>
          <w:p w14:paraId="6B9D7412" w14:textId="77777777" w:rsidR="00E05E66" w:rsidRDefault="00000000">
            <w:pPr>
              <w:spacing w:after="0" w:line="240" w:lineRule="auto"/>
              <w:jc w:val="center"/>
            </w:pPr>
            <w:r>
              <w:rPr>
                <w:rFonts w:eastAsia="Times New Roman" w:cs="Times New Roman"/>
                <w:sz w:val="17"/>
                <w:szCs w:val="17"/>
              </w:rPr>
              <w:t>93.1</w:t>
            </w:r>
          </w:p>
        </w:tc>
        <w:tc>
          <w:tcPr>
            <w:tcW w:w="750" w:type="dxa"/>
            <w:tcBorders>
              <w:bottom w:val="single" w:sz="1" w:space="0" w:color="000000"/>
            </w:tcBorders>
            <w:shd w:val="clear" w:color="auto" w:fill="E8F5E8"/>
            <w:tcMar>
              <w:top w:w="30" w:type="dxa"/>
              <w:left w:w="60" w:type="dxa"/>
              <w:bottom w:w="30" w:type="dxa"/>
              <w:right w:w="60" w:type="dxa"/>
            </w:tcMar>
          </w:tcPr>
          <w:p w14:paraId="127ACBA8" w14:textId="77777777" w:rsidR="00E05E66" w:rsidRDefault="00000000">
            <w:pPr>
              <w:spacing w:after="0" w:line="240" w:lineRule="auto"/>
              <w:jc w:val="center"/>
            </w:pPr>
            <w:r>
              <w:rPr>
                <w:rFonts w:eastAsia="Times New Roman" w:cs="Times New Roman"/>
                <w:sz w:val="17"/>
                <w:szCs w:val="17"/>
              </w:rPr>
              <w:t>0.0</w:t>
            </w:r>
          </w:p>
        </w:tc>
        <w:tc>
          <w:tcPr>
            <w:tcW w:w="710" w:type="dxa"/>
            <w:tcBorders>
              <w:bottom w:val="single" w:sz="1" w:space="0" w:color="000000"/>
            </w:tcBorders>
            <w:shd w:val="clear" w:color="auto" w:fill="F7CFCC"/>
            <w:tcMar>
              <w:top w:w="30" w:type="dxa"/>
              <w:left w:w="60" w:type="dxa"/>
              <w:bottom w:w="30" w:type="dxa"/>
              <w:right w:w="60" w:type="dxa"/>
            </w:tcMar>
          </w:tcPr>
          <w:p w14:paraId="0BE39BEA" w14:textId="77777777" w:rsidR="00E05E66" w:rsidRDefault="00000000">
            <w:pPr>
              <w:spacing w:after="0" w:line="240" w:lineRule="auto"/>
              <w:jc w:val="center"/>
            </w:pPr>
            <w:r>
              <w:rPr>
                <w:rFonts w:eastAsia="Times New Roman" w:cs="Times New Roman"/>
                <w:sz w:val="17"/>
                <w:szCs w:val="17"/>
              </w:rPr>
              <w:t>19.0</w:t>
            </w:r>
          </w:p>
        </w:tc>
      </w:tr>
    </w:tbl>
    <w:p w14:paraId="1719E932" w14:textId="77777777" w:rsidR="00E05E66" w:rsidRDefault="00000000">
      <w:pPr>
        <w:spacing w:before="60" w:after="200"/>
      </w:pPr>
      <w:r>
        <w:rPr>
          <w:rFonts w:eastAsia="Times New Roman" w:cs="Times New Roman"/>
          <w:i/>
          <w:iCs/>
          <w:sz w:val="18"/>
          <w:szCs w:val="18"/>
        </w:rPr>
        <w:t>Note: Promo = percentage of products on promotion (marked price &gt; final price). Disc. = average discount depth conditional on being promoted. Brand, Import, Health = percentage of products with that attribute. Eggs &amp; Tofu has no promoted products, so discount depth is undefined.</w:t>
      </w:r>
    </w:p>
    <w:p w14:paraId="5813DF68" w14:textId="77777777" w:rsidR="00E05E66" w:rsidRDefault="00000000">
      <w:pPr>
        <w:jc w:val="both"/>
      </w:pPr>
      <w:r>
        <w:rPr>
          <w:rFonts w:eastAsia="Times New Roman" w:cs="Times New Roman"/>
          <w:sz w:val="24"/>
          <w:szCs w:val="24"/>
        </w:rPr>
        <w:t>Promotion penetration varies substantially across categories. Spices (36.1 percent), Dairy (32.3 percent), and Baby Products (29.4 percent) exhibit the highest rates, while Eggs and Tofu registers zero percent and Frozen stands at 9.3 percent. The thirty-six-percentage-point spread in penetration rates motivates the per-category analysis in Section 4.5.</w:t>
      </w:r>
    </w:p>
    <w:p w14:paraId="0D6E741F" w14:textId="77777777" w:rsidR="00E05E66" w:rsidRDefault="00000000">
      <w:pPr>
        <w:jc w:val="both"/>
      </w:pPr>
      <w:r>
        <w:rPr>
          <w:rFonts w:eastAsia="Times New Roman" w:cs="Times New Roman"/>
          <w:sz w:val="24"/>
          <w:szCs w:val="24"/>
        </w:rPr>
        <w:t>Conditional on being promoted, the depth of discount is remarkably uniform, ranging from 12.6 percent in Dairy to 19.1 percent in Confectionary. The tight range suggests that Winmart’s primary promotional lever is penetration, the share of the assortment placed on promotion, rather than depth, the magnitude of each individual discount.</w:t>
      </w:r>
    </w:p>
    <w:p w14:paraId="61698CD8" w14:textId="77777777" w:rsidR="00E05E66" w:rsidRDefault="00000000">
      <w:pPr>
        <w:jc w:val="both"/>
      </w:pPr>
      <w:r>
        <w:rPr>
          <w:rFonts w:eastAsia="Times New Roman" w:cs="Times New Roman"/>
          <w:sz w:val="24"/>
          <w:szCs w:val="24"/>
        </w:rPr>
        <w:t>Brand presence is near-universal in Baby Products (93.1 percent), Spices (92.7 percent), and Dairy (89.0 percent). By contrast, only 7.5 percent of Fresh Produce products carry brand identifiers. Import share peaks in Fresh Produce (13.4 percent) and Frozen (5.8 percent). Health claims concentrate in Dairy (19.7 percent) and Baby Products (19.0 percent). These descriptive patterns foreshadow the heterogeneous coefficient structures reported in Section 4.5.</w:t>
      </w:r>
    </w:p>
    <w:p w14:paraId="294D3487" w14:textId="77777777" w:rsidR="00E05E66" w:rsidRDefault="00000000">
      <w:pPr>
        <w:pStyle w:val="Heading2"/>
        <w:spacing w:before="360" w:after="180"/>
      </w:pPr>
      <w:r>
        <w:rPr>
          <w:rFonts w:ascii="Times New Roman" w:eastAsia="Times New Roman" w:hAnsi="Times New Roman" w:cs="Times New Roman"/>
          <w:sz w:val="26"/>
        </w:rPr>
        <w:t>4.4 Pooled Hedonic Regression Results</w:t>
      </w:r>
    </w:p>
    <w:p w14:paraId="11E4F4C4" w14:textId="77777777" w:rsidR="00E05E66" w:rsidRDefault="00000000">
      <w:pPr>
        <w:spacing w:before="200" w:after="80"/>
        <w:jc w:val="center"/>
      </w:pPr>
      <w:r>
        <w:rPr>
          <w:rFonts w:eastAsia="Times New Roman" w:cs="Times New Roman"/>
          <w:b/>
          <w:bCs/>
          <w:sz w:val="20"/>
          <w:szCs w:val="20"/>
        </w:rPr>
        <w:t>Table 4.3: Pooled Hedonic Regression Results (Marked Price vs. Final Price)</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400"/>
        <w:gridCol w:w="1100"/>
        <w:gridCol w:w="1400"/>
        <w:gridCol w:w="1100"/>
      </w:tblGrid>
      <w:tr w:rsidR="00E05E66" w14:paraId="695BADD2" w14:textId="77777777">
        <w:tc>
          <w:tcPr>
            <w:tcW w:w="2400" w:type="dxa"/>
            <w:tcBorders>
              <w:top w:val="single" w:sz="1" w:space="0" w:color="000000"/>
              <w:bottom w:val="single" w:sz="1" w:space="0" w:color="000000"/>
            </w:tcBorders>
            <w:shd w:val="clear" w:color="auto" w:fill="D9E2F3"/>
            <w:tcMar>
              <w:top w:w="30" w:type="dxa"/>
              <w:left w:w="60" w:type="dxa"/>
              <w:bottom w:w="30" w:type="dxa"/>
              <w:right w:w="60" w:type="dxa"/>
            </w:tcMar>
          </w:tcPr>
          <w:p w14:paraId="178EAEE4" w14:textId="77777777" w:rsidR="00E05E66" w:rsidRDefault="00000000">
            <w:pPr>
              <w:spacing w:after="0" w:line="240" w:lineRule="auto"/>
            </w:pPr>
            <w:r>
              <w:rPr>
                <w:rFonts w:eastAsia="Times New Roman" w:cs="Times New Roman"/>
                <w:b/>
                <w:bCs/>
                <w:sz w:val="18"/>
                <w:szCs w:val="18"/>
              </w:rPr>
              <w:t>Variable</w:t>
            </w:r>
          </w:p>
        </w:tc>
        <w:tc>
          <w:tcPr>
            <w:tcW w:w="1400" w:type="dxa"/>
            <w:tcBorders>
              <w:top w:val="single" w:sz="1" w:space="0" w:color="000000"/>
              <w:bottom w:val="single" w:sz="1" w:space="0" w:color="000000"/>
            </w:tcBorders>
            <w:shd w:val="clear" w:color="auto" w:fill="D9E2F3"/>
            <w:tcMar>
              <w:top w:w="30" w:type="dxa"/>
              <w:left w:w="60" w:type="dxa"/>
              <w:bottom w:w="30" w:type="dxa"/>
              <w:right w:w="60" w:type="dxa"/>
            </w:tcMar>
          </w:tcPr>
          <w:p w14:paraId="57D81055" w14:textId="77777777" w:rsidR="00E05E66" w:rsidRDefault="00000000">
            <w:pPr>
              <w:spacing w:after="0" w:line="240" w:lineRule="auto"/>
              <w:jc w:val="center"/>
            </w:pPr>
            <w:r>
              <w:rPr>
                <w:rFonts w:eastAsia="Times New Roman" w:cs="Times New Roman"/>
                <w:b/>
                <w:bCs/>
                <w:sz w:val="18"/>
                <w:szCs w:val="18"/>
              </w:rPr>
              <w:t>β (marked)</w:t>
            </w:r>
          </w:p>
        </w:tc>
        <w:tc>
          <w:tcPr>
            <w:tcW w:w="1100" w:type="dxa"/>
            <w:tcBorders>
              <w:top w:val="single" w:sz="1" w:space="0" w:color="000000"/>
              <w:bottom w:val="single" w:sz="1" w:space="0" w:color="000000"/>
            </w:tcBorders>
            <w:shd w:val="clear" w:color="auto" w:fill="D9E2F3"/>
            <w:tcMar>
              <w:top w:w="30" w:type="dxa"/>
              <w:left w:w="60" w:type="dxa"/>
              <w:bottom w:w="30" w:type="dxa"/>
              <w:right w:w="60" w:type="dxa"/>
            </w:tcMar>
          </w:tcPr>
          <w:p w14:paraId="16F76CDD" w14:textId="77777777" w:rsidR="00E05E66" w:rsidRDefault="00000000">
            <w:pPr>
              <w:spacing w:after="0" w:line="240" w:lineRule="auto"/>
              <w:jc w:val="center"/>
            </w:pPr>
            <w:r>
              <w:rPr>
                <w:rFonts w:eastAsia="Times New Roman" w:cs="Times New Roman"/>
                <w:b/>
                <w:bCs/>
                <w:sz w:val="18"/>
                <w:szCs w:val="18"/>
              </w:rPr>
              <w:t>SE</w:t>
            </w:r>
          </w:p>
        </w:tc>
        <w:tc>
          <w:tcPr>
            <w:tcW w:w="1400" w:type="dxa"/>
            <w:tcBorders>
              <w:top w:val="single" w:sz="1" w:space="0" w:color="000000"/>
              <w:bottom w:val="single" w:sz="1" w:space="0" w:color="000000"/>
            </w:tcBorders>
            <w:shd w:val="clear" w:color="auto" w:fill="D9E2F3"/>
            <w:tcMar>
              <w:top w:w="30" w:type="dxa"/>
              <w:left w:w="60" w:type="dxa"/>
              <w:bottom w:w="30" w:type="dxa"/>
              <w:right w:w="60" w:type="dxa"/>
            </w:tcMar>
          </w:tcPr>
          <w:p w14:paraId="2D1827EA" w14:textId="77777777" w:rsidR="00E05E66" w:rsidRDefault="00000000">
            <w:pPr>
              <w:spacing w:after="0" w:line="240" w:lineRule="auto"/>
              <w:jc w:val="center"/>
            </w:pPr>
            <w:r>
              <w:rPr>
                <w:rFonts w:eastAsia="Times New Roman" w:cs="Times New Roman"/>
                <w:b/>
                <w:bCs/>
                <w:sz w:val="18"/>
                <w:szCs w:val="18"/>
              </w:rPr>
              <w:t>β (final)</w:t>
            </w:r>
          </w:p>
        </w:tc>
        <w:tc>
          <w:tcPr>
            <w:tcW w:w="1100" w:type="dxa"/>
            <w:tcBorders>
              <w:top w:val="single" w:sz="1" w:space="0" w:color="000000"/>
              <w:bottom w:val="single" w:sz="1" w:space="0" w:color="000000"/>
            </w:tcBorders>
            <w:shd w:val="clear" w:color="auto" w:fill="D9E2F3"/>
            <w:tcMar>
              <w:top w:w="30" w:type="dxa"/>
              <w:left w:w="60" w:type="dxa"/>
              <w:bottom w:w="30" w:type="dxa"/>
              <w:right w:w="60" w:type="dxa"/>
            </w:tcMar>
          </w:tcPr>
          <w:p w14:paraId="12BFF661" w14:textId="77777777" w:rsidR="00E05E66" w:rsidRDefault="00000000">
            <w:pPr>
              <w:spacing w:after="0" w:line="240" w:lineRule="auto"/>
              <w:jc w:val="center"/>
            </w:pPr>
            <w:r>
              <w:rPr>
                <w:rFonts w:eastAsia="Times New Roman" w:cs="Times New Roman"/>
                <w:b/>
                <w:bCs/>
                <w:sz w:val="18"/>
                <w:szCs w:val="18"/>
              </w:rPr>
              <w:t>SE</w:t>
            </w:r>
          </w:p>
        </w:tc>
      </w:tr>
      <w:tr w:rsidR="00E05E66" w14:paraId="32383B94" w14:textId="77777777">
        <w:tc>
          <w:tcPr>
            <w:tcW w:w="2400" w:type="dxa"/>
            <w:tcMar>
              <w:top w:w="30" w:type="dxa"/>
              <w:left w:w="60" w:type="dxa"/>
              <w:bottom w:w="30" w:type="dxa"/>
              <w:right w:w="60" w:type="dxa"/>
            </w:tcMar>
          </w:tcPr>
          <w:p w14:paraId="7D282F2C" w14:textId="77777777" w:rsidR="00E05E66" w:rsidRDefault="00000000">
            <w:pPr>
              <w:spacing w:after="0" w:line="240" w:lineRule="auto"/>
            </w:pPr>
            <w:r>
              <w:rPr>
                <w:rFonts w:eastAsia="Times New Roman" w:cs="Times New Roman"/>
                <w:sz w:val="18"/>
                <w:szCs w:val="18"/>
              </w:rPr>
              <w:lastRenderedPageBreak/>
              <w:t>is_branded</w:t>
            </w:r>
          </w:p>
        </w:tc>
        <w:tc>
          <w:tcPr>
            <w:tcW w:w="1400" w:type="dxa"/>
            <w:shd w:val="clear" w:color="auto" w:fill="FEFCFC"/>
            <w:tcMar>
              <w:top w:w="30" w:type="dxa"/>
              <w:left w:w="60" w:type="dxa"/>
              <w:bottom w:w="30" w:type="dxa"/>
              <w:right w:w="60" w:type="dxa"/>
            </w:tcMar>
          </w:tcPr>
          <w:p w14:paraId="09A69BAE" w14:textId="77777777" w:rsidR="00E05E66" w:rsidRDefault="00000000">
            <w:pPr>
              <w:spacing w:after="0" w:line="240" w:lineRule="auto"/>
              <w:jc w:val="center"/>
            </w:pPr>
            <w:r>
              <w:rPr>
                <w:rFonts w:eastAsia="Times New Roman" w:cs="Times New Roman"/>
                <w:sz w:val="18"/>
                <w:szCs w:val="18"/>
              </w:rPr>
              <w:t>+0.022</w:t>
            </w:r>
          </w:p>
        </w:tc>
        <w:tc>
          <w:tcPr>
            <w:tcW w:w="1100" w:type="dxa"/>
            <w:tcMar>
              <w:top w:w="30" w:type="dxa"/>
              <w:left w:w="60" w:type="dxa"/>
              <w:bottom w:w="30" w:type="dxa"/>
              <w:right w:w="60" w:type="dxa"/>
            </w:tcMar>
          </w:tcPr>
          <w:p w14:paraId="57AF1CE1" w14:textId="77777777" w:rsidR="00E05E66" w:rsidRDefault="00000000">
            <w:pPr>
              <w:spacing w:after="0" w:line="240" w:lineRule="auto"/>
              <w:jc w:val="center"/>
            </w:pPr>
            <w:r>
              <w:rPr>
                <w:rFonts w:eastAsia="Times New Roman" w:cs="Times New Roman"/>
                <w:sz w:val="18"/>
                <w:szCs w:val="18"/>
              </w:rPr>
              <w:t>(0.077)</w:t>
            </w:r>
          </w:p>
        </w:tc>
        <w:tc>
          <w:tcPr>
            <w:tcW w:w="1400" w:type="dxa"/>
            <w:shd w:val="clear" w:color="auto" w:fill="FEFDFD"/>
            <w:tcMar>
              <w:top w:w="30" w:type="dxa"/>
              <w:left w:w="60" w:type="dxa"/>
              <w:bottom w:w="30" w:type="dxa"/>
              <w:right w:w="60" w:type="dxa"/>
            </w:tcMar>
          </w:tcPr>
          <w:p w14:paraId="73F3C631" w14:textId="77777777" w:rsidR="00E05E66" w:rsidRDefault="00000000">
            <w:pPr>
              <w:spacing w:after="0" w:line="240" w:lineRule="auto"/>
              <w:jc w:val="center"/>
            </w:pPr>
            <w:r>
              <w:rPr>
                <w:rFonts w:eastAsia="Times New Roman" w:cs="Times New Roman"/>
                <w:sz w:val="18"/>
                <w:szCs w:val="18"/>
              </w:rPr>
              <w:t>+0.011</w:t>
            </w:r>
          </w:p>
        </w:tc>
        <w:tc>
          <w:tcPr>
            <w:tcW w:w="1100" w:type="dxa"/>
            <w:tcMar>
              <w:top w:w="30" w:type="dxa"/>
              <w:left w:w="60" w:type="dxa"/>
              <w:bottom w:w="30" w:type="dxa"/>
              <w:right w:w="60" w:type="dxa"/>
            </w:tcMar>
          </w:tcPr>
          <w:p w14:paraId="6A073990" w14:textId="77777777" w:rsidR="00E05E66" w:rsidRDefault="00000000">
            <w:pPr>
              <w:spacing w:after="0" w:line="240" w:lineRule="auto"/>
              <w:jc w:val="center"/>
            </w:pPr>
            <w:r>
              <w:rPr>
                <w:rFonts w:eastAsia="Times New Roman" w:cs="Times New Roman"/>
                <w:sz w:val="18"/>
                <w:szCs w:val="18"/>
              </w:rPr>
              <w:t>(0.078)</w:t>
            </w:r>
          </w:p>
        </w:tc>
      </w:tr>
      <w:tr w:rsidR="00E05E66" w14:paraId="438DD968" w14:textId="77777777">
        <w:tc>
          <w:tcPr>
            <w:tcW w:w="2400" w:type="dxa"/>
            <w:tcMar>
              <w:top w:w="30" w:type="dxa"/>
              <w:left w:w="60" w:type="dxa"/>
              <w:bottom w:w="30" w:type="dxa"/>
              <w:right w:w="60" w:type="dxa"/>
            </w:tcMar>
          </w:tcPr>
          <w:p w14:paraId="325276AE" w14:textId="77777777" w:rsidR="00E05E66" w:rsidRDefault="00000000">
            <w:pPr>
              <w:spacing w:after="0" w:line="240" w:lineRule="auto"/>
            </w:pPr>
            <w:r>
              <w:rPr>
                <w:rFonts w:eastAsia="Times New Roman" w:cs="Times New Roman"/>
                <w:sz w:val="18"/>
                <w:szCs w:val="18"/>
              </w:rPr>
              <w:t>is_premium</w:t>
            </w:r>
          </w:p>
        </w:tc>
        <w:tc>
          <w:tcPr>
            <w:tcW w:w="1400" w:type="dxa"/>
            <w:shd w:val="clear" w:color="auto" w:fill="F8CECC"/>
            <w:tcMar>
              <w:top w:w="30" w:type="dxa"/>
              <w:left w:w="60" w:type="dxa"/>
              <w:bottom w:w="30" w:type="dxa"/>
              <w:right w:w="60" w:type="dxa"/>
            </w:tcMar>
          </w:tcPr>
          <w:p w14:paraId="209FC9DA" w14:textId="77777777" w:rsidR="00E05E66" w:rsidRDefault="00000000">
            <w:pPr>
              <w:spacing w:after="0" w:line="240" w:lineRule="auto"/>
              <w:jc w:val="center"/>
            </w:pPr>
            <w:r>
              <w:rPr>
                <w:rFonts w:eastAsia="Times New Roman" w:cs="Times New Roman"/>
                <w:sz w:val="18"/>
                <w:szCs w:val="18"/>
              </w:rPr>
              <w:t>+0.429***</w:t>
            </w:r>
          </w:p>
        </w:tc>
        <w:tc>
          <w:tcPr>
            <w:tcW w:w="1100" w:type="dxa"/>
            <w:tcMar>
              <w:top w:w="30" w:type="dxa"/>
              <w:left w:w="60" w:type="dxa"/>
              <w:bottom w:w="30" w:type="dxa"/>
              <w:right w:w="60" w:type="dxa"/>
            </w:tcMar>
          </w:tcPr>
          <w:p w14:paraId="2D0F8577" w14:textId="77777777" w:rsidR="00E05E66" w:rsidRDefault="00000000">
            <w:pPr>
              <w:spacing w:after="0" w:line="240" w:lineRule="auto"/>
              <w:jc w:val="center"/>
            </w:pPr>
            <w:r>
              <w:rPr>
                <w:rFonts w:eastAsia="Times New Roman" w:cs="Times New Roman"/>
                <w:sz w:val="18"/>
                <w:szCs w:val="18"/>
              </w:rPr>
              <w:t>(0.061)</w:t>
            </w:r>
          </w:p>
        </w:tc>
        <w:tc>
          <w:tcPr>
            <w:tcW w:w="1400" w:type="dxa"/>
            <w:shd w:val="clear" w:color="auto" w:fill="F8CECC"/>
            <w:tcMar>
              <w:top w:w="30" w:type="dxa"/>
              <w:left w:w="60" w:type="dxa"/>
              <w:bottom w:w="30" w:type="dxa"/>
              <w:right w:w="60" w:type="dxa"/>
            </w:tcMar>
          </w:tcPr>
          <w:p w14:paraId="477FF4D5" w14:textId="77777777" w:rsidR="00E05E66" w:rsidRDefault="00000000">
            <w:pPr>
              <w:spacing w:after="0" w:line="240" w:lineRule="auto"/>
              <w:jc w:val="center"/>
            </w:pPr>
            <w:r>
              <w:rPr>
                <w:rFonts w:eastAsia="Times New Roman" w:cs="Times New Roman"/>
                <w:sz w:val="18"/>
                <w:szCs w:val="18"/>
              </w:rPr>
              <w:t>+0.436***</w:t>
            </w:r>
          </w:p>
        </w:tc>
        <w:tc>
          <w:tcPr>
            <w:tcW w:w="1100" w:type="dxa"/>
            <w:tcMar>
              <w:top w:w="30" w:type="dxa"/>
              <w:left w:w="60" w:type="dxa"/>
              <w:bottom w:w="30" w:type="dxa"/>
              <w:right w:w="60" w:type="dxa"/>
            </w:tcMar>
          </w:tcPr>
          <w:p w14:paraId="12E0579D" w14:textId="77777777" w:rsidR="00E05E66" w:rsidRDefault="00000000">
            <w:pPr>
              <w:spacing w:after="0" w:line="240" w:lineRule="auto"/>
              <w:jc w:val="center"/>
            </w:pPr>
            <w:r>
              <w:rPr>
                <w:rFonts w:eastAsia="Times New Roman" w:cs="Times New Roman"/>
                <w:sz w:val="18"/>
                <w:szCs w:val="18"/>
              </w:rPr>
              <w:t>(0.063)</w:t>
            </w:r>
          </w:p>
        </w:tc>
      </w:tr>
      <w:tr w:rsidR="00E05E66" w14:paraId="536D5A12" w14:textId="77777777">
        <w:tc>
          <w:tcPr>
            <w:tcW w:w="2400" w:type="dxa"/>
            <w:tcMar>
              <w:top w:w="30" w:type="dxa"/>
              <w:left w:w="60" w:type="dxa"/>
              <w:bottom w:w="30" w:type="dxa"/>
              <w:right w:w="60" w:type="dxa"/>
            </w:tcMar>
          </w:tcPr>
          <w:p w14:paraId="33DA4D8A" w14:textId="77777777" w:rsidR="00E05E66" w:rsidRDefault="00000000">
            <w:pPr>
              <w:spacing w:after="0" w:line="240" w:lineRule="auto"/>
            </w:pPr>
            <w:r>
              <w:rPr>
                <w:rFonts w:eastAsia="Times New Roman" w:cs="Times New Roman"/>
                <w:sz w:val="18"/>
                <w:szCs w:val="18"/>
              </w:rPr>
              <w:t>is_high_recognition</w:t>
            </w:r>
          </w:p>
        </w:tc>
        <w:tc>
          <w:tcPr>
            <w:tcW w:w="1400" w:type="dxa"/>
            <w:shd w:val="clear" w:color="auto" w:fill="DFE9FA"/>
            <w:tcMar>
              <w:top w:w="30" w:type="dxa"/>
              <w:left w:w="60" w:type="dxa"/>
              <w:bottom w:w="30" w:type="dxa"/>
              <w:right w:w="60" w:type="dxa"/>
            </w:tcMar>
          </w:tcPr>
          <w:p w14:paraId="58DD6A0B" w14:textId="77777777" w:rsidR="00E05E66" w:rsidRDefault="00000000">
            <w:pPr>
              <w:spacing w:after="0" w:line="240" w:lineRule="auto"/>
              <w:jc w:val="center"/>
            </w:pPr>
            <w:r>
              <w:rPr>
                <w:rFonts w:eastAsia="Times New Roman" w:cs="Times New Roman"/>
                <w:sz w:val="18"/>
                <w:szCs w:val="18"/>
              </w:rPr>
              <w:t>−0.255***</w:t>
            </w:r>
          </w:p>
        </w:tc>
        <w:tc>
          <w:tcPr>
            <w:tcW w:w="1100" w:type="dxa"/>
            <w:tcMar>
              <w:top w:w="30" w:type="dxa"/>
              <w:left w:w="60" w:type="dxa"/>
              <w:bottom w:w="30" w:type="dxa"/>
              <w:right w:w="60" w:type="dxa"/>
            </w:tcMar>
          </w:tcPr>
          <w:p w14:paraId="413A09B4" w14:textId="77777777" w:rsidR="00E05E66" w:rsidRDefault="00000000">
            <w:pPr>
              <w:spacing w:after="0" w:line="240" w:lineRule="auto"/>
              <w:jc w:val="center"/>
            </w:pPr>
            <w:r>
              <w:rPr>
                <w:rFonts w:eastAsia="Times New Roman" w:cs="Times New Roman"/>
                <w:sz w:val="18"/>
                <w:szCs w:val="18"/>
              </w:rPr>
              <w:t>(0.062)</w:t>
            </w:r>
          </w:p>
        </w:tc>
        <w:tc>
          <w:tcPr>
            <w:tcW w:w="1400" w:type="dxa"/>
            <w:shd w:val="clear" w:color="auto" w:fill="DEE8FA"/>
            <w:tcMar>
              <w:top w:w="30" w:type="dxa"/>
              <w:left w:w="60" w:type="dxa"/>
              <w:bottom w:w="30" w:type="dxa"/>
              <w:right w:w="60" w:type="dxa"/>
            </w:tcMar>
          </w:tcPr>
          <w:p w14:paraId="6A9312D5" w14:textId="77777777" w:rsidR="00E05E66" w:rsidRDefault="00000000">
            <w:pPr>
              <w:spacing w:after="0" w:line="240" w:lineRule="auto"/>
              <w:jc w:val="center"/>
            </w:pPr>
            <w:r>
              <w:rPr>
                <w:rFonts w:eastAsia="Times New Roman" w:cs="Times New Roman"/>
                <w:sz w:val="18"/>
                <w:szCs w:val="18"/>
              </w:rPr>
              <w:t>−0.266***</w:t>
            </w:r>
          </w:p>
        </w:tc>
        <w:tc>
          <w:tcPr>
            <w:tcW w:w="1100" w:type="dxa"/>
            <w:tcMar>
              <w:top w:w="30" w:type="dxa"/>
              <w:left w:w="60" w:type="dxa"/>
              <w:bottom w:w="30" w:type="dxa"/>
              <w:right w:w="60" w:type="dxa"/>
            </w:tcMar>
          </w:tcPr>
          <w:p w14:paraId="27466A6B" w14:textId="77777777" w:rsidR="00E05E66" w:rsidRDefault="00000000">
            <w:pPr>
              <w:spacing w:after="0" w:line="240" w:lineRule="auto"/>
              <w:jc w:val="center"/>
            </w:pPr>
            <w:r>
              <w:rPr>
                <w:rFonts w:eastAsia="Times New Roman" w:cs="Times New Roman"/>
                <w:sz w:val="18"/>
                <w:szCs w:val="18"/>
              </w:rPr>
              <w:t>(0.065)</w:t>
            </w:r>
          </w:p>
        </w:tc>
      </w:tr>
      <w:tr w:rsidR="00E05E66" w14:paraId="48612816" w14:textId="77777777">
        <w:tc>
          <w:tcPr>
            <w:tcW w:w="2400" w:type="dxa"/>
            <w:tcMar>
              <w:top w:w="30" w:type="dxa"/>
              <w:left w:w="60" w:type="dxa"/>
              <w:bottom w:w="30" w:type="dxa"/>
              <w:right w:w="60" w:type="dxa"/>
            </w:tcMar>
          </w:tcPr>
          <w:p w14:paraId="25253E28" w14:textId="77777777" w:rsidR="00E05E66" w:rsidRDefault="00000000">
            <w:pPr>
              <w:spacing w:after="0" w:line="240" w:lineRule="auto"/>
            </w:pPr>
            <w:r>
              <w:rPr>
                <w:rFonts w:eastAsia="Times New Roman" w:cs="Times New Roman"/>
                <w:sz w:val="18"/>
                <w:szCs w:val="18"/>
              </w:rPr>
              <w:t>is_import</w:t>
            </w:r>
          </w:p>
        </w:tc>
        <w:tc>
          <w:tcPr>
            <w:tcW w:w="1400" w:type="dxa"/>
            <w:shd w:val="clear" w:color="auto" w:fill="FCEEEE"/>
            <w:tcMar>
              <w:top w:w="30" w:type="dxa"/>
              <w:left w:w="60" w:type="dxa"/>
              <w:bottom w:w="30" w:type="dxa"/>
              <w:right w:w="60" w:type="dxa"/>
            </w:tcMar>
          </w:tcPr>
          <w:p w14:paraId="20CE414D" w14:textId="77777777" w:rsidR="00E05E66" w:rsidRDefault="00000000">
            <w:pPr>
              <w:spacing w:after="0" w:line="240" w:lineRule="auto"/>
              <w:jc w:val="center"/>
            </w:pPr>
            <w:r>
              <w:rPr>
                <w:rFonts w:eastAsia="Times New Roman" w:cs="Times New Roman"/>
                <w:sz w:val="18"/>
                <w:szCs w:val="18"/>
              </w:rPr>
              <w:t>+0.144</w:t>
            </w:r>
          </w:p>
        </w:tc>
        <w:tc>
          <w:tcPr>
            <w:tcW w:w="1100" w:type="dxa"/>
            <w:tcMar>
              <w:top w:w="30" w:type="dxa"/>
              <w:left w:w="60" w:type="dxa"/>
              <w:bottom w:w="30" w:type="dxa"/>
              <w:right w:w="60" w:type="dxa"/>
            </w:tcMar>
          </w:tcPr>
          <w:p w14:paraId="23ABE65D" w14:textId="77777777" w:rsidR="00E05E66" w:rsidRDefault="00000000">
            <w:pPr>
              <w:spacing w:after="0" w:line="240" w:lineRule="auto"/>
              <w:jc w:val="center"/>
            </w:pPr>
            <w:r>
              <w:rPr>
                <w:rFonts w:eastAsia="Times New Roman" w:cs="Times New Roman"/>
                <w:sz w:val="18"/>
                <w:szCs w:val="18"/>
              </w:rPr>
              <w:t>(0.214)</w:t>
            </w:r>
          </w:p>
        </w:tc>
        <w:tc>
          <w:tcPr>
            <w:tcW w:w="1400" w:type="dxa"/>
            <w:shd w:val="clear" w:color="auto" w:fill="FDF1F1"/>
            <w:tcMar>
              <w:top w:w="30" w:type="dxa"/>
              <w:left w:w="60" w:type="dxa"/>
              <w:bottom w:w="30" w:type="dxa"/>
              <w:right w:w="60" w:type="dxa"/>
            </w:tcMar>
          </w:tcPr>
          <w:p w14:paraId="14B14AE4" w14:textId="77777777" w:rsidR="00E05E66" w:rsidRDefault="00000000">
            <w:pPr>
              <w:spacing w:after="0" w:line="240" w:lineRule="auto"/>
              <w:jc w:val="center"/>
            </w:pPr>
            <w:r>
              <w:rPr>
                <w:rFonts w:eastAsia="Times New Roman" w:cs="Times New Roman"/>
                <w:sz w:val="18"/>
                <w:szCs w:val="18"/>
              </w:rPr>
              <w:t>+0.117</w:t>
            </w:r>
          </w:p>
        </w:tc>
        <w:tc>
          <w:tcPr>
            <w:tcW w:w="1100" w:type="dxa"/>
            <w:tcMar>
              <w:top w:w="30" w:type="dxa"/>
              <w:left w:w="60" w:type="dxa"/>
              <w:bottom w:w="30" w:type="dxa"/>
              <w:right w:w="60" w:type="dxa"/>
            </w:tcMar>
          </w:tcPr>
          <w:p w14:paraId="7092BCC8" w14:textId="77777777" w:rsidR="00E05E66" w:rsidRDefault="00000000">
            <w:pPr>
              <w:spacing w:after="0" w:line="240" w:lineRule="auto"/>
              <w:jc w:val="center"/>
            </w:pPr>
            <w:r>
              <w:rPr>
                <w:rFonts w:eastAsia="Times New Roman" w:cs="Times New Roman"/>
                <w:sz w:val="18"/>
                <w:szCs w:val="18"/>
              </w:rPr>
              <w:t>(0.219)</w:t>
            </w:r>
          </w:p>
        </w:tc>
      </w:tr>
      <w:tr w:rsidR="00E05E66" w14:paraId="04D78954" w14:textId="77777777">
        <w:tc>
          <w:tcPr>
            <w:tcW w:w="2400" w:type="dxa"/>
            <w:tcMar>
              <w:top w:w="30" w:type="dxa"/>
              <w:left w:w="60" w:type="dxa"/>
              <w:bottom w:w="30" w:type="dxa"/>
              <w:right w:w="60" w:type="dxa"/>
            </w:tcMar>
          </w:tcPr>
          <w:p w14:paraId="524BAF54" w14:textId="77777777" w:rsidR="00E05E66" w:rsidRDefault="00000000">
            <w:pPr>
              <w:spacing w:after="0" w:line="240" w:lineRule="auto"/>
            </w:pPr>
            <w:r>
              <w:rPr>
                <w:rFonts w:eastAsia="Times New Roman" w:cs="Times New Roman"/>
                <w:sz w:val="18"/>
                <w:szCs w:val="18"/>
              </w:rPr>
              <w:t>is_house_brand</w:t>
            </w:r>
          </w:p>
        </w:tc>
        <w:tc>
          <w:tcPr>
            <w:tcW w:w="1400" w:type="dxa"/>
            <w:shd w:val="clear" w:color="auto" w:fill="F9FBFE"/>
            <w:tcMar>
              <w:top w:w="30" w:type="dxa"/>
              <w:left w:w="60" w:type="dxa"/>
              <w:bottom w:w="30" w:type="dxa"/>
              <w:right w:w="60" w:type="dxa"/>
            </w:tcMar>
          </w:tcPr>
          <w:p w14:paraId="3C921377" w14:textId="77777777" w:rsidR="00E05E66" w:rsidRDefault="00000000">
            <w:pPr>
              <w:spacing w:after="0" w:line="240" w:lineRule="auto"/>
              <w:jc w:val="center"/>
            </w:pPr>
            <w:r>
              <w:rPr>
                <w:rFonts w:eastAsia="Times New Roman" w:cs="Times New Roman"/>
                <w:sz w:val="18"/>
                <w:szCs w:val="18"/>
              </w:rPr>
              <w:t>−0.046</w:t>
            </w:r>
          </w:p>
        </w:tc>
        <w:tc>
          <w:tcPr>
            <w:tcW w:w="1100" w:type="dxa"/>
            <w:tcMar>
              <w:top w:w="30" w:type="dxa"/>
              <w:left w:w="60" w:type="dxa"/>
              <w:bottom w:w="30" w:type="dxa"/>
              <w:right w:w="60" w:type="dxa"/>
            </w:tcMar>
          </w:tcPr>
          <w:p w14:paraId="4B018FED" w14:textId="77777777" w:rsidR="00E05E66" w:rsidRDefault="00000000">
            <w:pPr>
              <w:spacing w:after="0" w:line="240" w:lineRule="auto"/>
              <w:jc w:val="center"/>
            </w:pPr>
            <w:r>
              <w:rPr>
                <w:rFonts w:eastAsia="Times New Roman" w:cs="Times New Roman"/>
                <w:sz w:val="18"/>
                <w:szCs w:val="18"/>
              </w:rPr>
              <w:t>(0.059)</w:t>
            </w:r>
          </w:p>
        </w:tc>
        <w:tc>
          <w:tcPr>
            <w:tcW w:w="1400" w:type="dxa"/>
            <w:shd w:val="clear" w:color="auto" w:fill="DEE8FA"/>
            <w:tcMar>
              <w:top w:w="30" w:type="dxa"/>
              <w:left w:w="60" w:type="dxa"/>
              <w:bottom w:w="30" w:type="dxa"/>
              <w:right w:w="60" w:type="dxa"/>
            </w:tcMar>
          </w:tcPr>
          <w:p w14:paraId="15FB4CD2" w14:textId="77777777" w:rsidR="00E05E66" w:rsidRDefault="00000000">
            <w:pPr>
              <w:spacing w:after="0" w:line="240" w:lineRule="auto"/>
              <w:jc w:val="center"/>
            </w:pPr>
            <w:r>
              <w:rPr>
                <w:rFonts w:eastAsia="Times New Roman" w:cs="Times New Roman"/>
                <w:sz w:val="18"/>
                <w:szCs w:val="18"/>
              </w:rPr>
              <w:t>−0.266***</w:t>
            </w:r>
          </w:p>
        </w:tc>
        <w:tc>
          <w:tcPr>
            <w:tcW w:w="1100" w:type="dxa"/>
            <w:tcMar>
              <w:top w:w="30" w:type="dxa"/>
              <w:left w:w="60" w:type="dxa"/>
              <w:bottom w:w="30" w:type="dxa"/>
              <w:right w:w="60" w:type="dxa"/>
            </w:tcMar>
          </w:tcPr>
          <w:p w14:paraId="64BEBFF8" w14:textId="77777777" w:rsidR="00E05E66" w:rsidRDefault="00000000">
            <w:pPr>
              <w:spacing w:after="0" w:line="240" w:lineRule="auto"/>
              <w:jc w:val="center"/>
            </w:pPr>
            <w:r>
              <w:rPr>
                <w:rFonts w:eastAsia="Times New Roman" w:cs="Times New Roman"/>
                <w:sz w:val="18"/>
                <w:szCs w:val="18"/>
              </w:rPr>
              <w:t>(0.058)</w:t>
            </w:r>
          </w:p>
        </w:tc>
      </w:tr>
      <w:tr w:rsidR="00E05E66" w14:paraId="44DDCC7B" w14:textId="77777777">
        <w:tc>
          <w:tcPr>
            <w:tcW w:w="2400" w:type="dxa"/>
            <w:tcMar>
              <w:top w:w="30" w:type="dxa"/>
              <w:left w:w="60" w:type="dxa"/>
              <w:bottom w:w="30" w:type="dxa"/>
              <w:right w:w="60" w:type="dxa"/>
            </w:tcMar>
          </w:tcPr>
          <w:p w14:paraId="5BBC1522" w14:textId="77777777" w:rsidR="00E05E66" w:rsidRDefault="00000000">
            <w:pPr>
              <w:spacing w:after="0" w:line="240" w:lineRule="auto"/>
            </w:pPr>
            <w:r>
              <w:rPr>
                <w:rFonts w:eastAsia="Times New Roman" w:cs="Times New Roman"/>
                <w:sz w:val="18"/>
                <w:szCs w:val="18"/>
              </w:rPr>
              <w:t>ln_pack_size</w:t>
            </w:r>
          </w:p>
        </w:tc>
        <w:tc>
          <w:tcPr>
            <w:tcW w:w="1400" w:type="dxa"/>
            <w:shd w:val="clear" w:color="auto" w:fill="CFDEF8"/>
            <w:tcMar>
              <w:top w:w="30" w:type="dxa"/>
              <w:left w:w="60" w:type="dxa"/>
              <w:bottom w:w="30" w:type="dxa"/>
              <w:right w:w="60" w:type="dxa"/>
            </w:tcMar>
          </w:tcPr>
          <w:p w14:paraId="5983AD57" w14:textId="77777777" w:rsidR="00E05E66" w:rsidRDefault="00000000">
            <w:pPr>
              <w:spacing w:after="0" w:line="240" w:lineRule="auto"/>
              <w:jc w:val="center"/>
            </w:pPr>
            <w:r>
              <w:rPr>
                <w:rFonts w:eastAsia="Times New Roman" w:cs="Times New Roman"/>
                <w:sz w:val="18"/>
                <w:szCs w:val="18"/>
              </w:rPr>
              <w:t>−0.384***</w:t>
            </w:r>
          </w:p>
        </w:tc>
        <w:tc>
          <w:tcPr>
            <w:tcW w:w="1100" w:type="dxa"/>
            <w:tcMar>
              <w:top w:w="30" w:type="dxa"/>
              <w:left w:w="60" w:type="dxa"/>
              <w:bottom w:w="30" w:type="dxa"/>
              <w:right w:w="60" w:type="dxa"/>
            </w:tcMar>
          </w:tcPr>
          <w:p w14:paraId="2B9DC357" w14:textId="77777777" w:rsidR="00E05E66" w:rsidRDefault="00000000">
            <w:pPr>
              <w:spacing w:after="0" w:line="240" w:lineRule="auto"/>
              <w:jc w:val="center"/>
            </w:pPr>
            <w:r>
              <w:rPr>
                <w:rFonts w:eastAsia="Times New Roman" w:cs="Times New Roman"/>
                <w:sz w:val="18"/>
                <w:szCs w:val="18"/>
              </w:rPr>
              <w:t>(0.044)</w:t>
            </w:r>
          </w:p>
        </w:tc>
        <w:tc>
          <w:tcPr>
            <w:tcW w:w="1400" w:type="dxa"/>
            <w:shd w:val="clear" w:color="auto" w:fill="CEDDF8"/>
            <w:tcMar>
              <w:top w:w="30" w:type="dxa"/>
              <w:left w:w="60" w:type="dxa"/>
              <w:bottom w:w="30" w:type="dxa"/>
              <w:right w:w="60" w:type="dxa"/>
            </w:tcMar>
          </w:tcPr>
          <w:p w14:paraId="5E5BA730" w14:textId="77777777" w:rsidR="00E05E66" w:rsidRDefault="00000000">
            <w:pPr>
              <w:spacing w:after="0" w:line="240" w:lineRule="auto"/>
              <w:jc w:val="center"/>
            </w:pPr>
            <w:r>
              <w:rPr>
                <w:rFonts w:eastAsia="Times New Roman" w:cs="Times New Roman"/>
                <w:sz w:val="18"/>
                <w:szCs w:val="18"/>
              </w:rPr>
              <w:t>−0.395***</w:t>
            </w:r>
          </w:p>
        </w:tc>
        <w:tc>
          <w:tcPr>
            <w:tcW w:w="1100" w:type="dxa"/>
            <w:tcMar>
              <w:top w:w="30" w:type="dxa"/>
              <w:left w:w="60" w:type="dxa"/>
              <w:bottom w:w="30" w:type="dxa"/>
              <w:right w:w="60" w:type="dxa"/>
            </w:tcMar>
          </w:tcPr>
          <w:p w14:paraId="7D29BA52" w14:textId="77777777" w:rsidR="00E05E66" w:rsidRDefault="00000000">
            <w:pPr>
              <w:spacing w:after="0" w:line="240" w:lineRule="auto"/>
              <w:jc w:val="center"/>
            </w:pPr>
            <w:r>
              <w:rPr>
                <w:rFonts w:eastAsia="Times New Roman" w:cs="Times New Roman"/>
                <w:sz w:val="18"/>
                <w:szCs w:val="18"/>
              </w:rPr>
              <w:t>(0.045)</w:t>
            </w:r>
          </w:p>
        </w:tc>
      </w:tr>
      <w:tr w:rsidR="00E05E66" w14:paraId="556A8414" w14:textId="77777777">
        <w:tc>
          <w:tcPr>
            <w:tcW w:w="2400" w:type="dxa"/>
            <w:tcMar>
              <w:top w:w="30" w:type="dxa"/>
              <w:left w:w="60" w:type="dxa"/>
              <w:bottom w:w="30" w:type="dxa"/>
              <w:right w:w="60" w:type="dxa"/>
            </w:tcMar>
          </w:tcPr>
          <w:p w14:paraId="0BFA6BB8" w14:textId="77777777" w:rsidR="00E05E66" w:rsidRDefault="00000000">
            <w:pPr>
              <w:spacing w:after="0" w:line="240" w:lineRule="auto"/>
            </w:pPr>
            <w:r>
              <w:rPr>
                <w:rFonts w:eastAsia="Times New Roman" w:cs="Times New Roman"/>
                <w:sz w:val="18"/>
                <w:szCs w:val="18"/>
              </w:rPr>
              <w:t>pack_count</w:t>
            </w:r>
          </w:p>
        </w:tc>
        <w:tc>
          <w:tcPr>
            <w:tcW w:w="1400" w:type="dxa"/>
            <w:shd w:val="clear" w:color="auto" w:fill="FCFDFE"/>
            <w:tcMar>
              <w:top w:w="30" w:type="dxa"/>
              <w:left w:w="60" w:type="dxa"/>
              <w:bottom w:w="30" w:type="dxa"/>
              <w:right w:w="60" w:type="dxa"/>
            </w:tcMar>
          </w:tcPr>
          <w:p w14:paraId="21032DF0" w14:textId="77777777" w:rsidR="00E05E66" w:rsidRDefault="00000000">
            <w:pPr>
              <w:spacing w:after="0" w:line="240" w:lineRule="auto"/>
              <w:jc w:val="center"/>
            </w:pPr>
            <w:r>
              <w:rPr>
                <w:rFonts w:eastAsia="Times New Roman" w:cs="Times New Roman"/>
                <w:sz w:val="18"/>
                <w:szCs w:val="18"/>
              </w:rPr>
              <w:t>−0.023***</w:t>
            </w:r>
          </w:p>
        </w:tc>
        <w:tc>
          <w:tcPr>
            <w:tcW w:w="1100" w:type="dxa"/>
            <w:tcMar>
              <w:top w:w="30" w:type="dxa"/>
              <w:left w:w="60" w:type="dxa"/>
              <w:bottom w:w="30" w:type="dxa"/>
              <w:right w:w="60" w:type="dxa"/>
            </w:tcMar>
          </w:tcPr>
          <w:p w14:paraId="12061D97" w14:textId="77777777" w:rsidR="00E05E66" w:rsidRDefault="00000000">
            <w:pPr>
              <w:spacing w:after="0" w:line="240" w:lineRule="auto"/>
              <w:jc w:val="center"/>
            </w:pPr>
            <w:r>
              <w:rPr>
                <w:rFonts w:eastAsia="Times New Roman" w:cs="Times New Roman"/>
                <w:sz w:val="18"/>
                <w:szCs w:val="18"/>
              </w:rPr>
              <w:t>(0.006)</w:t>
            </w:r>
          </w:p>
        </w:tc>
        <w:tc>
          <w:tcPr>
            <w:tcW w:w="1400" w:type="dxa"/>
            <w:shd w:val="clear" w:color="auto" w:fill="FCFDFE"/>
            <w:tcMar>
              <w:top w:w="30" w:type="dxa"/>
              <w:left w:w="60" w:type="dxa"/>
              <w:bottom w:w="30" w:type="dxa"/>
              <w:right w:w="60" w:type="dxa"/>
            </w:tcMar>
          </w:tcPr>
          <w:p w14:paraId="0FA9F5B0" w14:textId="77777777" w:rsidR="00E05E66" w:rsidRDefault="00000000">
            <w:pPr>
              <w:spacing w:after="0" w:line="240" w:lineRule="auto"/>
              <w:jc w:val="center"/>
            </w:pPr>
            <w:r>
              <w:rPr>
                <w:rFonts w:eastAsia="Times New Roman" w:cs="Times New Roman"/>
                <w:sz w:val="18"/>
                <w:szCs w:val="18"/>
              </w:rPr>
              <w:t>−0.022***</w:t>
            </w:r>
          </w:p>
        </w:tc>
        <w:tc>
          <w:tcPr>
            <w:tcW w:w="1100" w:type="dxa"/>
            <w:tcMar>
              <w:top w:w="30" w:type="dxa"/>
              <w:left w:w="60" w:type="dxa"/>
              <w:bottom w:w="30" w:type="dxa"/>
              <w:right w:w="60" w:type="dxa"/>
            </w:tcMar>
          </w:tcPr>
          <w:p w14:paraId="06430D86" w14:textId="77777777" w:rsidR="00E05E66" w:rsidRDefault="00000000">
            <w:pPr>
              <w:spacing w:after="0" w:line="240" w:lineRule="auto"/>
              <w:jc w:val="center"/>
            </w:pPr>
            <w:r>
              <w:rPr>
                <w:rFonts w:eastAsia="Times New Roman" w:cs="Times New Roman"/>
                <w:sz w:val="18"/>
                <w:szCs w:val="18"/>
              </w:rPr>
              <w:t>(0.006)</w:t>
            </w:r>
          </w:p>
        </w:tc>
      </w:tr>
      <w:tr w:rsidR="00E05E66" w14:paraId="3461D511" w14:textId="77777777">
        <w:tc>
          <w:tcPr>
            <w:tcW w:w="2400" w:type="dxa"/>
            <w:tcMar>
              <w:top w:w="30" w:type="dxa"/>
              <w:left w:w="60" w:type="dxa"/>
              <w:bottom w:w="30" w:type="dxa"/>
              <w:right w:w="60" w:type="dxa"/>
            </w:tcMar>
          </w:tcPr>
          <w:p w14:paraId="7259C828" w14:textId="77777777" w:rsidR="00E05E66" w:rsidRDefault="00000000">
            <w:pPr>
              <w:spacing w:after="0" w:line="240" w:lineRule="auto"/>
            </w:pPr>
            <w:r>
              <w:rPr>
                <w:rFonts w:eastAsia="Times New Roman" w:cs="Times New Roman"/>
                <w:sz w:val="18"/>
                <w:szCs w:val="18"/>
              </w:rPr>
              <w:t>has_health_claim</w:t>
            </w:r>
          </w:p>
        </w:tc>
        <w:tc>
          <w:tcPr>
            <w:tcW w:w="1400" w:type="dxa"/>
            <w:shd w:val="clear" w:color="auto" w:fill="FAFCFE"/>
            <w:tcMar>
              <w:top w:w="30" w:type="dxa"/>
              <w:left w:w="60" w:type="dxa"/>
              <w:bottom w:w="30" w:type="dxa"/>
              <w:right w:w="60" w:type="dxa"/>
            </w:tcMar>
          </w:tcPr>
          <w:p w14:paraId="79609F03" w14:textId="77777777" w:rsidR="00E05E66" w:rsidRDefault="00000000">
            <w:pPr>
              <w:spacing w:after="0" w:line="240" w:lineRule="auto"/>
              <w:jc w:val="center"/>
            </w:pPr>
            <w:r>
              <w:rPr>
                <w:rFonts w:eastAsia="Times New Roman" w:cs="Times New Roman"/>
                <w:sz w:val="18"/>
                <w:szCs w:val="18"/>
              </w:rPr>
              <w:t>−0.034</w:t>
            </w:r>
          </w:p>
        </w:tc>
        <w:tc>
          <w:tcPr>
            <w:tcW w:w="1100" w:type="dxa"/>
            <w:tcMar>
              <w:top w:w="30" w:type="dxa"/>
              <w:left w:w="60" w:type="dxa"/>
              <w:bottom w:w="30" w:type="dxa"/>
              <w:right w:w="60" w:type="dxa"/>
            </w:tcMar>
          </w:tcPr>
          <w:p w14:paraId="0AC1394B" w14:textId="77777777" w:rsidR="00E05E66" w:rsidRDefault="00000000">
            <w:pPr>
              <w:spacing w:after="0" w:line="240" w:lineRule="auto"/>
              <w:jc w:val="center"/>
            </w:pPr>
            <w:r>
              <w:rPr>
                <w:rFonts w:eastAsia="Times New Roman" w:cs="Times New Roman"/>
                <w:sz w:val="18"/>
                <w:szCs w:val="18"/>
              </w:rPr>
              <w:t>(0.127)</w:t>
            </w:r>
          </w:p>
        </w:tc>
        <w:tc>
          <w:tcPr>
            <w:tcW w:w="1400" w:type="dxa"/>
            <w:shd w:val="clear" w:color="auto" w:fill="FBFCFE"/>
            <w:tcMar>
              <w:top w:w="30" w:type="dxa"/>
              <w:left w:w="60" w:type="dxa"/>
              <w:bottom w:w="30" w:type="dxa"/>
              <w:right w:w="60" w:type="dxa"/>
            </w:tcMar>
          </w:tcPr>
          <w:p w14:paraId="31BFA7D2" w14:textId="77777777" w:rsidR="00E05E66" w:rsidRDefault="00000000">
            <w:pPr>
              <w:spacing w:after="0" w:line="240" w:lineRule="auto"/>
              <w:jc w:val="center"/>
            </w:pPr>
            <w:r>
              <w:rPr>
                <w:rFonts w:eastAsia="Times New Roman" w:cs="Times New Roman"/>
                <w:sz w:val="18"/>
                <w:szCs w:val="18"/>
              </w:rPr>
              <w:t>−0.030</w:t>
            </w:r>
          </w:p>
        </w:tc>
        <w:tc>
          <w:tcPr>
            <w:tcW w:w="1100" w:type="dxa"/>
            <w:tcMar>
              <w:top w:w="30" w:type="dxa"/>
              <w:left w:w="60" w:type="dxa"/>
              <w:bottom w:w="30" w:type="dxa"/>
              <w:right w:w="60" w:type="dxa"/>
            </w:tcMar>
          </w:tcPr>
          <w:p w14:paraId="2095F843" w14:textId="77777777" w:rsidR="00E05E66" w:rsidRDefault="00000000">
            <w:pPr>
              <w:spacing w:after="0" w:line="240" w:lineRule="auto"/>
              <w:jc w:val="center"/>
            </w:pPr>
            <w:r>
              <w:rPr>
                <w:rFonts w:eastAsia="Times New Roman" w:cs="Times New Roman"/>
                <w:sz w:val="18"/>
                <w:szCs w:val="18"/>
              </w:rPr>
              <w:t>(0.135)</w:t>
            </w:r>
          </w:p>
        </w:tc>
      </w:tr>
      <w:tr w:rsidR="00E05E66" w14:paraId="19E0381D" w14:textId="77777777">
        <w:tc>
          <w:tcPr>
            <w:tcW w:w="2400" w:type="dxa"/>
            <w:tcMar>
              <w:top w:w="30" w:type="dxa"/>
              <w:left w:w="60" w:type="dxa"/>
              <w:bottom w:w="30" w:type="dxa"/>
              <w:right w:w="60" w:type="dxa"/>
            </w:tcMar>
          </w:tcPr>
          <w:p w14:paraId="2837C5E5" w14:textId="77777777" w:rsidR="00E05E66" w:rsidRDefault="00000000">
            <w:pPr>
              <w:spacing w:after="0" w:line="240" w:lineRule="auto"/>
            </w:pPr>
            <w:r>
              <w:rPr>
                <w:rFonts w:eastAsia="Times New Roman" w:cs="Times New Roman"/>
                <w:sz w:val="18"/>
                <w:szCs w:val="18"/>
              </w:rPr>
              <w:t>has_freshness_claim</w:t>
            </w:r>
          </w:p>
        </w:tc>
        <w:tc>
          <w:tcPr>
            <w:tcW w:w="1400" w:type="dxa"/>
            <w:shd w:val="clear" w:color="auto" w:fill="F8FAFE"/>
            <w:tcMar>
              <w:top w:w="30" w:type="dxa"/>
              <w:left w:w="60" w:type="dxa"/>
              <w:bottom w:w="30" w:type="dxa"/>
              <w:right w:w="60" w:type="dxa"/>
            </w:tcMar>
          </w:tcPr>
          <w:p w14:paraId="7EAF9810" w14:textId="77777777" w:rsidR="00E05E66" w:rsidRDefault="00000000">
            <w:pPr>
              <w:spacing w:after="0" w:line="240" w:lineRule="auto"/>
              <w:jc w:val="center"/>
            </w:pPr>
            <w:r>
              <w:rPr>
                <w:rFonts w:eastAsia="Times New Roman" w:cs="Times New Roman"/>
                <w:sz w:val="18"/>
                <w:szCs w:val="18"/>
              </w:rPr>
              <w:t>−0.051</w:t>
            </w:r>
          </w:p>
        </w:tc>
        <w:tc>
          <w:tcPr>
            <w:tcW w:w="1100" w:type="dxa"/>
            <w:tcMar>
              <w:top w:w="30" w:type="dxa"/>
              <w:left w:w="60" w:type="dxa"/>
              <w:bottom w:w="30" w:type="dxa"/>
              <w:right w:w="60" w:type="dxa"/>
            </w:tcMar>
          </w:tcPr>
          <w:p w14:paraId="31698EA8" w14:textId="77777777" w:rsidR="00E05E66" w:rsidRDefault="00000000">
            <w:pPr>
              <w:spacing w:after="0" w:line="240" w:lineRule="auto"/>
              <w:jc w:val="center"/>
            </w:pPr>
            <w:r>
              <w:rPr>
                <w:rFonts w:eastAsia="Times New Roman" w:cs="Times New Roman"/>
                <w:sz w:val="18"/>
                <w:szCs w:val="18"/>
              </w:rPr>
              <w:t>(0.073)</w:t>
            </w:r>
          </w:p>
        </w:tc>
        <w:tc>
          <w:tcPr>
            <w:tcW w:w="1400" w:type="dxa"/>
            <w:shd w:val="clear" w:color="auto" w:fill="F7FAFE"/>
            <w:tcMar>
              <w:top w:w="30" w:type="dxa"/>
              <w:left w:w="60" w:type="dxa"/>
              <w:bottom w:w="30" w:type="dxa"/>
              <w:right w:w="60" w:type="dxa"/>
            </w:tcMar>
          </w:tcPr>
          <w:p w14:paraId="39928BA3" w14:textId="77777777" w:rsidR="00E05E66" w:rsidRDefault="00000000">
            <w:pPr>
              <w:spacing w:after="0" w:line="240" w:lineRule="auto"/>
              <w:jc w:val="center"/>
            </w:pPr>
            <w:r>
              <w:rPr>
                <w:rFonts w:eastAsia="Times New Roman" w:cs="Times New Roman"/>
                <w:sz w:val="18"/>
                <w:szCs w:val="18"/>
              </w:rPr>
              <w:t>−0.058</w:t>
            </w:r>
          </w:p>
        </w:tc>
        <w:tc>
          <w:tcPr>
            <w:tcW w:w="1100" w:type="dxa"/>
            <w:tcMar>
              <w:top w:w="30" w:type="dxa"/>
              <w:left w:w="60" w:type="dxa"/>
              <w:bottom w:w="30" w:type="dxa"/>
              <w:right w:w="60" w:type="dxa"/>
            </w:tcMar>
          </w:tcPr>
          <w:p w14:paraId="4603C66E" w14:textId="77777777" w:rsidR="00E05E66" w:rsidRDefault="00000000">
            <w:pPr>
              <w:spacing w:after="0" w:line="240" w:lineRule="auto"/>
              <w:jc w:val="center"/>
            </w:pPr>
            <w:r>
              <w:rPr>
                <w:rFonts w:eastAsia="Times New Roman" w:cs="Times New Roman"/>
                <w:sz w:val="18"/>
                <w:szCs w:val="18"/>
              </w:rPr>
              <w:t>(0.073)</w:t>
            </w:r>
          </w:p>
        </w:tc>
      </w:tr>
      <w:tr w:rsidR="00E05E66" w14:paraId="7EAC1F2B" w14:textId="77777777">
        <w:tc>
          <w:tcPr>
            <w:tcW w:w="2400" w:type="dxa"/>
            <w:tcBorders>
              <w:bottom w:val="single" w:sz="1" w:space="0" w:color="000000"/>
            </w:tcBorders>
            <w:tcMar>
              <w:top w:w="30" w:type="dxa"/>
              <w:left w:w="60" w:type="dxa"/>
              <w:bottom w:w="30" w:type="dxa"/>
              <w:right w:w="60" w:type="dxa"/>
            </w:tcMar>
          </w:tcPr>
          <w:p w14:paraId="49D57552" w14:textId="77777777" w:rsidR="00E05E66" w:rsidRDefault="00000000">
            <w:pPr>
              <w:spacing w:after="0" w:line="240" w:lineRule="auto"/>
            </w:pPr>
            <w:r>
              <w:rPr>
                <w:rFonts w:eastAsia="Times New Roman" w:cs="Times New Roman"/>
                <w:sz w:val="18"/>
                <w:szCs w:val="18"/>
              </w:rPr>
              <w:t>name_length</w:t>
            </w:r>
          </w:p>
        </w:tc>
        <w:tc>
          <w:tcPr>
            <w:tcW w:w="1400" w:type="dxa"/>
            <w:tcBorders>
              <w:bottom w:val="single" w:sz="1" w:space="0" w:color="000000"/>
            </w:tcBorders>
            <w:shd w:val="clear" w:color="auto" w:fill="FEFEFE"/>
            <w:tcMar>
              <w:top w:w="30" w:type="dxa"/>
              <w:left w:w="60" w:type="dxa"/>
              <w:bottom w:w="30" w:type="dxa"/>
              <w:right w:w="60" w:type="dxa"/>
            </w:tcMar>
          </w:tcPr>
          <w:p w14:paraId="1D029AE4" w14:textId="77777777" w:rsidR="00E05E66" w:rsidRDefault="00000000">
            <w:pPr>
              <w:spacing w:after="0" w:line="240" w:lineRule="auto"/>
              <w:jc w:val="center"/>
            </w:pPr>
            <w:r>
              <w:rPr>
                <w:rFonts w:eastAsia="Times New Roman" w:cs="Times New Roman"/>
                <w:sz w:val="18"/>
                <w:szCs w:val="18"/>
              </w:rPr>
              <w:t>+0.006</w:t>
            </w:r>
          </w:p>
        </w:tc>
        <w:tc>
          <w:tcPr>
            <w:tcW w:w="1100" w:type="dxa"/>
            <w:tcBorders>
              <w:bottom w:val="single" w:sz="1" w:space="0" w:color="000000"/>
            </w:tcBorders>
            <w:tcMar>
              <w:top w:w="30" w:type="dxa"/>
              <w:left w:w="60" w:type="dxa"/>
              <w:bottom w:w="30" w:type="dxa"/>
              <w:right w:w="60" w:type="dxa"/>
            </w:tcMar>
          </w:tcPr>
          <w:p w14:paraId="07FCD6FA" w14:textId="77777777" w:rsidR="00E05E66" w:rsidRDefault="00000000">
            <w:pPr>
              <w:spacing w:after="0" w:line="240" w:lineRule="auto"/>
              <w:jc w:val="center"/>
            </w:pPr>
            <w:r>
              <w:rPr>
                <w:rFonts w:eastAsia="Times New Roman" w:cs="Times New Roman"/>
                <w:sz w:val="18"/>
                <w:szCs w:val="18"/>
              </w:rPr>
              <w:t>(0.014)</w:t>
            </w:r>
          </w:p>
        </w:tc>
        <w:tc>
          <w:tcPr>
            <w:tcW w:w="1400" w:type="dxa"/>
            <w:tcBorders>
              <w:bottom w:val="single" w:sz="1" w:space="0" w:color="000000"/>
            </w:tcBorders>
            <w:shd w:val="clear" w:color="auto" w:fill="FEFEFE"/>
            <w:tcMar>
              <w:top w:w="30" w:type="dxa"/>
              <w:left w:w="60" w:type="dxa"/>
              <w:bottom w:w="30" w:type="dxa"/>
              <w:right w:w="60" w:type="dxa"/>
            </w:tcMar>
          </w:tcPr>
          <w:p w14:paraId="09CFE680" w14:textId="77777777" w:rsidR="00E05E66" w:rsidRDefault="00000000">
            <w:pPr>
              <w:spacing w:after="0" w:line="240" w:lineRule="auto"/>
              <w:jc w:val="center"/>
            </w:pPr>
            <w:r>
              <w:rPr>
                <w:rFonts w:eastAsia="Times New Roman" w:cs="Times New Roman"/>
                <w:sz w:val="18"/>
                <w:szCs w:val="18"/>
              </w:rPr>
              <w:t>+0.006</w:t>
            </w:r>
          </w:p>
        </w:tc>
        <w:tc>
          <w:tcPr>
            <w:tcW w:w="1100" w:type="dxa"/>
            <w:tcBorders>
              <w:bottom w:val="single" w:sz="1" w:space="0" w:color="000000"/>
            </w:tcBorders>
            <w:tcMar>
              <w:top w:w="30" w:type="dxa"/>
              <w:left w:w="60" w:type="dxa"/>
              <w:bottom w:w="30" w:type="dxa"/>
              <w:right w:w="60" w:type="dxa"/>
            </w:tcMar>
          </w:tcPr>
          <w:p w14:paraId="07CA8064" w14:textId="77777777" w:rsidR="00E05E66" w:rsidRDefault="00000000">
            <w:pPr>
              <w:spacing w:after="0" w:line="240" w:lineRule="auto"/>
              <w:jc w:val="center"/>
            </w:pPr>
            <w:r>
              <w:rPr>
                <w:rFonts w:eastAsia="Times New Roman" w:cs="Times New Roman"/>
                <w:sz w:val="18"/>
                <w:szCs w:val="18"/>
              </w:rPr>
              <w:t>(0.014)</w:t>
            </w:r>
          </w:p>
        </w:tc>
      </w:tr>
      <w:tr w:rsidR="00E05E66" w14:paraId="33827113" w14:textId="77777777">
        <w:tc>
          <w:tcPr>
            <w:tcW w:w="2400" w:type="dxa"/>
            <w:tcBorders>
              <w:top w:val="single" w:sz="1" w:space="0" w:color="000000"/>
              <w:bottom w:val="single" w:sz="1" w:space="0" w:color="000000"/>
            </w:tcBorders>
            <w:tcMar>
              <w:top w:w="30" w:type="dxa"/>
              <w:left w:w="60" w:type="dxa"/>
              <w:bottom w:w="30" w:type="dxa"/>
              <w:right w:w="60" w:type="dxa"/>
            </w:tcMar>
          </w:tcPr>
          <w:p w14:paraId="2C34A038" w14:textId="77777777" w:rsidR="00E05E66" w:rsidRDefault="00000000">
            <w:pPr>
              <w:spacing w:after="0" w:line="240" w:lineRule="auto"/>
            </w:pPr>
            <w:r>
              <w:rPr>
                <w:rFonts w:eastAsia="Times New Roman" w:cs="Times New Roman"/>
                <w:b/>
                <w:bCs/>
                <w:sz w:val="18"/>
                <w:szCs w:val="18"/>
              </w:rPr>
              <w:t>Adj. R²</w:t>
            </w:r>
          </w:p>
        </w:tc>
        <w:tc>
          <w:tcPr>
            <w:tcW w:w="1400" w:type="dxa"/>
            <w:tcBorders>
              <w:top w:val="single" w:sz="1" w:space="0" w:color="000000"/>
              <w:bottom w:val="single" w:sz="1" w:space="0" w:color="000000"/>
            </w:tcBorders>
            <w:tcMar>
              <w:top w:w="30" w:type="dxa"/>
              <w:left w:w="60" w:type="dxa"/>
              <w:bottom w:w="30" w:type="dxa"/>
              <w:right w:w="60" w:type="dxa"/>
            </w:tcMar>
          </w:tcPr>
          <w:p w14:paraId="79F357E3" w14:textId="77777777" w:rsidR="00E05E66" w:rsidRDefault="00000000">
            <w:pPr>
              <w:spacing w:after="0" w:line="240" w:lineRule="auto"/>
              <w:jc w:val="center"/>
            </w:pPr>
            <w:r>
              <w:rPr>
                <w:rFonts w:eastAsia="Times New Roman" w:cs="Times New Roman"/>
                <w:sz w:val="18"/>
                <w:szCs w:val="18"/>
              </w:rPr>
              <w:t>0.639</w:t>
            </w:r>
          </w:p>
        </w:tc>
        <w:tc>
          <w:tcPr>
            <w:tcW w:w="1100" w:type="dxa"/>
            <w:tcBorders>
              <w:top w:val="single" w:sz="1" w:space="0" w:color="000000"/>
              <w:bottom w:val="single" w:sz="1" w:space="0" w:color="000000"/>
            </w:tcBorders>
            <w:tcMar>
              <w:top w:w="30" w:type="dxa"/>
              <w:left w:w="60" w:type="dxa"/>
              <w:bottom w:w="30" w:type="dxa"/>
              <w:right w:w="60" w:type="dxa"/>
            </w:tcMar>
          </w:tcPr>
          <w:p w14:paraId="077F8D9D" w14:textId="77777777" w:rsidR="00E05E66" w:rsidRDefault="00E05E66">
            <w:pPr>
              <w:spacing w:after="0" w:line="240" w:lineRule="auto"/>
              <w:jc w:val="center"/>
            </w:pPr>
          </w:p>
        </w:tc>
        <w:tc>
          <w:tcPr>
            <w:tcW w:w="1400" w:type="dxa"/>
            <w:tcBorders>
              <w:top w:val="single" w:sz="1" w:space="0" w:color="000000"/>
              <w:bottom w:val="single" w:sz="1" w:space="0" w:color="000000"/>
            </w:tcBorders>
            <w:tcMar>
              <w:top w:w="30" w:type="dxa"/>
              <w:left w:w="60" w:type="dxa"/>
              <w:bottom w:w="30" w:type="dxa"/>
              <w:right w:w="60" w:type="dxa"/>
            </w:tcMar>
          </w:tcPr>
          <w:p w14:paraId="436873F6" w14:textId="77777777" w:rsidR="00E05E66" w:rsidRDefault="00000000">
            <w:pPr>
              <w:spacing w:after="0" w:line="240" w:lineRule="auto"/>
              <w:jc w:val="center"/>
            </w:pPr>
            <w:r>
              <w:rPr>
                <w:rFonts w:eastAsia="Times New Roman" w:cs="Times New Roman"/>
                <w:sz w:val="18"/>
                <w:szCs w:val="18"/>
              </w:rPr>
              <w:t>0.642</w:t>
            </w:r>
          </w:p>
        </w:tc>
        <w:tc>
          <w:tcPr>
            <w:tcW w:w="1100" w:type="dxa"/>
            <w:tcBorders>
              <w:top w:val="single" w:sz="1" w:space="0" w:color="000000"/>
              <w:bottom w:val="single" w:sz="1" w:space="0" w:color="000000"/>
            </w:tcBorders>
            <w:tcMar>
              <w:top w:w="30" w:type="dxa"/>
              <w:left w:w="60" w:type="dxa"/>
              <w:bottom w:w="30" w:type="dxa"/>
              <w:right w:w="60" w:type="dxa"/>
            </w:tcMar>
          </w:tcPr>
          <w:p w14:paraId="1935797D" w14:textId="77777777" w:rsidR="00E05E66" w:rsidRDefault="00E05E66">
            <w:pPr>
              <w:spacing w:after="0" w:line="240" w:lineRule="auto"/>
              <w:jc w:val="center"/>
            </w:pPr>
          </w:p>
        </w:tc>
      </w:tr>
      <w:tr w:rsidR="00E05E66" w14:paraId="0BED3479" w14:textId="77777777">
        <w:tc>
          <w:tcPr>
            <w:tcW w:w="2400" w:type="dxa"/>
            <w:tcBorders>
              <w:bottom w:val="single" w:sz="1" w:space="0" w:color="000000"/>
            </w:tcBorders>
            <w:tcMar>
              <w:top w:w="30" w:type="dxa"/>
              <w:left w:w="60" w:type="dxa"/>
              <w:bottom w:w="30" w:type="dxa"/>
              <w:right w:w="60" w:type="dxa"/>
            </w:tcMar>
          </w:tcPr>
          <w:p w14:paraId="2E38B660" w14:textId="77777777" w:rsidR="00E05E66" w:rsidRDefault="00000000">
            <w:pPr>
              <w:spacing w:after="0" w:line="240" w:lineRule="auto"/>
            </w:pPr>
            <w:r>
              <w:rPr>
                <w:rFonts w:eastAsia="Times New Roman" w:cs="Times New Roman"/>
                <w:b/>
                <w:bCs/>
                <w:sz w:val="18"/>
                <w:szCs w:val="18"/>
              </w:rPr>
              <w:t>N (products)</w:t>
            </w:r>
          </w:p>
        </w:tc>
        <w:tc>
          <w:tcPr>
            <w:tcW w:w="1400" w:type="dxa"/>
            <w:tcBorders>
              <w:bottom w:val="single" w:sz="1" w:space="0" w:color="000000"/>
            </w:tcBorders>
            <w:tcMar>
              <w:top w:w="30" w:type="dxa"/>
              <w:left w:w="60" w:type="dxa"/>
              <w:bottom w:w="30" w:type="dxa"/>
              <w:right w:w="60" w:type="dxa"/>
            </w:tcMar>
          </w:tcPr>
          <w:p w14:paraId="50B95DDC" w14:textId="77777777" w:rsidR="00E05E66" w:rsidRDefault="00000000">
            <w:pPr>
              <w:spacing w:after="0" w:line="240" w:lineRule="auto"/>
              <w:jc w:val="center"/>
            </w:pPr>
            <w:r>
              <w:rPr>
                <w:rFonts w:eastAsia="Times New Roman" w:cs="Times New Roman"/>
                <w:sz w:val="18"/>
                <w:szCs w:val="18"/>
              </w:rPr>
              <w:t>2,203</w:t>
            </w:r>
          </w:p>
        </w:tc>
        <w:tc>
          <w:tcPr>
            <w:tcW w:w="1100" w:type="dxa"/>
            <w:tcBorders>
              <w:bottom w:val="single" w:sz="1" w:space="0" w:color="000000"/>
            </w:tcBorders>
            <w:tcMar>
              <w:top w:w="30" w:type="dxa"/>
              <w:left w:w="60" w:type="dxa"/>
              <w:bottom w:w="30" w:type="dxa"/>
              <w:right w:w="60" w:type="dxa"/>
            </w:tcMar>
          </w:tcPr>
          <w:p w14:paraId="7252AAB8" w14:textId="77777777" w:rsidR="00E05E66" w:rsidRDefault="00E05E66">
            <w:pPr>
              <w:spacing w:after="0" w:line="240" w:lineRule="auto"/>
              <w:jc w:val="center"/>
            </w:pPr>
          </w:p>
        </w:tc>
        <w:tc>
          <w:tcPr>
            <w:tcW w:w="1400" w:type="dxa"/>
            <w:tcBorders>
              <w:bottom w:val="single" w:sz="1" w:space="0" w:color="000000"/>
            </w:tcBorders>
            <w:tcMar>
              <w:top w:w="30" w:type="dxa"/>
              <w:left w:w="60" w:type="dxa"/>
              <w:bottom w:w="30" w:type="dxa"/>
              <w:right w:w="60" w:type="dxa"/>
            </w:tcMar>
          </w:tcPr>
          <w:p w14:paraId="686C40F7" w14:textId="77777777" w:rsidR="00E05E66" w:rsidRDefault="00000000">
            <w:pPr>
              <w:spacing w:after="0" w:line="240" w:lineRule="auto"/>
              <w:jc w:val="center"/>
            </w:pPr>
            <w:r>
              <w:rPr>
                <w:rFonts w:eastAsia="Times New Roman" w:cs="Times New Roman"/>
                <w:sz w:val="18"/>
                <w:szCs w:val="18"/>
              </w:rPr>
              <w:t>2,203</w:t>
            </w:r>
          </w:p>
        </w:tc>
        <w:tc>
          <w:tcPr>
            <w:tcW w:w="1100" w:type="dxa"/>
            <w:tcBorders>
              <w:bottom w:val="single" w:sz="1" w:space="0" w:color="000000"/>
            </w:tcBorders>
            <w:tcMar>
              <w:top w:w="30" w:type="dxa"/>
              <w:left w:w="60" w:type="dxa"/>
              <w:bottom w:w="30" w:type="dxa"/>
              <w:right w:w="60" w:type="dxa"/>
            </w:tcMar>
          </w:tcPr>
          <w:p w14:paraId="1C0521C5" w14:textId="77777777" w:rsidR="00E05E66" w:rsidRDefault="00E05E66">
            <w:pPr>
              <w:spacing w:after="0" w:line="240" w:lineRule="auto"/>
              <w:jc w:val="center"/>
            </w:pPr>
          </w:p>
        </w:tc>
      </w:tr>
    </w:tbl>
    <w:p w14:paraId="2602B863" w14:textId="77777777" w:rsidR="00E05E66" w:rsidRDefault="00000000">
      <w:pPr>
        <w:spacing w:before="60" w:after="200"/>
      </w:pPr>
      <w:r>
        <w:rPr>
          <w:rFonts w:eastAsia="Times New Roman" w:cs="Times New Roman"/>
          <w:i/>
          <w:iCs/>
          <w:sz w:val="18"/>
          <w:szCs w:val="18"/>
        </w:rPr>
        <w:t>Note: *** p &lt; 0.001, ** p &lt; 0.01, * p &lt; 0.05. Cluster-robust standard errors at subcategory level (40 clusters). Dependent variable: ln(price per standardized unit). Subcategory fixed effects included but not reported.</w:t>
      </w:r>
    </w:p>
    <w:p w14:paraId="51686ACE" w14:textId="77777777" w:rsidR="00E05E66" w:rsidRDefault="00000000">
      <w:pPr>
        <w:jc w:val="both"/>
      </w:pPr>
      <w:r>
        <w:rPr>
          <w:rFonts w:eastAsia="Times New Roman" w:cs="Times New Roman"/>
          <w:i/>
          <w:iCs/>
          <w:sz w:val="24"/>
          <w:szCs w:val="24"/>
        </w:rPr>
        <w:t>Model fit.</w:t>
      </w:r>
      <w:r>
        <w:rPr>
          <w:rFonts w:eastAsia="Times New Roman" w:cs="Times New Roman"/>
          <w:sz w:val="24"/>
          <w:szCs w:val="24"/>
        </w:rPr>
        <w:t xml:space="preserve"> The adjusted R² is 0.639 for the marked-price model and 0.642 for the final-price model. The ten product features, together with forty subcategory fixed effects, explain approximately sixty-four percent of the log-price variation. The remaining thirty-six percent reflects within-subcategory variation that the nine NLP-derived features do not capture: format and flavor attributes in Instant Food, cultivar and season in Fresh Produce, and unobserved quality tiers within branded products. The per-category decomposition in Section 4.5 shows exactly where this unexplained variation concentrates, and the limitations of the NLP feature set as a quality proxy are discussed in Section 5.3. Near-identical R² across the marked-price and final-price specifications indicates that the promotional pipeline does not introduce a fundamentally different explanatory structure: promotions rescale some coefficients but do not add or remove the variables that drive observed prices.</w:t>
      </w:r>
    </w:p>
    <w:p w14:paraId="2DD64D8F" w14:textId="77777777" w:rsidR="00E05E66" w:rsidRDefault="00000000">
      <w:pPr>
        <w:jc w:val="both"/>
      </w:pPr>
      <w:r>
        <w:rPr>
          <w:rFonts w:eastAsia="Times New Roman" w:cs="Times New Roman"/>
          <w:i/>
          <w:iCs/>
          <w:sz w:val="24"/>
          <w:szCs w:val="24"/>
        </w:rPr>
        <w:t>Price-tier premium.</w:t>
      </w:r>
      <w:r>
        <w:rPr>
          <w:rFonts w:eastAsia="Times New Roman" w:cs="Times New Roman"/>
          <w:sz w:val="24"/>
          <w:szCs w:val="24"/>
        </w:rPr>
        <w:t xml:space="preserve"> The is_premium coefficient is the dominant attribute premium in the entire specification. Products occupying the premium tier within their subcategory command a markup of roughly forty-three to forty-four percent over non-premium branded </w:t>
        <w:lastRenderedPageBreak/>
        <w:t>products, and this premium is virtually unchanged across the two price measures (erosion = −1.7 percent). Premium-tier positioning survives the promotional pipeline almost perfectly.</w:t>
      </w:r>
    </w:p>
    <w:p w14:paraId="116A2FEF" w14:textId="77777777" w:rsidR="00E05E66" w:rsidRDefault="00000000">
      <w:pPr>
        <w:jc w:val="both"/>
      </w:pPr>
      <w:r>
        <w:rPr>
          <w:rFonts w:eastAsia="Times New Roman" w:cs="Times New Roman"/>
          <w:i/>
          <w:iCs/>
          <w:sz w:val="24"/>
          <w:szCs w:val="24"/>
        </w:rPr>
        <w:t>High-recognition discount.</w:t>
      </w:r>
      <w:r>
        <w:rPr>
          <w:rFonts w:eastAsia="Times New Roman" w:cs="Times New Roman"/>
          <w:sz w:val="24"/>
          <w:szCs w:val="24"/>
        </w:rPr>
        <w:t xml:space="preserve"> Conditional on being branded, the nationally recognized brands carry lower prices than other branded products. The discount deepens slightly from marked to final price (erosion = 4.3 percent), reinforcing the interpretation that high-recognition brands serve as promotional vehicles whose discounts intensify at checkout.</w:t>
      </w:r>
    </w:p>
    <w:p w14:paraId="31BD9427" w14:textId="77777777" w:rsidR="00E05E66" w:rsidRDefault="00000000">
      <w:pPr>
        <w:jc w:val="both"/>
      </w:pPr>
      <w:r>
        <w:rPr>
          <w:rFonts w:eastAsia="Times New Roman" w:cs="Times New Roman"/>
          <w:i/>
          <w:iCs/>
          <w:sz w:val="24"/>
          <w:szCs w:val="24"/>
        </w:rPr>
        <w:t>Brand-name signal.</w:t>
      </w:r>
      <w:r>
        <w:rPr>
          <w:rFonts w:eastAsia="Times New Roman" w:cs="Times New Roman"/>
          <w:sz w:val="24"/>
          <w:szCs w:val="24"/>
        </w:rPr>
        <w:t xml:space="preserve"> The is_branded coefficient is not statistically significant at any conventional level in either specification. This constitutes the key null finding: the brand name alone (stripped of price-tier and recognition effects) carries no statistically meaningful premium in this market. The 50.6 percent erosion from marked to final is directionally notable but occurs from a baseline indistinguishable from zero.</w:t>
      </w:r>
    </w:p>
    <w:p w14:paraId="50E97C13" w14:textId="77777777" w:rsidR="00E05E66" w:rsidRDefault="00000000">
      <w:pPr>
        <w:jc w:val="both"/>
      </w:pPr>
      <w:r>
        <w:rPr>
          <w:rFonts w:eastAsia="Times New Roman" w:cs="Times New Roman"/>
          <w:i/>
          <w:iCs/>
          <w:sz w:val="24"/>
          <w:szCs w:val="24"/>
        </w:rPr>
        <w:t>Import premium.</w:t>
      </w:r>
      <w:r>
        <w:rPr>
          <w:rFonts w:eastAsia="Times New Roman" w:cs="Times New Roman"/>
          <w:sz w:val="24"/>
          <w:szCs w:val="24"/>
        </w:rPr>
        <w:t xml:space="preserve"> The direction is economically plausible but the estimate is imprecise owing to the small import sample (98 products). The per-category results in Section 4.5 show that the import premium is large and highly significant within Fresh Produce but averaged out by other categories.</w:t>
      </w:r>
    </w:p>
    <w:p w14:paraId="2849D1ED" w14:textId="77777777" w:rsidR="00E05E66" w:rsidRDefault="00000000">
      <w:pPr>
        <w:jc w:val="both"/>
      </w:pPr>
      <w:r>
        <w:rPr>
          <w:rFonts w:eastAsia="Times New Roman" w:cs="Times New Roman"/>
          <w:i/>
          <w:iCs/>
          <w:sz w:val="24"/>
          <w:szCs w:val="24"/>
        </w:rPr>
        <w:t>House brand (WinEco).</w:t>
      </w:r>
      <w:r>
        <w:rPr>
          <w:rFonts w:eastAsia="Times New Roman" w:cs="Times New Roman"/>
          <w:sz w:val="24"/>
          <w:szCs w:val="24"/>
        </w:rPr>
        <w:t xml:space="preserve"> The sticker-price discount is small and statistically indistinguishable from zero, but the checkout-price discount is large and highly significant (−0.266, p &lt; 0.001). WinEco maintains near-parity shelf prices while deploying deep checkout discounts, the most dramatic dual-price divergence in the dataset.</w:t>
      </w:r>
    </w:p>
    <w:p w14:paraId="33072F97" w14:textId="77777777" w:rsidR="00E05E66" w:rsidRDefault="00000000">
      <w:pPr>
        <w:jc w:val="both"/>
      </w:pPr>
      <w:r>
        <w:rPr>
          <w:rFonts w:eastAsia="Times New Roman" w:cs="Times New Roman"/>
          <w:i/>
          <w:iCs/>
          <w:sz w:val="24"/>
          <w:szCs w:val="24"/>
        </w:rPr>
        <w:t>Pack-size economies.</w:t>
      </w:r>
      <w:r>
        <w:rPr>
          <w:rFonts w:eastAsia="Times New Roman" w:cs="Times New Roman"/>
          <w:sz w:val="24"/>
          <w:szCs w:val="24"/>
        </w:rPr>
        <w:t xml:space="preserve"> A ten percent increase in pack size is associated with approximately a 3.8 percent decrease in unit price. Health-claim and freshness-claim coefficients are not significant in the pooled model; their effects are category-specific, as Section 4.5 demonstrates.</w:t>
      </w:r>
    </w:p>
    <w:p w14:paraId="35B97A10" w14:textId="77777777" w:rsidR="00E05E66" w:rsidRDefault="00000000">
      <w:pPr>
        <w:spacing w:before="120" w:after="60"/>
        <w:jc w:val="center"/>
      </w:pPr>
      <w:r>
        <w:rPr>
          <w:noProof/>
        </w:rPr>
        <w:lastRenderedPageBreak/>
        <w:drawing>
          <wp:inline distT="0" distB="0" distL="0" distR="0" wp14:anchorId="2257D170" wp14:editId="1E0A7587">
            <wp:extent cx="5486400" cy="3933825"/>
            <wp:effectExtent l="0" t="0" r="0" b="0"/>
            <wp:docPr id="2" name="fig"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1"/>
                    <a:srcRect/>
                    <a:stretch>
                      <a:fillRect/>
                    </a:stretch>
                  </pic:blipFill>
                  <pic:spPr bwMode="auto">
                    <a:xfrm>
                      <a:off x="0" y="0"/>
                      <a:ext cx="5486400" cy="3933825"/>
                    </a:xfrm>
                    <a:prstGeom prst="rect">
                      <a:avLst/>
                    </a:prstGeom>
                  </pic:spPr>
                </pic:pic>
              </a:graphicData>
            </a:graphic>
          </wp:inline>
        </w:drawing>
      </w:r>
    </w:p>
    <w:p w14:paraId="278C9939" w14:textId="77777777" w:rsidR="00E05E66" w:rsidRDefault="00000000">
      <w:pPr>
        <w:spacing w:before="60" w:after="240"/>
        <w:jc w:val="center"/>
      </w:pPr>
      <w:r>
        <w:rPr>
          <w:rFonts w:eastAsia="Times New Roman" w:cs="Times New Roman"/>
          <w:i/>
          <w:iCs/>
          <w:sz w:val="20"/>
          <w:szCs w:val="20"/>
        </w:rPr>
        <w:t>Figure 4.1: Hedonic price premiums from pooled OLS. Blue squares = marked-price coefficients; red circles = final-price coefficients. Error bars represent 95% cluster-robust confidence intervals.</w:t>
      </w:r>
    </w:p>
    <w:p w14:paraId="57DED847" w14:textId="77777777" w:rsidR="00E05E66" w:rsidRDefault="00000000">
      <w:pPr>
        <w:pStyle w:val="Heading2"/>
        <w:spacing w:before="360" w:after="180"/>
      </w:pPr>
      <w:r>
        <w:rPr>
          <w:rFonts w:ascii="Times New Roman" w:eastAsia="Times New Roman" w:hAnsi="Times New Roman" w:cs="Times New Roman"/>
          <w:sz w:val="26"/>
        </w:rPr>
        <w:t>4.5 Per-Category Heterogeneity</w:t>
      </w:r>
    </w:p>
    <w:p w14:paraId="1B1BFAF4" w14:textId="77777777" w:rsidR="00E05E66" w:rsidRDefault="00000000">
      <w:pPr>
        <w:jc w:val="both"/>
      </w:pPr>
      <w:r>
        <w:rPr>
          <w:rFonts w:eastAsia="Times New Roman" w:cs="Times New Roman"/>
          <w:sz w:val="24"/>
          <w:szCs w:val="24"/>
        </w:rPr>
        <w:t>The pooled specification treats all ten categories as a single market, but the descriptive statistics suggest that attribute salience varies substantially. This section re-estimates the hedonic specification separately for each category.</w:t>
      </w:r>
    </w:p>
    <w:p w14:paraId="1B773058" w14:textId="77777777" w:rsidR="00E05E66" w:rsidRDefault="00000000">
      <w:pPr>
        <w:spacing w:before="200" w:after="80"/>
        <w:jc w:val="center"/>
      </w:pPr>
      <w:r>
        <w:rPr>
          <w:rFonts w:eastAsia="Times New Roman" w:cs="Times New Roman"/>
          <w:b/>
          <w:bCs/>
          <w:sz w:val="20"/>
          <w:szCs w:val="20"/>
        </w:rPr>
        <w:t>Table 4.4: Per-Category Hedonic Regression Results (Final-Price Specification)</w:t>
      </w:r>
    </w:p>
    <w:tbl>
      <w:tblPr>
        <w:tblW w:w="8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450"/>
        <w:gridCol w:w="700"/>
        <w:gridCol w:w="900"/>
        <w:gridCol w:w="900"/>
        <w:gridCol w:w="1100"/>
        <w:gridCol w:w="900"/>
        <w:gridCol w:w="900"/>
        <w:gridCol w:w="900"/>
      </w:tblGrid>
      <w:tr w:rsidR="00E05E66" w14:paraId="567D874A" w14:textId="77777777">
        <w:tc>
          <w:tcPr>
            <w:tcW w:w="1500" w:type="dxa"/>
            <w:tcBorders>
              <w:top w:val="single" w:sz="1" w:space="0" w:color="000000"/>
              <w:bottom w:val="single" w:sz="1" w:space="0" w:color="000000"/>
            </w:tcBorders>
            <w:shd w:val="clear" w:color="auto" w:fill="D9E2F3"/>
            <w:tcMar>
              <w:top w:w="30" w:type="dxa"/>
              <w:left w:w="60" w:type="dxa"/>
              <w:bottom w:w="30" w:type="dxa"/>
              <w:right w:w="60" w:type="dxa"/>
            </w:tcMar>
          </w:tcPr>
          <w:p w14:paraId="4686614E" w14:textId="77777777" w:rsidR="00E05E66" w:rsidRDefault="00000000">
            <w:pPr>
              <w:spacing w:after="0" w:line="240" w:lineRule="auto"/>
            </w:pPr>
            <w:r>
              <w:rPr>
                <w:rFonts w:eastAsia="Times New Roman" w:cs="Times New Roman"/>
                <w:b/>
                <w:bCs/>
                <w:sz w:val="16"/>
                <w:szCs w:val="16"/>
              </w:rPr>
              <w:t>Category</w:t>
            </w:r>
          </w:p>
        </w:tc>
        <w:tc>
          <w:tcPr>
            <w:tcW w:w="450" w:type="dxa"/>
            <w:tcBorders>
              <w:top w:val="single" w:sz="1" w:space="0" w:color="000000"/>
              <w:bottom w:val="single" w:sz="1" w:space="0" w:color="000000"/>
            </w:tcBorders>
            <w:shd w:val="clear" w:color="auto" w:fill="D9E2F3"/>
            <w:tcMar>
              <w:top w:w="30" w:type="dxa"/>
              <w:left w:w="60" w:type="dxa"/>
              <w:bottom w:w="30" w:type="dxa"/>
              <w:right w:w="60" w:type="dxa"/>
            </w:tcMar>
          </w:tcPr>
          <w:p w14:paraId="2C4FD62A" w14:textId="77777777" w:rsidR="00E05E66" w:rsidRDefault="00000000">
            <w:pPr>
              <w:spacing w:after="0" w:line="240" w:lineRule="auto"/>
              <w:jc w:val="center"/>
            </w:pPr>
            <w:r>
              <w:rPr>
                <w:rFonts w:eastAsia="Times New Roman" w:cs="Times New Roman"/>
                <w:b/>
                <w:bCs/>
                <w:sz w:val="16"/>
                <w:szCs w:val="16"/>
              </w:rPr>
              <w:t>N</w:t>
            </w:r>
          </w:p>
        </w:tc>
        <w:tc>
          <w:tcPr>
            <w:tcW w:w="700" w:type="dxa"/>
            <w:tcBorders>
              <w:top w:val="single" w:sz="1" w:space="0" w:color="000000"/>
              <w:bottom w:val="single" w:sz="1" w:space="0" w:color="000000"/>
            </w:tcBorders>
            <w:shd w:val="clear" w:color="auto" w:fill="D9E2F3"/>
            <w:tcMar>
              <w:top w:w="30" w:type="dxa"/>
              <w:left w:w="60" w:type="dxa"/>
              <w:bottom w:w="30" w:type="dxa"/>
              <w:right w:w="60" w:type="dxa"/>
            </w:tcMar>
          </w:tcPr>
          <w:p w14:paraId="0DD7C128" w14:textId="77777777" w:rsidR="00E05E66" w:rsidRDefault="00000000">
            <w:pPr>
              <w:spacing w:after="0" w:line="240" w:lineRule="auto"/>
              <w:jc w:val="center"/>
            </w:pPr>
            <w:r>
              <w:rPr>
                <w:rFonts w:eastAsia="Times New Roman" w:cs="Times New Roman"/>
                <w:b/>
                <w:bCs/>
                <w:sz w:val="16"/>
                <w:szCs w:val="16"/>
              </w:rPr>
              <w:t>Adj R²</w:t>
            </w:r>
          </w:p>
        </w:tc>
        <w:tc>
          <w:tcPr>
            <w:tcW w:w="900" w:type="dxa"/>
            <w:tcBorders>
              <w:top w:val="single" w:sz="1" w:space="0" w:color="000000"/>
              <w:bottom w:val="single" w:sz="1" w:space="0" w:color="000000"/>
            </w:tcBorders>
            <w:shd w:val="clear" w:color="auto" w:fill="D9E2F3"/>
            <w:tcMar>
              <w:top w:w="30" w:type="dxa"/>
              <w:left w:w="60" w:type="dxa"/>
              <w:bottom w:w="30" w:type="dxa"/>
              <w:right w:w="60" w:type="dxa"/>
            </w:tcMar>
          </w:tcPr>
          <w:p w14:paraId="2919E257" w14:textId="77777777" w:rsidR="00E05E66" w:rsidRDefault="00000000">
            <w:pPr>
              <w:spacing w:after="0" w:line="240" w:lineRule="auto"/>
              <w:jc w:val="center"/>
            </w:pPr>
            <w:r>
              <w:rPr>
                <w:rFonts w:eastAsia="Times New Roman" w:cs="Times New Roman"/>
                <w:b/>
                <w:bCs/>
                <w:sz w:val="16"/>
                <w:szCs w:val="16"/>
              </w:rPr>
              <w:t>Branded</w:t>
            </w:r>
          </w:p>
        </w:tc>
        <w:tc>
          <w:tcPr>
            <w:tcW w:w="900" w:type="dxa"/>
            <w:tcBorders>
              <w:top w:val="single" w:sz="1" w:space="0" w:color="000000"/>
              <w:bottom w:val="single" w:sz="1" w:space="0" w:color="000000"/>
            </w:tcBorders>
            <w:shd w:val="clear" w:color="auto" w:fill="D9E2F3"/>
            <w:tcMar>
              <w:top w:w="30" w:type="dxa"/>
              <w:left w:w="60" w:type="dxa"/>
              <w:bottom w:w="30" w:type="dxa"/>
              <w:right w:w="60" w:type="dxa"/>
            </w:tcMar>
          </w:tcPr>
          <w:p w14:paraId="610CF008" w14:textId="77777777" w:rsidR="00E05E66" w:rsidRDefault="00000000">
            <w:pPr>
              <w:spacing w:after="0" w:line="240" w:lineRule="auto"/>
              <w:jc w:val="center"/>
            </w:pPr>
            <w:r>
              <w:rPr>
                <w:rFonts w:eastAsia="Times New Roman" w:cs="Times New Roman"/>
                <w:b/>
                <w:bCs/>
                <w:sz w:val="16"/>
                <w:szCs w:val="16"/>
              </w:rPr>
              <w:t>Premium</w:t>
            </w:r>
          </w:p>
        </w:tc>
        <w:tc>
          <w:tcPr>
            <w:tcW w:w="1100" w:type="dxa"/>
            <w:tcBorders>
              <w:top w:val="single" w:sz="1" w:space="0" w:color="000000"/>
              <w:bottom w:val="single" w:sz="1" w:space="0" w:color="000000"/>
            </w:tcBorders>
            <w:shd w:val="clear" w:color="auto" w:fill="D9E2F3"/>
            <w:tcMar>
              <w:top w:w="30" w:type="dxa"/>
              <w:left w:w="60" w:type="dxa"/>
              <w:bottom w:w="30" w:type="dxa"/>
              <w:right w:w="60" w:type="dxa"/>
            </w:tcMar>
          </w:tcPr>
          <w:p w14:paraId="4861473C" w14:textId="77777777" w:rsidR="00E05E66" w:rsidRDefault="00000000">
            <w:pPr>
              <w:spacing w:after="0" w:line="240" w:lineRule="auto"/>
              <w:jc w:val="center"/>
            </w:pPr>
            <w:r>
              <w:rPr>
                <w:rFonts w:eastAsia="Times New Roman" w:cs="Times New Roman"/>
                <w:b/>
                <w:bCs/>
                <w:sz w:val="16"/>
                <w:szCs w:val="16"/>
              </w:rPr>
              <w:t>High Recog.</w:t>
            </w:r>
          </w:p>
        </w:tc>
        <w:tc>
          <w:tcPr>
            <w:tcW w:w="900" w:type="dxa"/>
            <w:tcBorders>
              <w:top w:val="single" w:sz="1" w:space="0" w:color="000000"/>
              <w:bottom w:val="single" w:sz="1" w:space="0" w:color="000000"/>
            </w:tcBorders>
            <w:shd w:val="clear" w:color="auto" w:fill="D9E2F3"/>
            <w:tcMar>
              <w:top w:w="30" w:type="dxa"/>
              <w:left w:w="60" w:type="dxa"/>
              <w:bottom w:w="30" w:type="dxa"/>
              <w:right w:w="60" w:type="dxa"/>
            </w:tcMar>
          </w:tcPr>
          <w:p w14:paraId="56F6AAF4" w14:textId="77777777" w:rsidR="00E05E66" w:rsidRDefault="00000000">
            <w:pPr>
              <w:spacing w:after="0" w:line="240" w:lineRule="auto"/>
              <w:jc w:val="center"/>
            </w:pPr>
            <w:r>
              <w:rPr>
                <w:rFonts w:eastAsia="Times New Roman" w:cs="Times New Roman"/>
                <w:b/>
                <w:bCs/>
                <w:sz w:val="16"/>
                <w:szCs w:val="16"/>
              </w:rPr>
              <w:t>Import</w:t>
            </w:r>
          </w:p>
        </w:tc>
        <w:tc>
          <w:tcPr>
            <w:tcW w:w="900" w:type="dxa"/>
            <w:tcBorders>
              <w:top w:val="single" w:sz="1" w:space="0" w:color="000000"/>
              <w:bottom w:val="single" w:sz="1" w:space="0" w:color="000000"/>
            </w:tcBorders>
            <w:shd w:val="clear" w:color="auto" w:fill="D9E2F3"/>
            <w:tcMar>
              <w:top w:w="30" w:type="dxa"/>
              <w:left w:w="60" w:type="dxa"/>
              <w:bottom w:w="30" w:type="dxa"/>
              <w:right w:w="60" w:type="dxa"/>
            </w:tcMar>
          </w:tcPr>
          <w:p w14:paraId="50092A88" w14:textId="77777777" w:rsidR="00E05E66" w:rsidRDefault="00000000">
            <w:pPr>
              <w:spacing w:after="0" w:line="240" w:lineRule="auto"/>
              <w:jc w:val="center"/>
            </w:pPr>
            <w:r>
              <w:rPr>
                <w:rFonts w:eastAsia="Times New Roman" w:cs="Times New Roman"/>
                <w:b/>
                <w:bCs/>
                <w:sz w:val="16"/>
                <w:szCs w:val="16"/>
              </w:rPr>
              <w:t>House</w:t>
            </w:r>
          </w:p>
        </w:tc>
        <w:tc>
          <w:tcPr>
            <w:tcW w:w="900" w:type="dxa"/>
            <w:tcBorders>
              <w:top w:val="single" w:sz="1" w:space="0" w:color="000000"/>
              <w:bottom w:val="single" w:sz="1" w:space="0" w:color="000000"/>
            </w:tcBorders>
            <w:shd w:val="clear" w:color="auto" w:fill="D9E2F3"/>
            <w:tcMar>
              <w:top w:w="30" w:type="dxa"/>
              <w:left w:w="60" w:type="dxa"/>
              <w:bottom w:w="30" w:type="dxa"/>
              <w:right w:w="60" w:type="dxa"/>
            </w:tcMar>
          </w:tcPr>
          <w:p w14:paraId="0AB17FB9" w14:textId="77777777" w:rsidR="00E05E66" w:rsidRDefault="00000000">
            <w:pPr>
              <w:spacing w:after="0" w:line="240" w:lineRule="auto"/>
              <w:jc w:val="center"/>
            </w:pPr>
            <w:r>
              <w:rPr>
                <w:rFonts w:eastAsia="Times New Roman" w:cs="Times New Roman"/>
                <w:b/>
                <w:bCs/>
                <w:sz w:val="16"/>
                <w:szCs w:val="16"/>
              </w:rPr>
              <w:t>Health</w:t>
            </w:r>
          </w:p>
        </w:tc>
      </w:tr>
      <w:tr w:rsidR="00E05E66" w14:paraId="47F765ED" w14:textId="77777777">
        <w:tc>
          <w:tcPr>
            <w:tcW w:w="1500" w:type="dxa"/>
            <w:shd w:val="clear" w:color="auto" w:fill="FFF8B8"/>
            <w:tcMar>
              <w:top w:w="30" w:type="dxa"/>
              <w:left w:w="60" w:type="dxa"/>
              <w:bottom w:w="30" w:type="dxa"/>
              <w:right w:w="60" w:type="dxa"/>
            </w:tcMar>
          </w:tcPr>
          <w:p w14:paraId="28BC0CBB" w14:textId="77777777" w:rsidR="00E05E66" w:rsidRDefault="00000000">
            <w:pPr>
              <w:spacing w:after="0" w:line="240" w:lineRule="auto"/>
            </w:pPr>
            <w:r>
              <w:rPr>
                <w:rFonts w:eastAsia="Times New Roman" w:cs="Times New Roman"/>
                <w:sz w:val="16"/>
                <w:szCs w:val="16"/>
              </w:rPr>
              <w:t>Dry Food</w:t>
            </w:r>
          </w:p>
        </w:tc>
        <w:tc>
          <w:tcPr>
            <w:tcW w:w="450" w:type="dxa"/>
            <w:shd w:val="clear" w:color="auto" w:fill="FFF8B8"/>
            <w:tcMar>
              <w:top w:w="30" w:type="dxa"/>
              <w:left w:w="60" w:type="dxa"/>
              <w:bottom w:w="30" w:type="dxa"/>
              <w:right w:w="60" w:type="dxa"/>
            </w:tcMar>
          </w:tcPr>
          <w:p w14:paraId="51413C85" w14:textId="77777777" w:rsidR="00E05E66" w:rsidRDefault="00000000">
            <w:pPr>
              <w:spacing w:after="0" w:line="240" w:lineRule="auto"/>
              <w:jc w:val="center"/>
            </w:pPr>
            <w:r>
              <w:rPr>
                <w:rFonts w:eastAsia="Times New Roman" w:cs="Times New Roman"/>
                <w:sz w:val="16"/>
                <w:szCs w:val="16"/>
              </w:rPr>
              <w:t>169</w:t>
            </w:r>
          </w:p>
        </w:tc>
        <w:tc>
          <w:tcPr>
            <w:tcW w:w="700" w:type="dxa"/>
            <w:shd w:val="clear" w:color="auto" w:fill="FFF8B8"/>
            <w:tcMar>
              <w:top w:w="30" w:type="dxa"/>
              <w:left w:w="60" w:type="dxa"/>
              <w:bottom w:w="30" w:type="dxa"/>
              <w:right w:w="60" w:type="dxa"/>
            </w:tcMar>
          </w:tcPr>
          <w:p w14:paraId="4EBBAB4F" w14:textId="77777777" w:rsidR="00E05E66" w:rsidRDefault="00000000">
            <w:pPr>
              <w:spacing w:after="0" w:line="240" w:lineRule="auto"/>
              <w:jc w:val="center"/>
            </w:pPr>
            <w:r>
              <w:rPr>
                <w:rFonts w:eastAsia="Times New Roman" w:cs="Times New Roman"/>
                <w:sz w:val="16"/>
                <w:szCs w:val="16"/>
              </w:rPr>
              <w:t>0.831</w:t>
            </w:r>
          </w:p>
        </w:tc>
        <w:tc>
          <w:tcPr>
            <w:tcW w:w="900" w:type="dxa"/>
            <w:shd w:val="clear" w:color="auto" w:fill="FFF8B8"/>
            <w:tcMar>
              <w:top w:w="30" w:type="dxa"/>
              <w:left w:w="60" w:type="dxa"/>
              <w:bottom w:w="30" w:type="dxa"/>
              <w:right w:w="60" w:type="dxa"/>
            </w:tcMar>
          </w:tcPr>
          <w:p w14:paraId="10A7CC3F" w14:textId="77777777" w:rsidR="00E05E66" w:rsidRDefault="00000000">
            <w:pPr>
              <w:spacing w:after="0" w:line="240" w:lineRule="auto"/>
              <w:jc w:val="center"/>
            </w:pPr>
            <w:r>
              <w:rPr>
                <w:rFonts w:eastAsia="Times New Roman" w:cs="Times New Roman"/>
                <w:sz w:val="16"/>
                <w:szCs w:val="16"/>
              </w:rPr>
              <w:t>+0.056</w:t>
            </w:r>
          </w:p>
        </w:tc>
        <w:tc>
          <w:tcPr>
            <w:tcW w:w="900" w:type="dxa"/>
            <w:shd w:val="clear" w:color="auto" w:fill="FFF8B8"/>
            <w:tcMar>
              <w:top w:w="30" w:type="dxa"/>
              <w:left w:w="60" w:type="dxa"/>
              <w:bottom w:w="30" w:type="dxa"/>
              <w:right w:w="60" w:type="dxa"/>
            </w:tcMar>
          </w:tcPr>
          <w:p w14:paraId="10533880" w14:textId="77777777" w:rsidR="00E05E66" w:rsidRDefault="00000000">
            <w:pPr>
              <w:spacing w:after="0" w:line="240" w:lineRule="auto"/>
              <w:jc w:val="center"/>
            </w:pPr>
            <w:r>
              <w:rPr>
                <w:rFonts w:eastAsia="Times New Roman" w:cs="Times New Roman"/>
                <w:sz w:val="16"/>
                <w:szCs w:val="16"/>
              </w:rPr>
              <w:t>+0.153</w:t>
            </w:r>
          </w:p>
        </w:tc>
        <w:tc>
          <w:tcPr>
            <w:tcW w:w="1100" w:type="dxa"/>
            <w:shd w:val="clear" w:color="auto" w:fill="FFF8B8"/>
            <w:tcMar>
              <w:top w:w="30" w:type="dxa"/>
              <w:left w:w="60" w:type="dxa"/>
              <w:bottom w:w="30" w:type="dxa"/>
              <w:right w:w="60" w:type="dxa"/>
            </w:tcMar>
          </w:tcPr>
          <w:p w14:paraId="63AB2F09" w14:textId="77777777" w:rsidR="00E05E66" w:rsidRDefault="00000000">
            <w:pPr>
              <w:spacing w:after="0" w:line="240" w:lineRule="auto"/>
              <w:jc w:val="center"/>
            </w:pPr>
            <w:r>
              <w:rPr>
                <w:rFonts w:eastAsia="Times New Roman" w:cs="Times New Roman"/>
                <w:sz w:val="16"/>
                <w:szCs w:val="16"/>
              </w:rPr>
              <w:t>−0.449***</w:t>
            </w:r>
          </w:p>
        </w:tc>
        <w:tc>
          <w:tcPr>
            <w:tcW w:w="900" w:type="dxa"/>
            <w:shd w:val="clear" w:color="auto" w:fill="FFF8B8"/>
            <w:tcMar>
              <w:top w:w="30" w:type="dxa"/>
              <w:left w:w="60" w:type="dxa"/>
              <w:bottom w:w="30" w:type="dxa"/>
              <w:right w:w="60" w:type="dxa"/>
            </w:tcMar>
          </w:tcPr>
          <w:p w14:paraId="39385060" w14:textId="77777777" w:rsidR="00E05E66" w:rsidRDefault="00000000">
            <w:pPr>
              <w:spacing w:after="0" w:line="240" w:lineRule="auto"/>
              <w:jc w:val="center"/>
            </w:pPr>
            <w:r>
              <w:rPr>
                <w:rFonts w:eastAsia="Times New Roman" w:cs="Times New Roman"/>
                <w:sz w:val="16"/>
                <w:szCs w:val="16"/>
              </w:rPr>
              <w:t>+0.671</w:t>
            </w:r>
          </w:p>
        </w:tc>
        <w:tc>
          <w:tcPr>
            <w:tcW w:w="900" w:type="dxa"/>
            <w:shd w:val="clear" w:color="auto" w:fill="FFF8B8"/>
            <w:tcMar>
              <w:top w:w="30" w:type="dxa"/>
              <w:left w:w="60" w:type="dxa"/>
              <w:bottom w:w="30" w:type="dxa"/>
              <w:right w:w="60" w:type="dxa"/>
            </w:tcMar>
          </w:tcPr>
          <w:p w14:paraId="40704020" w14:textId="77777777" w:rsidR="00E05E66" w:rsidRDefault="00000000">
            <w:pPr>
              <w:spacing w:after="0" w:line="240" w:lineRule="auto"/>
              <w:jc w:val="center"/>
            </w:pPr>
            <w:r>
              <w:rPr>
                <w:rFonts w:eastAsia="Times New Roman" w:cs="Times New Roman"/>
                <w:sz w:val="16"/>
                <w:szCs w:val="16"/>
              </w:rPr>
              <w:t xml:space="preserve">, </w:t>
            </w:r>
          </w:p>
        </w:tc>
        <w:tc>
          <w:tcPr>
            <w:tcW w:w="900" w:type="dxa"/>
            <w:shd w:val="clear" w:color="auto" w:fill="FFF8B8"/>
            <w:tcMar>
              <w:top w:w="30" w:type="dxa"/>
              <w:left w:w="60" w:type="dxa"/>
              <w:bottom w:w="30" w:type="dxa"/>
              <w:right w:w="60" w:type="dxa"/>
            </w:tcMar>
          </w:tcPr>
          <w:p w14:paraId="2D58EFE1" w14:textId="77777777" w:rsidR="00E05E66" w:rsidRDefault="00000000">
            <w:pPr>
              <w:spacing w:after="0" w:line="240" w:lineRule="auto"/>
              <w:jc w:val="center"/>
            </w:pPr>
            <w:r>
              <w:rPr>
                <w:rFonts w:eastAsia="Times New Roman" w:cs="Times New Roman"/>
                <w:sz w:val="16"/>
                <w:szCs w:val="16"/>
              </w:rPr>
              <w:t>+0.104</w:t>
            </w:r>
          </w:p>
        </w:tc>
      </w:tr>
      <w:tr w:rsidR="00E05E66" w14:paraId="461FF693" w14:textId="77777777">
        <w:tc>
          <w:tcPr>
            <w:tcW w:w="1500" w:type="dxa"/>
            <w:shd w:val="clear" w:color="auto" w:fill="FFF8B8"/>
            <w:tcMar>
              <w:top w:w="30" w:type="dxa"/>
              <w:left w:w="60" w:type="dxa"/>
              <w:bottom w:w="30" w:type="dxa"/>
              <w:right w:w="60" w:type="dxa"/>
            </w:tcMar>
          </w:tcPr>
          <w:p w14:paraId="790E111B" w14:textId="77777777" w:rsidR="00E05E66" w:rsidRDefault="00000000">
            <w:pPr>
              <w:spacing w:after="0" w:line="240" w:lineRule="auto"/>
            </w:pPr>
            <w:r>
              <w:rPr>
                <w:rFonts w:eastAsia="Times New Roman" w:cs="Times New Roman"/>
                <w:sz w:val="16"/>
                <w:szCs w:val="16"/>
              </w:rPr>
              <w:t>Baby Products</w:t>
            </w:r>
          </w:p>
        </w:tc>
        <w:tc>
          <w:tcPr>
            <w:tcW w:w="450" w:type="dxa"/>
            <w:shd w:val="clear" w:color="auto" w:fill="FFF8B8"/>
            <w:tcMar>
              <w:top w:w="30" w:type="dxa"/>
              <w:left w:w="60" w:type="dxa"/>
              <w:bottom w:w="30" w:type="dxa"/>
              <w:right w:w="60" w:type="dxa"/>
            </w:tcMar>
          </w:tcPr>
          <w:p w14:paraId="2BB33B1C" w14:textId="77777777" w:rsidR="00E05E66" w:rsidRDefault="00000000">
            <w:pPr>
              <w:spacing w:after="0" w:line="240" w:lineRule="auto"/>
              <w:jc w:val="center"/>
            </w:pPr>
            <w:r>
              <w:rPr>
                <w:rFonts w:eastAsia="Times New Roman" w:cs="Times New Roman"/>
                <w:sz w:val="16"/>
                <w:szCs w:val="16"/>
              </w:rPr>
              <w:t>34</w:t>
            </w:r>
          </w:p>
        </w:tc>
        <w:tc>
          <w:tcPr>
            <w:tcW w:w="700" w:type="dxa"/>
            <w:shd w:val="clear" w:color="auto" w:fill="FFF8B8"/>
            <w:tcMar>
              <w:top w:w="30" w:type="dxa"/>
              <w:left w:w="60" w:type="dxa"/>
              <w:bottom w:w="30" w:type="dxa"/>
              <w:right w:w="60" w:type="dxa"/>
            </w:tcMar>
          </w:tcPr>
          <w:p w14:paraId="15EF7638" w14:textId="77777777" w:rsidR="00E05E66" w:rsidRDefault="00000000">
            <w:pPr>
              <w:spacing w:after="0" w:line="240" w:lineRule="auto"/>
              <w:jc w:val="center"/>
            </w:pPr>
            <w:r>
              <w:rPr>
                <w:rFonts w:eastAsia="Times New Roman" w:cs="Times New Roman"/>
                <w:sz w:val="16"/>
                <w:szCs w:val="16"/>
              </w:rPr>
              <w:t>0.753</w:t>
            </w:r>
          </w:p>
        </w:tc>
        <w:tc>
          <w:tcPr>
            <w:tcW w:w="900" w:type="dxa"/>
            <w:shd w:val="clear" w:color="auto" w:fill="FFF8B8"/>
            <w:tcMar>
              <w:top w:w="30" w:type="dxa"/>
              <w:left w:w="60" w:type="dxa"/>
              <w:bottom w:w="30" w:type="dxa"/>
              <w:right w:w="60" w:type="dxa"/>
            </w:tcMar>
          </w:tcPr>
          <w:p w14:paraId="1E96FC0A" w14:textId="77777777" w:rsidR="00E05E66" w:rsidRDefault="00000000">
            <w:pPr>
              <w:spacing w:after="0" w:line="240" w:lineRule="auto"/>
              <w:jc w:val="center"/>
            </w:pPr>
            <w:r>
              <w:rPr>
                <w:rFonts w:eastAsia="Times New Roman" w:cs="Times New Roman"/>
                <w:sz w:val="16"/>
                <w:szCs w:val="16"/>
              </w:rPr>
              <w:t>+0.519</w:t>
            </w:r>
          </w:p>
        </w:tc>
        <w:tc>
          <w:tcPr>
            <w:tcW w:w="900" w:type="dxa"/>
            <w:shd w:val="clear" w:color="auto" w:fill="FFF8B8"/>
            <w:tcMar>
              <w:top w:w="30" w:type="dxa"/>
              <w:left w:w="60" w:type="dxa"/>
              <w:bottom w:w="30" w:type="dxa"/>
              <w:right w:w="60" w:type="dxa"/>
            </w:tcMar>
          </w:tcPr>
          <w:p w14:paraId="214FE03B" w14:textId="77777777" w:rsidR="00E05E66" w:rsidRDefault="00000000">
            <w:pPr>
              <w:spacing w:after="0" w:line="240" w:lineRule="auto"/>
              <w:jc w:val="center"/>
            </w:pPr>
            <w:r>
              <w:rPr>
                <w:rFonts w:eastAsia="Times New Roman" w:cs="Times New Roman"/>
                <w:sz w:val="16"/>
                <w:szCs w:val="16"/>
              </w:rPr>
              <w:t>+0.104</w:t>
            </w:r>
          </w:p>
        </w:tc>
        <w:tc>
          <w:tcPr>
            <w:tcW w:w="1100" w:type="dxa"/>
            <w:shd w:val="clear" w:color="auto" w:fill="FFF8B8"/>
            <w:tcMar>
              <w:top w:w="30" w:type="dxa"/>
              <w:left w:w="60" w:type="dxa"/>
              <w:bottom w:w="30" w:type="dxa"/>
              <w:right w:w="60" w:type="dxa"/>
            </w:tcMar>
          </w:tcPr>
          <w:p w14:paraId="1059EDAF" w14:textId="77777777" w:rsidR="00E05E66" w:rsidRDefault="00000000">
            <w:pPr>
              <w:spacing w:after="0" w:line="240" w:lineRule="auto"/>
              <w:jc w:val="center"/>
            </w:pPr>
            <w:r>
              <w:rPr>
                <w:rFonts w:eastAsia="Times New Roman" w:cs="Times New Roman"/>
                <w:sz w:val="16"/>
                <w:szCs w:val="16"/>
              </w:rPr>
              <w:t>−0.225</w:t>
            </w:r>
          </w:p>
        </w:tc>
        <w:tc>
          <w:tcPr>
            <w:tcW w:w="900" w:type="dxa"/>
            <w:shd w:val="clear" w:color="auto" w:fill="FFF8B8"/>
            <w:tcMar>
              <w:top w:w="30" w:type="dxa"/>
              <w:left w:w="60" w:type="dxa"/>
              <w:bottom w:w="30" w:type="dxa"/>
              <w:right w:w="60" w:type="dxa"/>
            </w:tcMar>
          </w:tcPr>
          <w:p w14:paraId="65001988" w14:textId="77777777" w:rsidR="00E05E66" w:rsidRDefault="00000000">
            <w:pPr>
              <w:spacing w:after="0" w:line="240" w:lineRule="auto"/>
              <w:jc w:val="center"/>
            </w:pPr>
            <w:r>
              <w:rPr>
                <w:rFonts w:eastAsia="Times New Roman" w:cs="Times New Roman"/>
                <w:sz w:val="16"/>
                <w:szCs w:val="16"/>
              </w:rPr>
              <w:t xml:space="preserve">, </w:t>
            </w:r>
          </w:p>
        </w:tc>
        <w:tc>
          <w:tcPr>
            <w:tcW w:w="900" w:type="dxa"/>
            <w:shd w:val="clear" w:color="auto" w:fill="FFF8B8"/>
            <w:tcMar>
              <w:top w:w="30" w:type="dxa"/>
              <w:left w:w="60" w:type="dxa"/>
              <w:bottom w:w="30" w:type="dxa"/>
              <w:right w:w="60" w:type="dxa"/>
            </w:tcMar>
          </w:tcPr>
          <w:p w14:paraId="4FE050C5" w14:textId="77777777" w:rsidR="00E05E66" w:rsidRDefault="00000000">
            <w:pPr>
              <w:spacing w:after="0" w:line="240" w:lineRule="auto"/>
              <w:jc w:val="center"/>
            </w:pPr>
            <w:r>
              <w:rPr>
                <w:rFonts w:eastAsia="Times New Roman" w:cs="Times New Roman"/>
                <w:sz w:val="16"/>
                <w:szCs w:val="16"/>
              </w:rPr>
              <w:t xml:space="preserve">, </w:t>
            </w:r>
          </w:p>
        </w:tc>
        <w:tc>
          <w:tcPr>
            <w:tcW w:w="900" w:type="dxa"/>
            <w:shd w:val="clear" w:color="auto" w:fill="FFF8B8"/>
            <w:tcMar>
              <w:top w:w="30" w:type="dxa"/>
              <w:left w:w="60" w:type="dxa"/>
              <w:bottom w:w="30" w:type="dxa"/>
              <w:right w:w="60" w:type="dxa"/>
            </w:tcMar>
          </w:tcPr>
          <w:p w14:paraId="6B8771A7" w14:textId="77777777" w:rsidR="00E05E66" w:rsidRDefault="00000000">
            <w:pPr>
              <w:spacing w:after="0" w:line="240" w:lineRule="auto"/>
              <w:jc w:val="center"/>
            </w:pPr>
            <w:r>
              <w:rPr>
                <w:rFonts w:eastAsia="Times New Roman" w:cs="Times New Roman"/>
                <w:sz w:val="16"/>
                <w:szCs w:val="16"/>
              </w:rPr>
              <w:t>−0.029</w:t>
            </w:r>
          </w:p>
        </w:tc>
      </w:tr>
      <w:tr w:rsidR="00E05E66" w14:paraId="6F441B45" w14:textId="77777777">
        <w:tc>
          <w:tcPr>
            <w:tcW w:w="1500" w:type="dxa"/>
            <w:shd w:val="clear" w:color="auto" w:fill="FFF8B8"/>
            <w:tcMar>
              <w:top w:w="30" w:type="dxa"/>
              <w:left w:w="60" w:type="dxa"/>
              <w:bottom w:w="30" w:type="dxa"/>
              <w:right w:w="60" w:type="dxa"/>
            </w:tcMar>
          </w:tcPr>
          <w:p w14:paraId="53433640" w14:textId="77777777" w:rsidR="00E05E66" w:rsidRDefault="00000000">
            <w:pPr>
              <w:spacing w:after="0" w:line="240" w:lineRule="auto"/>
            </w:pPr>
            <w:r>
              <w:rPr>
                <w:rFonts w:eastAsia="Times New Roman" w:cs="Times New Roman"/>
                <w:sz w:val="16"/>
                <w:szCs w:val="16"/>
              </w:rPr>
              <w:t>Dairy</w:t>
            </w:r>
          </w:p>
        </w:tc>
        <w:tc>
          <w:tcPr>
            <w:tcW w:w="450" w:type="dxa"/>
            <w:shd w:val="clear" w:color="auto" w:fill="FFF8B8"/>
            <w:tcMar>
              <w:top w:w="30" w:type="dxa"/>
              <w:left w:w="60" w:type="dxa"/>
              <w:bottom w:w="30" w:type="dxa"/>
              <w:right w:w="60" w:type="dxa"/>
            </w:tcMar>
          </w:tcPr>
          <w:p w14:paraId="54850EB7" w14:textId="77777777" w:rsidR="00E05E66" w:rsidRDefault="00000000">
            <w:pPr>
              <w:spacing w:after="0" w:line="240" w:lineRule="auto"/>
              <w:jc w:val="center"/>
            </w:pPr>
            <w:r>
              <w:rPr>
                <w:rFonts w:eastAsia="Times New Roman" w:cs="Times New Roman"/>
                <w:sz w:val="16"/>
                <w:szCs w:val="16"/>
              </w:rPr>
              <w:t>334</w:t>
            </w:r>
          </w:p>
        </w:tc>
        <w:tc>
          <w:tcPr>
            <w:tcW w:w="700" w:type="dxa"/>
            <w:shd w:val="clear" w:color="auto" w:fill="FFF8B8"/>
            <w:tcMar>
              <w:top w:w="30" w:type="dxa"/>
              <w:left w:w="60" w:type="dxa"/>
              <w:bottom w:w="30" w:type="dxa"/>
              <w:right w:w="60" w:type="dxa"/>
            </w:tcMar>
          </w:tcPr>
          <w:p w14:paraId="0F9257AD" w14:textId="77777777" w:rsidR="00E05E66" w:rsidRDefault="00000000">
            <w:pPr>
              <w:spacing w:after="0" w:line="240" w:lineRule="auto"/>
              <w:jc w:val="center"/>
            </w:pPr>
            <w:r>
              <w:rPr>
                <w:rFonts w:eastAsia="Times New Roman" w:cs="Times New Roman"/>
                <w:sz w:val="16"/>
                <w:szCs w:val="16"/>
              </w:rPr>
              <w:t>0.688</w:t>
            </w:r>
          </w:p>
        </w:tc>
        <w:tc>
          <w:tcPr>
            <w:tcW w:w="900" w:type="dxa"/>
            <w:shd w:val="clear" w:color="auto" w:fill="FFF8B8"/>
            <w:tcMar>
              <w:top w:w="30" w:type="dxa"/>
              <w:left w:w="60" w:type="dxa"/>
              <w:bottom w:w="30" w:type="dxa"/>
              <w:right w:w="60" w:type="dxa"/>
            </w:tcMar>
          </w:tcPr>
          <w:p w14:paraId="7C3A4F7A" w14:textId="77777777" w:rsidR="00E05E66" w:rsidRDefault="00000000">
            <w:pPr>
              <w:spacing w:after="0" w:line="240" w:lineRule="auto"/>
              <w:jc w:val="center"/>
            </w:pPr>
            <w:r>
              <w:rPr>
                <w:rFonts w:eastAsia="Times New Roman" w:cs="Times New Roman"/>
                <w:sz w:val="16"/>
                <w:szCs w:val="16"/>
              </w:rPr>
              <w:t>−0.217</w:t>
            </w:r>
          </w:p>
        </w:tc>
        <w:tc>
          <w:tcPr>
            <w:tcW w:w="900" w:type="dxa"/>
            <w:shd w:val="clear" w:color="auto" w:fill="FFF8B8"/>
            <w:tcMar>
              <w:top w:w="30" w:type="dxa"/>
              <w:left w:w="60" w:type="dxa"/>
              <w:bottom w:w="30" w:type="dxa"/>
              <w:right w:w="60" w:type="dxa"/>
            </w:tcMar>
          </w:tcPr>
          <w:p w14:paraId="6407EE09" w14:textId="77777777" w:rsidR="00E05E66" w:rsidRDefault="00000000">
            <w:pPr>
              <w:spacing w:after="0" w:line="240" w:lineRule="auto"/>
              <w:jc w:val="center"/>
            </w:pPr>
            <w:r>
              <w:rPr>
                <w:rFonts w:eastAsia="Times New Roman" w:cs="Times New Roman"/>
                <w:sz w:val="16"/>
                <w:szCs w:val="16"/>
              </w:rPr>
              <w:t>+0.503***</w:t>
            </w:r>
          </w:p>
        </w:tc>
        <w:tc>
          <w:tcPr>
            <w:tcW w:w="1100" w:type="dxa"/>
            <w:shd w:val="clear" w:color="auto" w:fill="FFF8B8"/>
            <w:tcMar>
              <w:top w:w="30" w:type="dxa"/>
              <w:left w:w="60" w:type="dxa"/>
              <w:bottom w:w="30" w:type="dxa"/>
              <w:right w:w="60" w:type="dxa"/>
            </w:tcMar>
          </w:tcPr>
          <w:p w14:paraId="1F43ACB5" w14:textId="77777777" w:rsidR="00E05E66" w:rsidRDefault="00000000">
            <w:pPr>
              <w:spacing w:after="0" w:line="240" w:lineRule="auto"/>
              <w:jc w:val="center"/>
            </w:pPr>
            <w:r>
              <w:rPr>
                <w:rFonts w:eastAsia="Times New Roman" w:cs="Times New Roman"/>
                <w:sz w:val="16"/>
                <w:szCs w:val="16"/>
              </w:rPr>
              <w:t>−0.193*</w:t>
            </w:r>
          </w:p>
        </w:tc>
        <w:tc>
          <w:tcPr>
            <w:tcW w:w="900" w:type="dxa"/>
            <w:shd w:val="clear" w:color="auto" w:fill="FFF8B8"/>
            <w:tcMar>
              <w:top w:w="30" w:type="dxa"/>
              <w:left w:w="60" w:type="dxa"/>
              <w:bottom w:w="30" w:type="dxa"/>
              <w:right w:w="60" w:type="dxa"/>
            </w:tcMar>
          </w:tcPr>
          <w:p w14:paraId="024562A4" w14:textId="77777777" w:rsidR="00E05E66" w:rsidRDefault="00000000">
            <w:pPr>
              <w:spacing w:after="0" w:line="240" w:lineRule="auto"/>
              <w:jc w:val="center"/>
            </w:pPr>
            <w:r>
              <w:rPr>
                <w:rFonts w:eastAsia="Times New Roman" w:cs="Times New Roman"/>
                <w:sz w:val="16"/>
                <w:szCs w:val="16"/>
              </w:rPr>
              <w:t>−0.305</w:t>
            </w:r>
          </w:p>
        </w:tc>
        <w:tc>
          <w:tcPr>
            <w:tcW w:w="900" w:type="dxa"/>
            <w:shd w:val="clear" w:color="auto" w:fill="FFF8B8"/>
            <w:tcMar>
              <w:top w:w="30" w:type="dxa"/>
              <w:left w:w="60" w:type="dxa"/>
              <w:bottom w:w="30" w:type="dxa"/>
              <w:right w:w="60" w:type="dxa"/>
            </w:tcMar>
          </w:tcPr>
          <w:p w14:paraId="3AE5DA9C" w14:textId="77777777" w:rsidR="00E05E66" w:rsidRDefault="00000000">
            <w:pPr>
              <w:spacing w:after="0" w:line="240" w:lineRule="auto"/>
              <w:jc w:val="center"/>
            </w:pPr>
            <w:r>
              <w:rPr>
                <w:rFonts w:eastAsia="Times New Roman" w:cs="Times New Roman"/>
                <w:sz w:val="16"/>
                <w:szCs w:val="16"/>
              </w:rPr>
              <w:t xml:space="preserve">, </w:t>
            </w:r>
          </w:p>
        </w:tc>
        <w:tc>
          <w:tcPr>
            <w:tcW w:w="900" w:type="dxa"/>
            <w:shd w:val="clear" w:color="auto" w:fill="FFF8B8"/>
            <w:tcMar>
              <w:top w:w="30" w:type="dxa"/>
              <w:left w:w="60" w:type="dxa"/>
              <w:bottom w:w="30" w:type="dxa"/>
              <w:right w:w="60" w:type="dxa"/>
            </w:tcMar>
          </w:tcPr>
          <w:p w14:paraId="1F0072E2" w14:textId="77777777" w:rsidR="00E05E66" w:rsidRDefault="00000000">
            <w:pPr>
              <w:spacing w:after="0" w:line="240" w:lineRule="auto"/>
              <w:jc w:val="center"/>
            </w:pPr>
            <w:r>
              <w:rPr>
                <w:rFonts w:eastAsia="Times New Roman" w:cs="Times New Roman"/>
                <w:sz w:val="16"/>
                <w:szCs w:val="16"/>
              </w:rPr>
              <w:t>−0.162</w:t>
            </w:r>
          </w:p>
        </w:tc>
      </w:tr>
      <w:tr w:rsidR="00E05E66" w14:paraId="4FD8EA5E" w14:textId="77777777">
        <w:tc>
          <w:tcPr>
            <w:tcW w:w="1500" w:type="dxa"/>
            <w:shd w:val="clear" w:color="auto" w:fill="C8EAF5"/>
            <w:tcMar>
              <w:top w:w="30" w:type="dxa"/>
              <w:left w:w="60" w:type="dxa"/>
              <w:bottom w:w="30" w:type="dxa"/>
              <w:right w:w="60" w:type="dxa"/>
            </w:tcMar>
          </w:tcPr>
          <w:p w14:paraId="22D717BC" w14:textId="77777777" w:rsidR="00E05E66" w:rsidRDefault="00000000">
            <w:pPr>
              <w:spacing w:after="0" w:line="240" w:lineRule="auto"/>
            </w:pPr>
            <w:r>
              <w:rPr>
                <w:rFonts w:eastAsia="Times New Roman" w:cs="Times New Roman"/>
                <w:sz w:val="16"/>
                <w:szCs w:val="16"/>
              </w:rPr>
              <w:t>Fresh Produce</w:t>
            </w:r>
          </w:p>
        </w:tc>
        <w:tc>
          <w:tcPr>
            <w:tcW w:w="450" w:type="dxa"/>
            <w:shd w:val="clear" w:color="auto" w:fill="C8EAF5"/>
            <w:tcMar>
              <w:top w:w="30" w:type="dxa"/>
              <w:left w:w="60" w:type="dxa"/>
              <w:bottom w:w="30" w:type="dxa"/>
              <w:right w:w="60" w:type="dxa"/>
            </w:tcMar>
          </w:tcPr>
          <w:p w14:paraId="30B64FE7" w14:textId="77777777" w:rsidR="00E05E66" w:rsidRDefault="00000000">
            <w:pPr>
              <w:spacing w:after="0" w:line="240" w:lineRule="auto"/>
              <w:jc w:val="center"/>
            </w:pPr>
            <w:r>
              <w:rPr>
                <w:rFonts w:eastAsia="Times New Roman" w:cs="Times New Roman"/>
                <w:sz w:val="16"/>
                <w:szCs w:val="16"/>
              </w:rPr>
              <w:t>191</w:t>
            </w:r>
          </w:p>
        </w:tc>
        <w:tc>
          <w:tcPr>
            <w:tcW w:w="700" w:type="dxa"/>
            <w:shd w:val="clear" w:color="auto" w:fill="C8EAF5"/>
            <w:tcMar>
              <w:top w:w="30" w:type="dxa"/>
              <w:left w:w="60" w:type="dxa"/>
              <w:bottom w:w="30" w:type="dxa"/>
              <w:right w:w="60" w:type="dxa"/>
            </w:tcMar>
          </w:tcPr>
          <w:p w14:paraId="5D242B21" w14:textId="77777777" w:rsidR="00E05E66" w:rsidRDefault="00000000">
            <w:pPr>
              <w:spacing w:after="0" w:line="240" w:lineRule="auto"/>
              <w:jc w:val="center"/>
            </w:pPr>
            <w:r>
              <w:rPr>
                <w:rFonts w:eastAsia="Times New Roman" w:cs="Times New Roman"/>
                <w:sz w:val="16"/>
                <w:szCs w:val="16"/>
              </w:rPr>
              <w:t>0.539</w:t>
            </w:r>
          </w:p>
        </w:tc>
        <w:tc>
          <w:tcPr>
            <w:tcW w:w="900" w:type="dxa"/>
            <w:shd w:val="clear" w:color="auto" w:fill="C8EAF5"/>
            <w:tcMar>
              <w:top w:w="30" w:type="dxa"/>
              <w:left w:w="60" w:type="dxa"/>
              <w:bottom w:w="30" w:type="dxa"/>
              <w:right w:w="60" w:type="dxa"/>
            </w:tcMar>
          </w:tcPr>
          <w:p w14:paraId="4F978580" w14:textId="77777777" w:rsidR="00E05E66" w:rsidRDefault="00000000">
            <w:pPr>
              <w:spacing w:after="0" w:line="240" w:lineRule="auto"/>
              <w:jc w:val="center"/>
            </w:pPr>
            <w:r>
              <w:rPr>
                <w:rFonts w:eastAsia="Times New Roman" w:cs="Times New Roman"/>
                <w:sz w:val="16"/>
                <w:szCs w:val="16"/>
              </w:rPr>
              <w:t>+0.010</w:t>
            </w:r>
          </w:p>
        </w:tc>
        <w:tc>
          <w:tcPr>
            <w:tcW w:w="900" w:type="dxa"/>
            <w:shd w:val="clear" w:color="auto" w:fill="C8EAF5"/>
            <w:tcMar>
              <w:top w:w="30" w:type="dxa"/>
              <w:left w:w="60" w:type="dxa"/>
              <w:bottom w:w="30" w:type="dxa"/>
              <w:right w:w="60" w:type="dxa"/>
            </w:tcMar>
          </w:tcPr>
          <w:p w14:paraId="02E96AA7" w14:textId="77777777" w:rsidR="00E05E66" w:rsidRDefault="00000000">
            <w:pPr>
              <w:spacing w:after="0" w:line="240" w:lineRule="auto"/>
              <w:jc w:val="center"/>
            </w:pPr>
            <w:r>
              <w:rPr>
                <w:rFonts w:eastAsia="Times New Roman" w:cs="Times New Roman"/>
                <w:sz w:val="16"/>
                <w:szCs w:val="16"/>
              </w:rPr>
              <w:t>+0.064</w:t>
            </w:r>
          </w:p>
        </w:tc>
        <w:tc>
          <w:tcPr>
            <w:tcW w:w="1100" w:type="dxa"/>
            <w:shd w:val="clear" w:color="auto" w:fill="C8EAF5"/>
            <w:tcMar>
              <w:top w:w="30" w:type="dxa"/>
              <w:left w:w="60" w:type="dxa"/>
              <w:bottom w:w="30" w:type="dxa"/>
              <w:right w:w="60" w:type="dxa"/>
            </w:tcMar>
          </w:tcPr>
          <w:p w14:paraId="4FAD3267" w14:textId="77777777" w:rsidR="00E05E66" w:rsidRDefault="00000000">
            <w:pPr>
              <w:spacing w:after="0" w:line="240" w:lineRule="auto"/>
              <w:jc w:val="center"/>
            </w:pPr>
            <w:r>
              <w:rPr>
                <w:rFonts w:eastAsia="Times New Roman" w:cs="Times New Roman"/>
                <w:sz w:val="16"/>
                <w:szCs w:val="16"/>
              </w:rPr>
              <w:t xml:space="preserve">, </w:t>
            </w:r>
          </w:p>
        </w:tc>
        <w:tc>
          <w:tcPr>
            <w:tcW w:w="900" w:type="dxa"/>
            <w:shd w:val="clear" w:color="auto" w:fill="C8EAF5"/>
            <w:tcMar>
              <w:top w:w="30" w:type="dxa"/>
              <w:left w:w="60" w:type="dxa"/>
              <w:bottom w:w="30" w:type="dxa"/>
              <w:right w:w="60" w:type="dxa"/>
            </w:tcMar>
          </w:tcPr>
          <w:p w14:paraId="427379EE" w14:textId="77777777" w:rsidR="00E05E66" w:rsidRDefault="00000000">
            <w:pPr>
              <w:spacing w:after="0" w:line="240" w:lineRule="auto"/>
              <w:jc w:val="center"/>
            </w:pPr>
            <w:r>
              <w:rPr>
                <w:rFonts w:eastAsia="Times New Roman" w:cs="Times New Roman"/>
                <w:sz w:val="16"/>
                <w:szCs w:val="16"/>
              </w:rPr>
              <w:t>+1.004***</w:t>
            </w:r>
          </w:p>
        </w:tc>
        <w:tc>
          <w:tcPr>
            <w:tcW w:w="900" w:type="dxa"/>
            <w:shd w:val="clear" w:color="auto" w:fill="C8EAF5"/>
            <w:tcMar>
              <w:top w:w="30" w:type="dxa"/>
              <w:left w:w="60" w:type="dxa"/>
              <w:bottom w:w="30" w:type="dxa"/>
              <w:right w:w="60" w:type="dxa"/>
            </w:tcMar>
          </w:tcPr>
          <w:p w14:paraId="63196824" w14:textId="77777777" w:rsidR="00E05E66" w:rsidRDefault="00000000">
            <w:pPr>
              <w:spacing w:after="0" w:line="240" w:lineRule="auto"/>
              <w:jc w:val="center"/>
            </w:pPr>
            <w:r>
              <w:rPr>
                <w:rFonts w:eastAsia="Times New Roman" w:cs="Times New Roman"/>
                <w:sz w:val="16"/>
                <w:szCs w:val="16"/>
              </w:rPr>
              <w:t>−0.331</w:t>
            </w:r>
          </w:p>
        </w:tc>
        <w:tc>
          <w:tcPr>
            <w:tcW w:w="900" w:type="dxa"/>
            <w:shd w:val="clear" w:color="auto" w:fill="C8EAF5"/>
            <w:tcMar>
              <w:top w:w="30" w:type="dxa"/>
              <w:left w:w="60" w:type="dxa"/>
              <w:bottom w:w="30" w:type="dxa"/>
              <w:right w:w="60" w:type="dxa"/>
            </w:tcMar>
          </w:tcPr>
          <w:p w14:paraId="60BD0E42" w14:textId="77777777" w:rsidR="00E05E66" w:rsidRDefault="00000000">
            <w:pPr>
              <w:spacing w:after="0" w:line="240" w:lineRule="auto"/>
              <w:jc w:val="center"/>
            </w:pPr>
            <w:r>
              <w:rPr>
                <w:rFonts w:eastAsia="Times New Roman" w:cs="Times New Roman"/>
                <w:sz w:val="16"/>
                <w:szCs w:val="16"/>
              </w:rPr>
              <w:t xml:space="preserve">, </w:t>
            </w:r>
          </w:p>
        </w:tc>
      </w:tr>
      <w:tr w:rsidR="00E05E66" w14:paraId="1E627F2C" w14:textId="77777777">
        <w:tc>
          <w:tcPr>
            <w:tcW w:w="1500" w:type="dxa"/>
            <w:shd w:val="clear" w:color="auto" w:fill="C8EAF5"/>
            <w:tcMar>
              <w:top w:w="30" w:type="dxa"/>
              <w:left w:w="60" w:type="dxa"/>
              <w:bottom w:w="30" w:type="dxa"/>
              <w:right w:w="60" w:type="dxa"/>
            </w:tcMar>
          </w:tcPr>
          <w:p w14:paraId="4FA403AB" w14:textId="77777777" w:rsidR="00E05E66" w:rsidRDefault="00000000">
            <w:pPr>
              <w:spacing w:after="0" w:line="240" w:lineRule="auto"/>
            </w:pPr>
            <w:r>
              <w:rPr>
                <w:rFonts w:eastAsia="Times New Roman" w:cs="Times New Roman"/>
                <w:sz w:val="16"/>
                <w:szCs w:val="16"/>
              </w:rPr>
              <w:t>Spices</w:t>
            </w:r>
          </w:p>
        </w:tc>
        <w:tc>
          <w:tcPr>
            <w:tcW w:w="450" w:type="dxa"/>
            <w:shd w:val="clear" w:color="auto" w:fill="C8EAF5"/>
            <w:tcMar>
              <w:top w:w="30" w:type="dxa"/>
              <w:left w:w="60" w:type="dxa"/>
              <w:bottom w:w="30" w:type="dxa"/>
              <w:right w:w="60" w:type="dxa"/>
            </w:tcMar>
          </w:tcPr>
          <w:p w14:paraId="622DAA0F" w14:textId="77777777" w:rsidR="00E05E66" w:rsidRDefault="00000000">
            <w:pPr>
              <w:spacing w:after="0" w:line="240" w:lineRule="auto"/>
              <w:jc w:val="center"/>
            </w:pPr>
            <w:r>
              <w:rPr>
                <w:rFonts w:eastAsia="Times New Roman" w:cs="Times New Roman"/>
                <w:sz w:val="16"/>
                <w:szCs w:val="16"/>
              </w:rPr>
              <w:t>293</w:t>
            </w:r>
          </w:p>
        </w:tc>
        <w:tc>
          <w:tcPr>
            <w:tcW w:w="700" w:type="dxa"/>
            <w:shd w:val="clear" w:color="auto" w:fill="C8EAF5"/>
            <w:tcMar>
              <w:top w:w="30" w:type="dxa"/>
              <w:left w:w="60" w:type="dxa"/>
              <w:bottom w:w="30" w:type="dxa"/>
              <w:right w:w="60" w:type="dxa"/>
            </w:tcMar>
          </w:tcPr>
          <w:p w14:paraId="0CE1F3B8" w14:textId="77777777" w:rsidR="00E05E66" w:rsidRDefault="00000000">
            <w:pPr>
              <w:spacing w:after="0" w:line="240" w:lineRule="auto"/>
              <w:jc w:val="center"/>
            </w:pPr>
            <w:r>
              <w:rPr>
                <w:rFonts w:eastAsia="Times New Roman" w:cs="Times New Roman"/>
                <w:sz w:val="16"/>
                <w:szCs w:val="16"/>
              </w:rPr>
              <w:t>0.528</w:t>
            </w:r>
          </w:p>
        </w:tc>
        <w:tc>
          <w:tcPr>
            <w:tcW w:w="900" w:type="dxa"/>
            <w:shd w:val="clear" w:color="auto" w:fill="C8EAF5"/>
            <w:tcMar>
              <w:top w:w="30" w:type="dxa"/>
              <w:left w:w="60" w:type="dxa"/>
              <w:bottom w:w="30" w:type="dxa"/>
              <w:right w:w="60" w:type="dxa"/>
            </w:tcMar>
          </w:tcPr>
          <w:p w14:paraId="534F8D65" w14:textId="77777777" w:rsidR="00E05E66" w:rsidRDefault="00000000">
            <w:pPr>
              <w:spacing w:after="0" w:line="240" w:lineRule="auto"/>
              <w:jc w:val="center"/>
            </w:pPr>
            <w:r>
              <w:rPr>
                <w:rFonts w:eastAsia="Times New Roman" w:cs="Times New Roman"/>
                <w:sz w:val="16"/>
                <w:szCs w:val="16"/>
              </w:rPr>
              <w:t>−0.197</w:t>
            </w:r>
          </w:p>
        </w:tc>
        <w:tc>
          <w:tcPr>
            <w:tcW w:w="900" w:type="dxa"/>
            <w:shd w:val="clear" w:color="auto" w:fill="C8EAF5"/>
            <w:tcMar>
              <w:top w:w="30" w:type="dxa"/>
              <w:left w:w="60" w:type="dxa"/>
              <w:bottom w:w="30" w:type="dxa"/>
              <w:right w:w="60" w:type="dxa"/>
            </w:tcMar>
          </w:tcPr>
          <w:p w14:paraId="2DF03455" w14:textId="77777777" w:rsidR="00E05E66" w:rsidRDefault="00000000">
            <w:pPr>
              <w:spacing w:after="0" w:line="240" w:lineRule="auto"/>
              <w:jc w:val="center"/>
            </w:pPr>
            <w:r>
              <w:rPr>
                <w:rFonts w:eastAsia="Times New Roman" w:cs="Times New Roman"/>
                <w:sz w:val="16"/>
                <w:szCs w:val="16"/>
              </w:rPr>
              <w:t>+0.710***</w:t>
            </w:r>
          </w:p>
        </w:tc>
        <w:tc>
          <w:tcPr>
            <w:tcW w:w="1100" w:type="dxa"/>
            <w:shd w:val="clear" w:color="auto" w:fill="C8EAF5"/>
            <w:tcMar>
              <w:top w:w="30" w:type="dxa"/>
              <w:left w:w="60" w:type="dxa"/>
              <w:bottom w:w="30" w:type="dxa"/>
              <w:right w:w="60" w:type="dxa"/>
            </w:tcMar>
          </w:tcPr>
          <w:p w14:paraId="73147625" w14:textId="77777777" w:rsidR="00E05E66" w:rsidRDefault="00000000">
            <w:pPr>
              <w:spacing w:after="0" w:line="240" w:lineRule="auto"/>
              <w:jc w:val="center"/>
            </w:pPr>
            <w:r>
              <w:rPr>
                <w:rFonts w:eastAsia="Times New Roman" w:cs="Times New Roman"/>
                <w:sz w:val="16"/>
                <w:szCs w:val="16"/>
              </w:rPr>
              <w:t>−0.306***</w:t>
            </w:r>
          </w:p>
        </w:tc>
        <w:tc>
          <w:tcPr>
            <w:tcW w:w="900" w:type="dxa"/>
            <w:shd w:val="clear" w:color="auto" w:fill="C8EAF5"/>
            <w:tcMar>
              <w:top w:w="30" w:type="dxa"/>
              <w:left w:w="60" w:type="dxa"/>
              <w:bottom w:w="30" w:type="dxa"/>
              <w:right w:w="60" w:type="dxa"/>
            </w:tcMar>
          </w:tcPr>
          <w:p w14:paraId="73055E67" w14:textId="77777777" w:rsidR="00E05E66" w:rsidRDefault="00000000">
            <w:pPr>
              <w:spacing w:after="0" w:line="240" w:lineRule="auto"/>
              <w:jc w:val="center"/>
            </w:pPr>
            <w:r>
              <w:rPr>
                <w:rFonts w:eastAsia="Times New Roman" w:cs="Times New Roman"/>
                <w:sz w:val="16"/>
                <w:szCs w:val="16"/>
              </w:rPr>
              <w:t>+0.101</w:t>
            </w:r>
          </w:p>
        </w:tc>
        <w:tc>
          <w:tcPr>
            <w:tcW w:w="900" w:type="dxa"/>
            <w:shd w:val="clear" w:color="auto" w:fill="C8EAF5"/>
            <w:tcMar>
              <w:top w:w="30" w:type="dxa"/>
              <w:left w:w="60" w:type="dxa"/>
              <w:bottom w:w="30" w:type="dxa"/>
              <w:right w:w="60" w:type="dxa"/>
            </w:tcMar>
          </w:tcPr>
          <w:p w14:paraId="30038417" w14:textId="77777777" w:rsidR="00E05E66" w:rsidRDefault="00000000">
            <w:pPr>
              <w:spacing w:after="0" w:line="240" w:lineRule="auto"/>
              <w:jc w:val="center"/>
            </w:pPr>
            <w:r>
              <w:rPr>
                <w:rFonts w:eastAsia="Times New Roman" w:cs="Times New Roman"/>
                <w:sz w:val="16"/>
                <w:szCs w:val="16"/>
              </w:rPr>
              <w:t xml:space="preserve">, </w:t>
            </w:r>
          </w:p>
        </w:tc>
        <w:tc>
          <w:tcPr>
            <w:tcW w:w="900" w:type="dxa"/>
            <w:shd w:val="clear" w:color="auto" w:fill="C8EAF5"/>
            <w:tcMar>
              <w:top w:w="30" w:type="dxa"/>
              <w:left w:w="60" w:type="dxa"/>
              <w:bottom w:w="30" w:type="dxa"/>
              <w:right w:w="60" w:type="dxa"/>
            </w:tcMar>
          </w:tcPr>
          <w:p w14:paraId="11EF24C6" w14:textId="77777777" w:rsidR="00E05E66" w:rsidRDefault="00000000">
            <w:pPr>
              <w:spacing w:after="0" w:line="240" w:lineRule="auto"/>
              <w:jc w:val="center"/>
            </w:pPr>
            <w:r>
              <w:rPr>
                <w:rFonts w:eastAsia="Times New Roman" w:cs="Times New Roman"/>
                <w:sz w:val="16"/>
                <w:szCs w:val="16"/>
              </w:rPr>
              <w:t>+0.382*</w:t>
            </w:r>
          </w:p>
        </w:tc>
      </w:tr>
      <w:tr w:rsidR="00E05E66" w14:paraId="356EC5D4" w14:textId="77777777">
        <w:tc>
          <w:tcPr>
            <w:tcW w:w="1500" w:type="dxa"/>
            <w:tcBorders>
              <w:bottom w:val="single" w:sz="1" w:space="0" w:color="000000"/>
            </w:tcBorders>
            <w:shd w:val="clear" w:color="auto" w:fill="C8EAF5"/>
            <w:tcMar>
              <w:top w:w="30" w:type="dxa"/>
              <w:left w:w="60" w:type="dxa"/>
              <w:bottom w:w="30" w:type="dxa"/>
              <w:right w:w="60" w:type="dxa"/>
            </w:tcMar>
          </w:tcPr>
          <w:p w14:paraId="43B57A26" w14:textId="77777777" w:rsidR="00E05E66" w:rsidRDefault="00000000">
            <w:pPr>
              <w:spacing w:after="0" w:line="240" w:lineRule="auto"/>
            </w:pPr>
            <w:r>
              <w:rPr>
                <w:rFonts w:eastAsia="Times New Roman" w:cs="Times New Roman"/>
                <w:sz w:val="16"/>
                <w:szCs w:val="16"/>
              </w:rPr>
              <w:t>Frozen</w:t>
            </w:r>
          </w:p>
        </w:tc>
        <w:tc>
          <w:tcPr>
            <w:tcW w:w="450" w:type="dxa"/>
            <w:tcBorders>
              <w:bottom w:val="single" w:sz="1" w:space="0" w:color="000000"/>
            </w:tcBorders>
            <w:shd w:val="clear" w:color="auto" w:fill="C8EAF5"/>
            <w:tcMar>
              <w:top w:w="30" w:type="dxa"/>
              <w:left w:w="60" w:type="dxa"/>
              <w:bottom w:w="30" w:type="dxa"/>
              <w:right w:w="60" w:type="dxa"/>
            </w:tcMar>
          </w:tcPr>
          <w:p w14:paraId="241BE25E" w14:textId="77777777" w:rsidR="00E05E66" w:rsidRDefault="00000000">
            <w:pPr>
              <w:spacing w:after="0" w:line="240" w:lineRule="auto"/>
              <w:jc w:val="center"/>
            </w:pPr>
            <w:r>
              <w:rPr>
                <w:rFonts w:eastAsia="Times New Roman" w:cs="Times New Roman"/>
                <w:sz w:val="16"/>
                <w:szCs w:val="16"/>
              </w:rPr>
              <w:t>1</w:t>
              <w:lastRenderedPageBreak/>
              <w:t>33</w:t>
            </w:r>
          </w:p>
        </w:tc>
        <w:tc>
          <w:tcPr>
            <w:tcW w:w="700" w:type="dxa"/>
            <w:tcBorders>
              <w:bottom w:val="single" w:sz="1" w:space="0" w:color="000000"/>
            </w:tcBorders>
            <w:shd w:val="clear" w:color="auto" w:fill="C8EAF5"/>
            <w:tcMar>
              <w:top w:w="30" w:type="dxa"/>
              <w:left w:w="60" w:type="dxa"/>
              <w:bottom w:w="30" w:type="dxa"/>
              <w:right w:w="60" w:type="dxa"/>
            </w:tcMar>
          </w:tcPr>
          <w:p w14:paraId="5CC7EC77" w14:textId="77777777" w:rsidR="00E05E66" w:rsidRDefault="00000000">
            <w:pPr>
              <w:spacing w:after="0" w:line="240" w:lineRule="auto"/>
              <w:jc w:val="center"/>
            </w:pPr>
            <w:r>
              <w:rPr>
                <w:rFonts w:eastAsia="Times New Roman" w:cs="Times New Roman"/>
                <w:sz w:val="16"/>
                <w:szCs w:val="16"/>
              </w:rPr>
              <w:lastRenderedPageBreak/>
              <w:t>0</w:t>
              <w:lastRenderedPageBreak/>
              <w:t>.526</w:t>
            </w:r>
          </w:p>
        </w:tc>
        <w:tc>
          <w:tcPr>
            <w:tcW w:w="900" w:type="dxa"/>
            <w:tcBorders>
              <w:bottom w:val="single" w:sz="1" w:space="0" w:color="000000"/>
            </w:tcBorders>
            <w:shd w:val="clear" w:color="auto" w:fill="C8EAF5"/>
            <w:tcMar>
              <w:top w:w="30" w:type="dxa"/>
              <w:left w:w="60" w:type="dxa"/>
              <w:bottom w:w="30" w:type="dxa"/>
              <w:right w:w="60" w:type="dxa"/>
            </w:tcMar>
          </w:tcPr>
          <w:p w14:paraId="7CC77388" w14:textId="77777777" w:rsidR="00E05E66" w:rsidRDefault="00000000">
            <w:pPr>
              <w:spacing w:after="0" w:line="240" w:lineRule="auto"/>
              <w:jc w:val="center"/>
            </w:pPr>
            <w:r>
              <w:rPr>
                <w:rFonts w:eastAsia="Times New Roman" w:cs="Times New Roman"/>
                <w:sz w:val="16"/>
                <w:szCs w:val="16"/>
              </w:rPr>
              <w:lastRenderedPageBreak/>
              <w:t>−</w:t>
              <w:lastRenderedPageBreak/>
              <w:t>0.169</w:t>
            </w:r>
          </w:p>
        </w:tc>
        <w:tc>
          <w:tcPr>
            <w:tcW w:w="900" w:type="dxa"/>
            <w:tcBorders>
              <w:bottom w:val="single" w:sz="1" w:space="0" w:color="000000"/>
            </w:tcBorders>
            <w:shd w:val="clear" w:color="auto" w:fill="C8EAF5"/>
            <w:tcMar>
              <w:top w:w="30" w:type="dxa"/>
              <w:left w:w="60" w:type="dxa"/>
              <w:bottom w:w="30" w:type="dxa"/>
              <w:right w:w="60" w:type="dxa"/>
            </w:tcMar>
          </w:tcPr>
          <w:p w14:paraId="0AA8349A" w14:textId="77777777" w:rsidR="00E05E66" w:rsidRDefault="00000000">
            <w:pPr>
              <w:spacing w:after="0" w:line="240" w:lineRule="auto"/>
              <w:jc w:val="center"/>
            </w:pPr>
            <w:r>
              <w:rPr>
                <w:rFonts w:eastAsia="Times New Roman" w:cs="Times New Roman"/>
                <w:sz w:val="16"/>
                <w:szCs w:val="16"/>
              </w:rPr>
              <w:lastRenderedPageBreak/>
              <w:t>+</w:t>
              <w:lastRenderedPageBreak/>
              <w:t>0.296**</w:t>
            </w:r>
          </w:p>
        </w:tc>
        <w:tc>
          <w:tcPr>
            <w:tcW w:w="1100" w:type="dxa"/>
            <w:tcBorders>
              <w:bottom w:val="single" w:sz="1" w:space="0" w:color="000000"/>
            </w:tcBorders>
            <w:shd w:val="clear" w:color="auto" w:fill="C8EAF5"/>
            <w:tcMar>
              <w:top w:w="30" w:type="dxa"/>
              <w:left w:w="60" w:type="dxa"/>
              <w:bottom w:w="30" w:type="dxa"/>
              <w:right w:w="60" w:type="dxa"/>
            </w:tcMar>
          </w:tcPr>
          <w:p w14:paraId="71F6A5B9" w14:textId="77777777" w:rsidR="00E05E66" w:rsidRDefault="00000000">
            <w:pPr>
              <w:spacing w:after="0" w:line="240" w:lineRule="auto"/>
              <w:jc w:val="center"/>
            </w:pPr>
            <w:r>
              <w:rPr>
                <w:rFonts w:eastAsia="Times New Roman" w:cs="Times New Roman"/>
                <w:sz w:val="16"/>
                <w:szCs w:val="16"/>
              </w:rPr>
              <w:lastRenderedPageBreak/>
              <w:t>+0.</w:t>
              <w:lastRenderedPageBreak/>
              <w:t>113</w:t>
            </w:r>
          </w:p>
        </w:tc>
        <w:tc>
          <w:tcPr>
            <w:tcW w:w="900" w:type="dxa"/>
            <w:tcBorders>
              <w:bottom w:val="single" w:sz="1" w:space="0" w:color="000000"/>
            </w:tcBorders>
            <w:shd w:val="clear" w:color="auto" w:fill="C8EAF5"/>
            <w:tcMar>
              <w:top w:w="30" w:type="dxa"/>
              <w:left w:w="60" w:type="dxa"/>
              <w:bottom w:w="30" w:type="dxa"/>
              <w:right w:w="60" w:type="dxa"/>
            </w:tcMar>
          </w:tcPr>
          <w:p w14:paraId="1E40A9BD" w14:textId="77777777" w:rsidR="00E05E66" w:rsidRDefault="00000000">
            <w:pPr>
              <w:spacing w:after="0" w:line="240" w:lineRule="auto"/>
              <w:jc w:val="center"/>
            </w:pPr>
            <w:r>
              <w:rPr>
                <w:rFonts w:eastAsia="Times New Roman" w:cs="Times New Roman"/>
                <w:sz w:val="16"/>
                <w:szCs w:val="16"/>
              </w:rPr>
              <w:lastRenderedPageBreak/>
              <w:t>−</w:t>
              <w:lastRenderedPageBreak/>
              <w:t>0.203</w:t>
            </w:r>
          </w:p>
        </w:tc>
        <w:tc>
          <w:tcPr>
            <w:tcW w:w="900" w:type="dxa"/>
            <w:tcBorders>
              <w:bottom w:val="single" w:sz="1" w:space="0" w:color="000000"/>
            </w:tcBorders>
            <w:shd w:val="clear" w:color="auto" w:fill="C8EAF5"/>
            <w:tcMar>
              <w:top w:w="30" w:type="dxa"/>
              <w:left w:w="60" w:type="dxa"/>
              <w:bottom w:w="30" w:type="dxa"/>
              <w:right w:w="60" w:type="dxa"/>
            </w:tcMar>
          </w:tcPr>
          <w:p w14:paraId="31BC70FB" w14:textId="77777777" w:rsidR="00E05E66" w:rsidRDefault="00000000">
            <w:pPr>
              <w:spacing w:after="0" w:line="240" w:lineRule="auto"/>
              <w:jc w:val="center"/>
            </w:pPr>
            <w:r>
              <w:rPr>
                <w:rFonts w:eastAsia="Times New Roman" w:cs="Times New Roman"/>
                <w:sz w:val="16"/>
                <w:szCs w:val="16"/>
              </w:rPr>
              <w:lastRenderedPageBreak/>
              <w:t xml:space="preserve">, </w:t>
            </w:r>
          </w:p>
        </w:tc>
        <w:tc>
          <w:tcPr>
            <w:tcW w:w="900" w:type="dxa"/>
            <w:tcBorders>
              <w:bottom w:val="single" w:sz="1" w:space="0" w:color="000000"/>
            </w:tcBorders>
            <w:shd w:val="clear" w:color="auto" w:fill="C8EAF5"/>
            <w:tcMar>
              <w:top w:w="30" w:type="dxa"/>
              <w:left w:w="60" w:type="dxa"/>
              <w:bottom w:w="30" w:type="dxa"/>
              <w:right w:w="60" w:type="dxa"/>
            </w:tcMar>
          </w:tcPr>
          <w:p w14:paraId="2547254D" w14:textId="77777777" w:rsidR="00E05E66" w:rsidRDefault="00000000">
            <w:pPr>
              <w:spacing w:after="0" w:line="240" w:lineRule="auto"/>
              <w:jc w:val="center"/>
            </w:pPr>
            <w:r>
              <w:rPr>
                <w:rFonts w:eastAsia="Times New Roman" w:cs="Times New Roman"/>
                <w:sz w:val="16"/>
                <w:szCs w:val="16"/>
              </w:rPr>
              <w:t xml:space="preserve">, </w:t>
            </w:r>
          </w:p>
        </w:tc>
      </w:tr>
      <w:tr w:rsidR="00E05E66" w14:paraId="318C27EC" w14:textId="77777777">
        <w:tc>
          <w:tcPr>
            <w:tcW w:w="1500" w:type="dxa"/>
            <w:tcMar>
              <w:top w:w="30" w:type="dxa"/>
              <w:left w:w="60" w:type="dxa"/>
              <w:bottom w:w="30" w:type="dxa"/>
              <w:right w:w="60" w:type="dxa"/>
            </w:tcMar>
          </w:tcPr>
          <w:p w14:paraId="75A81B19" w14:textId="77777777" w:rsidR="00E05E66" w:rsidRDefault="00000000">
            <w:pPr>
              <w:spacing w:after="0" w:line="240" w:lineRule="auto"/>
            </w:pPr>
            <w:r>
              <w:rPr>
                <w:rFonts w:eastAsia="Times New Roman" w:cs="Times New Roman"/>
                <w:sz w:val="16"/>
                <w:szCs w:val="16"/>
              </w:rPr>
              <w:t>Confectionary</w:t>
            </w:r>
          </w:p>
        </w:tc>
        <w:tc>
          <w:tcPr>
            <w:tcW w:w="450" w:type="dxa"/>
            <w:tcMar>
              <w:top w:w="30" w:type="dxa"/>
              <w:left w:w="60" w:type="dxa"/>
              <w:bottom w:w="30" w:type="dxa"/>
              <w:right w:w="60" w:type="dxa"/>
            </w:tcMar>
          </w:tcPr>
          <w:p w14:paraId="4D247A0E" w14:textId="77777777" w:rsidR="00E05E66" w:rsidRDefault="00000000">
            <w:pPr>
              <w:spacing w:after="0" w:line="240" w:lineRule="auto"/>
              <w:jc w:val="center"/>
            </w:pPr>
            <w:r>
              <w:rPr>
                <w:rFonts w:eastAsia="Times New Roman" w:cs="Times New Roman"/>
                <w:sz w:val="16"/>
                <w:szCs w:val="16"/>
              </w:rPr>
              <w:t>518</w:t>
            </w:r>
          </w:p>
        </w:tc>
        <w:tc>
          <w:tcPr>
            <w:tcW w:w="700" w:type="dxa"/>
            <w:tcMar>
              <w:top w:w="30" w:type="dxa"/>
              <w:left w:w="60" w:type="dxa"/>
              <w:bottom w:w="30" w:type="dxa"/>
              <w:right w:w="60" w:type="dxa"/>
            </w:tcMar>
          </w:tcPr>
          <w:p w14:paraId="0B6B3B30" w14:textId="77777777" w:rsidR="00E05E66" w:rsidRDefault="00000000">
            <w:pPr>
              <w:spacing w:after="0" w:line="240" w:lineRule="auto"/>
              <w:jc w:val="center"/>
            </w:pPr>
            <w:r>
              <w:rPr>
                <w:rFonts w:eastAsia="Times New Roman" w:cs="Times New Roman"/>
                <w:sz w:val="16"/>
                <w:szCs w:val="16"/>
              </w:rPr>
              <w:t>0.422</w:t>
            </w:r>
          </w:p>
        </w:tc>
        <w:tc>
          <w:tcPr>
            <w:tcW w:w="900" w:type="dxa"/>
            <w:tcMar>
              <w:top w:w="30" w:type="dxa"/>
              <w:left w:w="60" w:type="dxa"/>
              <w:bottom w:w="30" w:type="dxa"/>
              <w:right w:w="60" w:type="dxa"/>
            </w:tcMar>
          </w:tcPr>
          <w:p w14:paraId="2BCA5A95" w14:textId="77777777" w:rsidR="00E05E66" w:rsidRDefault="00000000">
            <w:pPr>
              <w:spacing w:after="0" w:line="240" w:lineRule="auto"/>
              <w:jc w:val="center"/>
            </w:pPr>
            <w:r>
              <w:rPr>
                <w:rFonts w:eastAsia="Times New Roman" w:cs="Times New Roman"/>
                <w:sz w:val="16"/>
                <w:szCs w:val="16"/>
              </w:rPr>
              <w:t>+0.132</w:t>
            </w:r>
          </w:p>
        </w:tc>
        <w:tc>
          <w:tcPr>
            <w:tcW w:w="900" w:type="dxa"/>
            <w:tcMar>
              <w:top w:w="30" w:type="dxa"/>
              <w:left w:w="60" w:type="dxa"/>
              <w:bottom w:w="30" w:type="dxa"/>
              <w:right w:w="60" w:type="dxa"/>
            </w:tcMar>
          </w:tcPr>
          <w:p w14:paraId="0D01DE2C" w14:textId="77777777" w:rsidR="00E05E66" w:rsidRDefault="00000000">
            <w:pPr>
              <w:spacing w:after="0" w:line="240" w:lineRule="auto"/>
              <w:jc w:val="center"/>
            </w:pPr>
            <w:r>
              <w:rPr>
                <w:rFonts w:eastAsia="Times New Roman" w:cs="Times New Roman"/>
                <w:sz w:val="16"/>
                <w:szCs w:val="16"/>
              </w:rPr>
              <w:t>+0.373***</w:t>
            </w:r>
          </w:p>
        </w:tc>
        <w:tc>
          <w:tcPr>
            <w:tcW w:w="1100" w:type="dxa"/>
            <w:tcMar>
              <w:top w:w="30" w:type="dxa"/>
              <w:left w:w="60" w:type="dxa"/>
              <w:bottom w:w="30" w:type="dxa"/>
              <w:right w:w="60" w:type="dxa"/>
            </w:tcMar>
          </w:tcPr>
          <w:p w14:paraId="1BB501DF" w14:textId="77777777" w:rsidR="00E05E66" w:rsidRDefault="00000000">
            <w:pPr>
              <w:spacing w:after="0" w:line="240" w:lineRule="auto"/>
              <w:jc w:val="center"/>
            </w:pPr>
            <w:r>
              <w:rPr>
                <w:rFonts w:eastAsia="Times New Roman" w:cs="Times New Roman"/>
                <w:sz w:val="16"/>
                <w:szCs w:val="16"/>
              </w:rPr>
              <w:t>−0.397***</w:t>
            </w:r>
          </w:p>
        </w:tc>
        <w:tc>
          <w:tcPr>
            <w:tcW w:w="900" w:type="dxa"/>
            <w:tcMar>
              <w:top w:w="30" w:type="dxa"/>
              <w:left w:w="60" w:type="dxa"/>
              <w:bottom w:w="30" w:type="dxa"/>
              <w:right w:w="60" w:type="dxa"/>
            </w:tcMar>
          </w:tcPr>
          <w:p w14:paraId="0A159138" w14:textId="77777777" w:rsidR="00E05E66" w:rsidRDefault="00000000">
            <w:pPr>
              <w:spacing w:after="0" w:line="240" w:lineRule="auto"/>
              <w:jc w:val="center"/>
            </w:pPr>
            <w:r>
              <w:rPr>
                <w:rFonts w:eastAsia="Times New Roman" w:cs="Times New Roman"/>
                <w:sz w:val="16"/>
                <w:szCs w:val="16"/>
              </w:rPr>
              <w:t>−0.083</w:t>
            </w:r>
          </w:p>
        </w:tc>
        <w:tc>
          <w:tcPr>
            <w:tcW w:w="900" w:type="dxa"/>
            <w:tcMar>
              <w:top w:w="30" w:type="dxa"/>
              <w:left w:w="60" w:type="dxa"/>
              <w:bottom w:w="30" w:type="dxa"/>
              <w:right w:w="60" w:type="dxa"/>
            </w:tcMar>
          </w:tcPr>
          <w:p w14:paraId="7870D693" w14:textId="77777777" w:rsidR="00E05E66" w:rsidRDefault="00000000">
            <w:pPr>
              <w:spacing w:after="0" w:line="240" w:lineRule="auto"/>
              <w:jc w:val="center"/>
            </w:pPr>
            <w:r>
              <w:rPr>
                <w:rFonts w:eastAsia="Times New Roman" w:cs="Times New Roman"/>
                <w:sz w:val="16"/>
                <w:szCs w:val="16"/>
              </w:rPr>
              <w:t xml:space="preserve">, </w:t>
            </w:r>
          </w:p>
        </w:tc>
        <w:tc>
          <w:tcPr>
            <w:tcW w:w="900" w:type="dxa"/>
            <w:tcMar>
              <w:top w:w="30" w:type="dxa"/>
              <w:left w:w="60" w:type="dxa"/>
              <w:bottom w:w="30" w:type="dxa"/>
              <w:right w:w="60" w:type="dxa"/>
            </w:tcMar>
          </w:tcPr>
          <w:p w14:paraId="1BE4BF50" w14:textId="77777777" w:rsidR="00E05E66" w:rsidRDefault="00000000">
            <w:pPr>
              <w:spacing w:after="0" w:line="240" w:lineRule="auto"/>
              <w:jc w:val="center"/>
            </w:pPr>
            <w:r>
              <w:rPr>
                <w:rFonts w:eastAsia="Times New Roman" w:cs="Times New Roman"/>
                <w:sz w:val="16"/>
                <w:szCs w:val="16"/>
              </w:rPr>
              <w:t>+0.135</w:t>
            </w:r>
          </w:p>
        </w:tc>
      </w:tr>
      <w:tr w:rsidR="00E05E66" w14:paraId="0C21DE1D" w14:textId="77777777">
        <w:tc>
          <w:tcPr>
            <w:tcW w:w="1500" w:type="dxa"/>
            <w:tcMar>
              <w:top w:w="30" w:type="dxa"/>
              <w:left w:w="60" w:type="dxa"/>
              <w:bottom w:w="30" w:type="dxa"/>
              <w:right w:w="60" w:type="dxa"/>
            </w:tcMar>
          </w:tcPr>
          <w:p w14:paraId="68E443A0" w14:textId="77777777" w:rsidR="00E05E66" w:rsidRDefault="00000000">
            <w:pPr>
              <w:spacing w:after="0" w:line="240" w:lineRule="auto"/>
            </w:pPr>
            <w:r>
              <w:rPr>
                <w:rFonts w:eastAsia="Times New Roman" w:cs="Times New Roman"/>
                <w:sz w:val="16"/>
                <w:szCs w:val="16"/>
              </w:rPr>
              <w:t>Processed Food</w:t>
            </w:r>
          </w:p>
        </w:tc>
        <w:tc>
          <w:tcPr>
            <w:tcW w:w="450" w:type="dxa"/>
            <w:tcMar>
              <w:top w:w="30" w:type="dxa"/>
              <w:left w:w="60" w:type="dxa"/>
              <w:bottom w:w="30" w:type="dxa"/>
              <w:right w:w="60" w:type="dxa"/>
            </w:tcMar>
          </w:tcPr>
          <w:p w14:paraId="1803487D" w14:textId="77777777" w:rsidR="00E05E66" w:rsidRDefault="00000000">
            <w:pPr>
              <w:spacing w:after="0" w:line="240" w:lineRule="auto"/>
              <w:jc w:val="center"/>
            </w:pPr>
            <w:r>
              <w:rPr>
                <w:rFonts w:eastAsia="Times New Roman" w:cs="Times New Roman"/>
                <w:sz w:val="16"/>
                <w:szCs w:val="16"/>
              </w:rPr>
              <w:t>167</w:t>
            </w:r>
          </w:p>
        </w:tc>
        <w:tc>
          <w:tcPr>
            <w:tcW w:w="700" w:type="dxa"/>
            <w:tcMar>
              <w:top w:w="30" w:type="dxa"/>
              <w:left w:w="60" w:type="dxa"/>
              <w:bottom w:w="30" w:type="dxa"/>
              <w:right w:w="60" w:type="dxa"/>
            </w:tcMar>
          </w:tcPr>
          <w:p w14:paraId="5100A472" w14:textId="77777777" w:rsidR="00E05E66" w:rsidRDefault="00000000">
            <w:pPr>
              <w:spacing w:after="0" w:line="240" w:lineRule="auto"/>
              <w:jc w:val="center"/>
            </w:pPr>
            <w:r>
              <w:rPr>
                <w:rFonts w:eastAsia="Times New Roman" w:cs="Times New Roman"/>
                <w:sz w:val="16"/>
                <w:szCs w:val="16"/>
              </w:rPr>
              <w:t>0.395</w:t>
            </w:r>
          </w:p>
        </w:tc>
        <w:tc>
          <w:tcPr>
            <w:tcW w:w="900" w:type="dxa"/>
            <w:tcMar>
              <w:top w:w="30" w:type="dxa"/>
              <w:left w:w="60" w:type="dxa"/>
              <w:bottom w:w="30" w:type="dxa"/>
              <w:right w:w="60" w:type="dxa"/>
            </w:tcMar>
          </w:tcPr>
          <w:p w14:paraId="20B19CBB" w14:textId="77777777" w:rsidR="00E05E66" w:rsidRDefault="00000000">
            <w:pPr>
              <w:spacing w:after="0" w:line="240" w:lineRule="auto"/>
              <w:jc w:val="center"/>
            </w:pPr>
            <w:r>
              <w:rPr>
                <w:rFonts w:eastAsia="Times New Roman" w:cs="Times New Roman"/>
                <w:sz w:val="16"/>
                <w:szCs w:val="16"/>
              </w:rPr>
              <w:t>+0.166</w:t>
            </w:r>
          </w:p>
        </w:tc>
        <w:tc>
          <w:tcPr>
            <w:tcW w:w="900" w:type="dxa"/>
            <w:tcMar>
              <w:top w:w="30" w:type="dxa"/>
              <w:left w:w="60" w:type="dxa"/>
              <w:bottom w:w="30" w:type="dxa"/>
              <w:right w:w="60" w:type="dxa"/>
            </w:tcMar>
          </w:tcPr>
          <w:p w14:paraId="58D67A50" w14:textId="77777777" w:rsidR="00E05E66" w:rsidRDefault="00000000">
            <w:pPr>
              <w:spacing w:after="0" w:line="240" w:lineRule="auto"/>
              <w:jc w:val="center"/>
            </w:pPr>
            <w:r>
              <w:rPr>
                <w:rFonts w:eastAsia="Times New Roman" w:cs="Times New Roman"/>
                <w:sz w:val="16"/>
                <w:szCs w:val="16"/>
              </w:rPr>
              <w:t>+0.501**</w:t>
            </w:r>
          </w:p>
        </w:tc>
        <w:tc>
          <w:tcPr>
            <w:tcW w:w="1100" w:type="dxa"/>
            <w:tcMar>
              <w:top w:w="30" w:type="dxa"/>
              <w:left w:w="60" w:type="dxa"/>
              <w:bottom w:w="30" w:type="dxa"/>
              <w:right w:w="60" w:type="dxa"/>
            </w:tcMar>
          </w:tcPr>
          <w:p w14:paraId="371F3ABC" w14:textId="77777777" w:rsidR="00E05E66" w:rsidRDefault="00000000">
            <w:pPr>
              <w:spacing w:after="0" w:line="240" w:lineRule="auto"/>
              <w:jc w:val="center"/>
            </w:pPr>
            <w:r>
              <w:rPr>
                <w:rFonts w:eastAsia="Times New Roman" w:cs="Times New Roman"/>
                <w:sz w:val="16"/>
                <w:szCs w:val="16"/>
              </w:rPr>
              <w:t>−0.360*</w:t>
            </w:r>
          </w:p>
        </w:tc>
        <w:tc>
          <w:tcPr>
            <w:tcW w:w="900" w:type="dxa"/>
            <w:tcMar>
              <w:top w:w="30" w:type="dxa"/>
              <w:left w:w="60" w:type="dxa"/>
              <w:bottom w:w="30" w:type="dxa"/>
              <w:right w:w="60" w:type="dxa"/>
            </w:tcMar>
          </w:tcPr>
          <w:p w14:paraId="441D18CF" w14:textId="77777777" w:rsidR="00E05E66" w:rsidRDefault="00000000">
            <w:pPr>
              <w:spacing w:after="0" w:line="240" w:lineRule="auto"/>
              <w:jc w:val="center"/>
            </w:pPr>
            <w:r>
              <w:rPr>
                <w:rFonts w:eastAsia="Times New Roman" w:cs="Times New Roman"/>
                <w:sz w:val="16"/>
                <w:szCs w:val="16"/>
              </w:rPr>
              <w:t>−0.608*</w:t>
            </w:r>
          </w:p>
        </w:tc>
        <w:tc>
          <w:tcPr>
            <w:tcW w:w="900" w:type="dxa"/>
            <w:tcMar>
              <w:top w:w="30" w:type="dxa"/>
              <w:left w:w="60" w:type="dxa"/>
              <w:bottom w:w="30" w:type="dxa"/>
              <w:right w:w="60" w:type="dxa"/>
            </w:tcMar>
          </w:tcPr>
          <w:p w14:paraId="2B4DA739" w14:textId="77777777" w:rsidR="00E05E66" w:rsidRDefault="00000000">
            <w:pPr>
              <w:spacing w:after="0" w:line="240" w:lineRule="auto"/>
              <w:jc w:val="center"/>
            </w:pPr>
            <w:r>
              <w:rPr>
                <w:rFonts w:eastAsia="Times New Roman" w:cs="Times New Roman"/>
                <w:sz w:val="16"/>
                <w:szCs w:val="16"/>
              </w:rPr>
              <w:t xml:space="preserve">, </w:t>
            </w:r>
          </w:p>
        </w:tc>
        <w:tc>
          <w:tcPr>
            <w:tcW w:w="900" w:type="dxa"/>
            <w:tcMar>
              <w:top w:w="30" w:type="dxa"/>
              <w:left w:w="60" w:type="dxa"/>
              <w:bottom w:w="30" w:type="dxa"/>
              <w:right w:w="60" w:type="dxa"/>
            </w:tcMar>
          </w:tcPr>
          <w:p w14:paraId="5D15105E" w14:textId="77777777" w:rsidR="00E05E66" w:rsidRDefault="00000000">
            <w:pPr>
              <w:spacing w:after="0" w:line="240" w:lineRule="auto"/>
              <w:jc w:val="center"/>
            </w:pPr>
            <w:r>
              <w:rPr>
                <w:rFonts w:eastAsia="Times New Roman" w:cs="Times New Roman"/>
                <w:sz w:val="16"/>
                <w:szCs w:val="16"/>
              </w:rPr>
              <w:t>+0.095</w:t>
            </w:r>
          </w:p>
        </w:tc>
      </w:tr>
      <w:tr w:rsidR="00E05E66" w14:paraId="4791F513" w14:textId="77777777">
        <w:tc>
          <w:tcPr>
            <w:tcW w:w="1500" w:type="dxa"/>
            <w:tcMar>
              <w:top w:w="30" w:type="dxa"/>
              <w:left w:w="60" w:type="dxa"/>
              <w:bottom w:w="30" w:type="dxa"/>
              <w:right w:w="60" w:type="dxa"/>
            </w:tcMar>
          </w:tcPr>
          <w:p w14:paraId="0A52AA99" w14:textId="77777777" w:rsidR="00E05E66" w:rsidRDefault="00000000">
            <w:pPr>
              <w:spacing w:after="0" w:line="240" w:lineRule="auto"/>
            </w:pPr>
            <w:r>
              <w:rPr>
                <w:rFonts w:eastAsia="Times New Roman" w:cs="Times New Roman"/>
                <w:sz w:val="16"/>
                <w:szCs w:val="16"/>
              </w:rPr>
              <w:t>Instant Food</w:t>
            </w:r>
          </w:p>
        </w:tc>
        <w:tc>
          <w:tcPr>
            <w:tcW w:w="450" w:type="dxa"/>
            <w:tcMar>
              <w:top w:w="30" w:type="dxa"/>
              <w:left w:w="60" w:type="dxa"/>
              <w:bottom w:w="30" w:type="dxa"/>
              <w:right w:w="60" w:type="dxa"/>
            </w:tcMar>
          </w:tcPr>
          <w:p w14:paraId="20675B91" w14:textId="77777777" w:rsidR="00E05E66" w:rsidRDefault="00000000">
            <w:pPr>
              <w:spacing w:after="0" w:line="240" w:lineRule="auto"/>
              <w:jc w:val="center"/>
            </w:pPr>
            <w:r>
              <w:rPr>
                <w:rFonts w:eastAsia="Times New Roman" w:cs="Times New Roman"/>
                <w:sz w:val="16"/>
                <w:szCs w:val="16"/>
              </w:rPr>
              <w:t>219</w:t>
            </w:r>
          </w:p>
        </w:tc>
        <w:tc>
          <w:tcPr>
            <w:tcW w:w="700" w:type="dxa"/>
            <w:tcMar>
              <w:top w:w="30" w:type="dxa"/>
              <w:left w:w="60" w:type="dxa"/>
              <w:bottom w:w="30" w:type="dxa"/>
              <w:right w:w="60" w:type="dxa"/>
            </w:tcMar>
          </w:tcPr>
          <w:p w14:paraId="3830950E" w14:textId="77777777" w:rsidR="00E05E66" w:rsidRDefault="00000000">
            <w:pPr>
              <w:spacing w:after="0" w:line="240" w:lineRule="auto"/>
              <w:jc w:val="center"/>
            </w:pPr>
            <w:r>
              <w:rPr>
                <w:rFonts w:eastAsia="Times New Roman" w:cs="Times New Roman"/>
                <w:sz w:val="16"/>
                <w:szCs w:val="16"/>
              </w:rPr>
              <w:t>0.227</w:t>
            </w:r>
          </w:p>
        </w:tc>
        <w:tc>
          <w:tcPr>
            <w:tcW w:w="900" w:type="dxa"/>
            <w:tcMar>
              <w:top w:w="30" w:type="dxa"/>
              <w:left w:w="60" w:type="dxa"/>
              <w:bottom w:w="30" w:type="dxa"/>
              <w:right w:w="60" w:type="dxa"/>
            </w:tcMar>
          </w:tcPr>
          <w:p w14:paraId="3AD30996" w14:textId="77777777" w:rsidR="00E05E66" w:rsidRDefault="00000000">
            <w:pPr>
              <w:spacing w:after="0" w:line="240" w:lineRule="auto"/>
              <w:jc w:val="center"/>
            </w:pPr>
            <w:r>
              <w:rPr>
                <w:rFonts w:eastAsia="Times New Roman" w:cs="Times New Roman"/>
                <w:sz w:val="16"/>
                <w:szCs w:val="16"/>
              </w:rPr>
              <w:t>−0.143</w:t>
            </w:r>
          </w:p>
        </w:tc>
        <w:tc>
          <w:tcPr>
            <w:tcW w:w="900" w:type="dxa"/>
            <w:tcMar>
              <w:top w:w="30" w:type="dxa"/>
              <w:left w:w="60" w:type="dxa"/>
              <w:bottom w:w="30" w:type="dxa"/>
              <w:right w:w="60" w:type="dxa"/>
            </w:tcMar>
          </w:tcPr>
          <w:p w14:paraId="4D238E9E" w14:textId="77777777" w:rsidR="00E05E66" w:rsidRDefault="00000000">
            <w:pPr>
              <w:spacing w:after="0" w:line="240" w:lineRule="auto"/>
              <w:jc w:val="center"/>
            </w:pPr>
            <w:r>
              <w:rPr>
                <w:rFonts w:eastAsia="Times New Roman" w:cs="Times New Roman"/>
                <w:sz w:val="16"/>
                <w:szCs w:val="16"/>
              </w:rPr>
              <w:t>+0.299***</w:t>
            </w:r>
          </w:p>
        </w:tc>
        <w:tc>
          <w:tcPr>
            <w:tcW w:w="1100" w:type="dxa"/>
            <w:tcMar>
              <w:top w:w="30" w:type="dxa"/>
              <w:left w:w="60" w:type="dxa"/>
              <w:bottom w:w="30" w:type="dxa"/>
              <w:right w:w="60" w:type="dxa"/>
            </w:tcMar>
          </w:tcPr>
          <w:p w14:paraId="6823160B" w14:textId="77777777" w:rsidR="00E05E66" w:rsidRDefault="00000000">
            <w:pPr>
              <w:spacing w:after="0" w:line="240" w:lineRule="auto"/>
              <w:jc w:val="center"/>
            </w:pPr>
            <w:r>
              <w:rPr>
                <w:rFonts w:eastAsia="Times New Roman" w:cs="Times New Roman"/>
                <w:sz w:val="16"/>
                <w:szCs w:val="16"/>
              </w:rPr>
              <w:t>+0.093</w:t>
            </w:r>
          </w:p>
        </w:tc>
        <w:tc>
          <w:tcPr>
            <w:tcW w:w="900" w:type="dxa"/>
            <w:tcMar>
              <w:top w:w="30" w:type="dxa"/>
              <w:left w:w="60" w:type="dxa"/>
              <w:bottom w:w="30" w:type="dxa"/>
              <w:right w:w="60" w:type="dxa"/>
            </w:tcMar>
          </w:tcPr>
          <w:p w14:paraId="25118B40" w14:textId="77777777" w:rsidR="00E05E66" w:rsidRDefault="00000000">
            <w:pPr>
              <w:spacing w:after="0" w:line="240" w:lineRule="auto"/>
              <w:jc w:val="center"/>
            </w:pPr>
            <w:r>
              <w:rPr>
                <w:rFonts w:eastAsia="Times New Roman" w:cs="Times New Roman"/>
                <w:sz w:val="16"/>
                <w:szCs w:val="16"/>
              </w:rPr>
              <w:t>+0.119</w:t>
            </w:r>
          </w:p>
        </w:tc>
        <w:tc>
          <w:tcPr>
            <w:tcW w:w="900" w:type="dxa"/>
            <w:tcMar>
              <w:top w:w="30" w:type="dxa"/>
              <w:left w:w="60" w:type="dxa"/>
              <w:bottom w:w="30" w:type="dxa"/>
              <w:right w:w="60" w:type="dxa"/>
            </w:tcMar>
          </w:tcPr>
          <w:p w14:paraId="2D17D544" w14:textId="77777777" w:rsidR="00E05E66" w:rsidRDefault="00000000">
            <w:pPr>
              <w:spacing w:after="0" w:line="240" w:lineRule="auto"/>
              <w:jc w:val="center"/>
            </w:pPr>
            <w:r>
              <w:rPr>
                <w:rFonts w:eastAsia="Times New Roman" w:cs="Times New Roman"/>
                <w:sz w:val="16"/>
                <w:szCs w:val="16"/>
              </w:rPr>
              <w:t xml:space="preserve">, </w:t>
            </w:r>
          </w:p>
        </w:tc>
        <w:tc>
          <w:tcPr>
            <w:tcW w:w="900" w:type="dxa"/>
            <w:tcMar>
              <w:top w:w="30" w:type="dxa"/>
              <w:left w:w="60" w:type="dxa"/>
              <w:bottom w:w="30" w:type="dxa"/>
              <w:right w:w="60" w:type="dxa"/>
            </w:tcMar>
          </w:tcPr>
          <w:p w14:paraId="065D6254" w14:textId="77777777" w:rsidR="00E05E66" w:rsidRDefault="00000000">
            <w:pPr>
              <w:spacing w:after="0" w:line="240" w:lineRule="auto"/>
              <w:jc w:val="center"/>
            </w:pPr>
            <w:r>
              <w:rPr>
                <w:rFonts w:eastAsia="Times New Roman" w:cs="Times New Roman"/>
                <w:sz w:val="16"/>
                <w:szCs w:val="16"/>
              </w:rPr>
              <w:t xml:space="preserve">, </w:t>
            </w:r>
          </w:p>
        </w:tc>
      </w:tr>
    </w:tbl>
    <w:p w14:paraId="4573BB75" w14:textId="77777777" w:rsidR="00E05E66" w:rsidRDefault="00000000">
      <w:pPr>
        <w:spacing w:before="60" w:after="200"/>
      </w:pPr>
      <w:r>
        <w:rPr>
          <w:rFonts w:eastAsia="Times New Roman" w:cs="Times New Roman"/>
          <w:i/>
          <w:iCs/>
          <w:sz w:val="18"/>
          <w:szCs w:val="18"/>
        </w:rPr>
        <w:t>Note: *** p &lt; 0.001, ** p &lt; 0.01, * p &lt; 0.05. ,  = insufficient within-category variation or omitted. Cluster-robust SE. Eggs &amp; Tofu (n = 24) omitted owing to insufficient sample size.</w:t>
      </w:r>
    </w:p>
    <w:p w14:paraId="03EB6461" w14:textId="77777777" w:rsidR="00E05E66" w:rsidRDefault="00000000">
      <w:pPr>
        <w:jc w:val="both"/>
      </w:pPr>
      <w:r>
        <w:rPr>
          <w:rFonts w:eastAsia="Times New Roman" w:cs="Times New Roman"/>
          <w:i/>
          <w:iCs/>
          <w:sz w:val="24"/>
          <w:szCs w:val="24"/>
        </w:rPr>
        <w:t>Model fit.</w:t>
      </w:r>
      <w:r>
        <w:rPr>
          <w:rFonts w:eastAsia="Times New Roman" w:cs="Times New Roman"/>
          <w:sz w:val="24"/>
          <w:szCs w:val="24"/>
        </w:rPr>
        <w:t xml:space="preserve"> Explanatory power varies substantially across the nine estimated categories, and this variation should shape how much weight the reader gives to each category’s coefficients. Three categories sit in a high-confidence band with adjusted R² above 0.6: Dry Food (R² = 0.831), Baby Products (0.753), and Dairy (0.688). For these categories the hedonic specification captures the bulk of within-subcategory price variation, and the coefficient pattern can be read as a reliable description of attribute premiums. A middle band of three categories falls between 0.5 and 0.6, where the specification still explains most of the variation but category-specific noise is non-trivial: Fresh Produce (0.539), Spices (0.528), and Frozen (0.526). The remaining three estimated categories fall below 0.5 (Confectionary 0.422, Processed Food 0.395, Instant Food 0.227); in these categories the nine NLP features capture less than half of within-subcategory variation, and significant coefficients should be read with correspondingly more caution. Instant Food in particular is dominated by format, flavor, and portion-size variation that the feature set does not measure. The category discussion below proceeds in order of decreasing explanatory power and concentrates interpretive weight on the high- and middle-R² categories, flagging low-R² findings as directional.</w:t>
      </w:r>
    </w:p>
    <w:p w14:paraId="78768DCA" w14:textId="77777777" w:rsidR="00E05E66" w:rsidRDefault="00000000">
      <w:pPr>
        <w:jc w:val="both"/>
      </w:pPr>
      <w:r>
        <w:rPr>
          <w:rFonts w:eastAsia="Times New Roman" w:cs="Times New Roman"/>
          <w:i/>
          <w:iCs/>
          <w:sz w:val="24"/>
          <w:szCs w:val="24"/>
        </w:rPr>
        <w:t>High-confidence categories (R² &gt; 0.6).</w:t>
      </w:r>
      <w:r>
        <w:rPr>
          <w:rFonts w:eastAsia="Times New Roman" w:cs="Times New Roman"/>
          <w:sz w:val="24"/>
          <w:szCs w:val="24"/>
        </w:rPr>
        <w:t xml:space="preserve"> In Dry Food (R² = 0.831), the high-recognition effect is strongly negative (−0.449, p &lt; 0.001): within-subcategory, the nationally recognized rice and grain brands carry lower unit prices than lesser-known branded equivalents. Price-tier positioning and the branded dummy are not significant once high-recognition is separated out, consistent with Dry Food being dominated by well-understood commodity products where brand and size largely exhaust the pricing signal. Baby Products (R² = 0.753) shows a positive but imprecise brand-name coefficient (+0.519, p ≈ 0.23), as expected from the small regression sample (n = 34) after the non-food subcategories are excluded; the coefficient pattern is directionally consistent with the pooled results but should </w:t>
        <w:lastRenderedPageBreak/>
        <w:t>not be read as a precise point estimate. In Dairy (R² = 0.688), the price-tier premium dominates the specification (+0.503, p &lt; 0.001); health claims and the high-recognition adjustment are both negative and significant, reinforcing the interpretation of Household Giant dairy brands (Vinamilk, Dutch Lady) as volume-driven rather than premium-priced.</w:t>
      </w:r>
    </w:p>
    <w:p w14:paraId="772A7331" w14:textId="77777777" w:rsidR="00E05E66" w:rsidRDefault="00000000">
      <w:pPr>
        <w:jc w:val="both"/>
      </w:pPr>
      <w:r>
        <w:rPr>
          <w:rFonts w:eastAsia="Times New Roman" w:cs="Times New Roman"/>
          <w:i/>
          <w:iCs/>
          <w:sz w:val="24"/>
          <w:szCs w:val="24"/>
        </w:rPr>
        <w:t>Middle-band categories (0.5 ≤ R² ≤ 0.6).</w:t>
      </w:r>
      <w:r>
        <w:rPr>
          <w:rFonts w:eastAsia="Times New Roman" w:cs="Times New Roman"/>
          <w:sz w:val="24"/>
          <w:szCs w:val="24"/>
        </w:rPr>
        <w:t xml:space="preserve"> Fresh Produce (R² = 0.539) produces the single largest coefficient in any per-category regression: the import premium reaches +1.004 (p &lt; 0.001), so imported fruit commands more than double the price of domestic fruit within the same subcategory, consistent with Vietnamese consumers paying for the food-safety assurance associated with imports (Mergenthaler, Qaim, and Nuryartono, 2009). Brand and price-tier effects are near zero in this category, as expected: most Fresh Produce items are unbranded. Spices (R² = 0.528) shows a very large price-tier premium (+0.710, p &lt; 0.001), a significant high-recognition discount (−0.306, p &lt; 0.001), and the only significant health-claim coefficient in the dataset (+0.382, p = 0.03), a category in which food-safety concerns are most salient. Frozen (R² = 0.526) shows a smaller but still significant price-tier premium (+0.296, p ≈ 0.003) with no other significant effects.</w:t>
      </w:r>
    </w:p>
    <w:p w14:paraId="329225E6" w14:textId="77777777" w:rsidR="00E05E66" w:rsidRDefault="00000000">
      <w:pPr>
        <w:jc w:val="both"/>
      </w:pPr>
      <w:r>
        <w:rPr>
          <w:rFonts w:eastAsia="Times New Roman" w:cs="Times New Roman"/>
          <w:i/>
          <w:iCs/>
          <w:sz w:val="24"/>
          <w:szCs w:val="24"/>
        </w:rPr>
        <w:t>Low-R² categories (R² &lt; 0.5).</w:t>
      </w:r>
      <w:r>
        <w:rPr>
          <w:rFonts w:eastAsia="Times New Roman" w:cs="Times New Roman"/>
          <w:sz w:val="24"/>
          <w:szCs w:val="24"/>
        </w:rPr>
        <w:t xml:space="preserve"> In Confectionary (R² = 0.422) and Processed Food (R² = 0.395), the price-tier premium is still large and significant (+0.373 and +0.501 respectively), but the NLP features leave the majority of within-subcategory variation unexplained, and the significant high-recognition discount in Confectionary (−0.397) and the negative import coefficient in Processed Food (−0.608) should be read as directional. Instant Food (R² = 0.227) is the weakest fit: flavor and format, neither of which is captured by the feature set, drive most price variation, and only the price-tier premium survives at conventional significance (+0.299).</w:t>
      </w:r>
    </w:p>
    <w:p w14:paraId="2BC4AF37" w14:textId="77777777" w:rsidR="00E05E66" w:rsidRDefault="00000000">
      <w:pPr>
        <w:spacing w:before="120" w:after="60"/>
        <w:jc w:val="center"/>
      </w:pPr>
      <w:r>
        <w:rPr>
          <w:noProof/>
        </w:rPr>
        <w:lastRenderedPageBreak/>
        <w:drawing>
          <wp:inline distT="0" distB="0" distL="0" distR="0" wp14:anchorId="124B8C98" wp14:editId="775D60CF">
            <wp:extent cx="5305425" cy="3657600"/>
            <wp:effectExtent l="0" t="0" r="0" b="0"/>
            <wp:docPr id="3" name="fig"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2"/>
                    <a:srcRect/>
                    <a:stretch>
                      <a:fillRect/>
                    </a:stretch>
                  </pic:blipFill>
                  <pic:spPr bwMode="auto">
                    <a:xfrm>
                      <a:off x="0" y="0"/>
                      <a:ext cx="5305425" cy="3657600"/>
                    </a:xfrm>
                    <a:prstGeom prst="rect">
                      <a:avLst/>
                    </a:prstGeom>
                  </pic:spPr>
                </pic:pic>
              </a:graphicData>
            </a:graphic>
          </wp:inline>
        </w:drawing>
      </w:r>
    </w:p>
    <w:p w14:paraId="33828F79" w14:textId="77777777" w:rsidR="00E05E66" w:rsidRDefault="00000000">
      <w:pPr>
        <w:spacing w:before="60" w:after="240"/>
        <w:jc w:val="center"/>
      </w:pPr>
      <w:r>
        <w:rPr>
          <w:rFonts w:eastAsia="Times New Roman" w:cs="Times New Roman"/>
          <w:i/>
          <w:iCs/>
          <w:sz w:val="20"/>
          <w:szCs w:val="20"/>
        </w:rPr>
        <w:t>Figure 4.2: Per-category hedonic coefficients. Red = positive premium; blue = negative (discount). Dashes indicate insufficient within-category variation.</w:t>
      </w:r>
    </w:p>
    <w:p w14:paraId="32C6DB2A" w14:textId="77777777" w:rsidR="00E05E66" w:rsidRDefault="00000000">
      <w:pPr>
        <w:pStyle w:val="Heading2"/>
        <w:spacing w:before="360" w:after="180"/>
      </w:pPr>
      <w:r>
        <w:rPr>
          <w:rFonts w:ascii="Times New Roman" w:eastAsia="Times New Roman" w:hAnsi="Times New Roman" w:cs="Times New Roman"/>
          <w:sz w:val="26"/>
        </w:rPr>
        <w:t>4.6 Promotional Erosion Analysis</w:t>
      </w:r>
    </w:p>
    <w:p w14:paraId="11D2BBAB" w14:textId="77777777" w:rsidR="00E05E66" w:rsidRDefault="00000000">
      <w:pPr>
        <w:jc w:val="both"/>
      </w:pPr>
      <w:r>
        <w:rPr>
          <w:rFonts w:eastAsia="Times New Roman" w:cs="Times New Roman"/>
          <w:sz w:val="24"/>
          <w:szCs w:val="24"/>
        </w:rPr>
        <w:t xml:space="preserve">This section presents the promotional erosion analysis that the dual-price design is built for. All coefficients compared in this section come from the </w:t>
      </w:r>
      <w:r>
        <w:rPr>
          <w:rFonts w:eastAsia="Times New Roman" w:cs="Times New Roman"/>
          <w:b/>
          <w:sz w:val="24"/>
          <w:szCs w:val="24"/>
        </w:rPr>
        <w:t>pooled</w:t>
      </w:r>
      <w:r>
        <w:rPr>
          <w:rFonts w:eastAsia="Times New Roman" w:cs="Times New Roman"/>
          <w:sz w:val="24"/>
          <w:szCs w:val="24"/>
        </w:rPr>
        <w:t xml:space="preserve"> OLS specification of Section 4.4, not from the per-category regressions of Section 4.5; erosion is therefore a cross-category average of each attribute’s sticker-to-checkout change. For an attribute </w:t>
      </w:r>
      <w:r>
        <w:rPr>
          <w:rFonts w:eastAsia="Times New Roman" w:cs="Times New Roman"/>
          <w:i/>
          <w:sz w:val="24"/>
          <w:szCs w:val="24"/>
        </w:rPr>
        <w:t>k</w:t>
      </w:r>
      <w:r>
        <w:rPr>
          <w:rFonts w:eastAsia="Times New Roman" w:cs="Times New Roman"/>
          <w:sz w:val="24"/>
          <w:szCs w:val="24"/>
        </w:rPr>
        <w:t xml:space="preserve"> with pooled coefficients </w:t>
      </w:r>
      <w:r>
        <w:rPr>
          <w:rFonts w:eastAsia="Times New Roman" w:cs="Times New Roman"/>
          <w:i/>
          <w:sz w:val="24"/>
          <w:szCs w:val="24"/>
        </w:rPr>
        <w:t>β</w:t>
      </w:r>
      <w:r>
        <w:rPr>
          <w:rFonts w:eastAsia="Times New Roman" w:cs="Times New Roman"/>
          <w:i/>
          <w:sz w:val="24"/>
          <w:szCs w:val="24"/>
          <w:vertAlign w:val="subscript"/>
        </w:rPr>
        <w:t>k,marked</w:t>
      </w:r>
      <w:r>
        <w:rPr>
          <w:rFonts w:eastAsia="Times New Roman" w:cs="Times New Roman"/>
          <w:sz w:val="24"/>
          <w:szCs w:val="24"/>
        </w:rPr>
        <w:t xml:space="preserve"> and </w:t>
      </w:r>
      <w:r>
        <w:rPr>
          <w:rFonts w:eastAsia="Times New Roman" w:cs="Times New Roman"/>
          <w:i/>
          <w:sz w:val="24"/>
          <w:szCs w:val="24"/>
        </w:rPr>
        <w:t>β</w:t>
      </w:r>
      <w:r>
        <w:rPr>
          <w:rFonts w:eastAsia="Times New Roman" w:cs="Times New Roman"/>
          <w:i/>
          <w:sz w:val="24"/>
          <w:szCs w:val="24"/>
          <w:vertAlign w:val="subscript"/>
        </w:rPr>
        <w:t>k,final</w:t>
      </w:r>
      <w:r>
        <w:rPr>
          <w:rFonts w:eastAsia="Times New Roman" w:cs="Times New Roman"/>
          <w:sz w:val="24"/>
          <w:szCs w:val="24"/>
        </w:rPr>
        <w:t>, the erosion metric is defined as Erosion</w:t>
      </w:r>
      <w:r>
        <w:rPr>
          <w:rFonts w:eastAsia="Times New Roman" w:cs="Times New Roman"/>
          <w:sz w:val="24"/>
          <w:szCs w:val="24"/>
          <w:vertAlign w:val="subscript"/>
        </w:rPr>
        <w:t>k</w:t>
      </w:r>
      <w:r>
        <w:rPr>
          <w:rFonts w:eastAsia="Times New Roman" w:cs="Times New Roman"/>
          <w:sz w:val="24"/>
          <w:szCs w:val="24"/>
        </w:rPr>
        <w:t xml:space="preserve"> = (</w:t>
      </w:r>
      <w:r>
        <w:rPr>
          <w:rFonts w:eastAsia="Times New Roman" w:cs="Times New Roman"/>
          <w:i/>
          <w:sz w:val="24"/>
          <w:szCs w:val="24"/>
        </w:rPr>
        <w:t>β</w:t>
      </w:r>
      <w:r>
        <w:rPr>
          <w:rFonts w:eastAsia="Times New Roman" w:cs="Times New Roman"/>
          <w:i/>
          <w:sz w:val="24"/>
          <w:szCs w:val="24"/>
          <w:vertAlign w:val="subscript"/>
        </w:rPr>
        <w:t>k,marked</w:t>
      </w:r>
      <w:r>
        <w:rPr>
          <w:rFonts w:eastAsia="Times New Roman" w:cs="Times New Roman"/>
          <w:sz w:val="24"/>
          <w:szCs w:val="24"/>
        </w:rPr>
        <w:t xml:space="preserve"> − </w:t>
      </w:r>
      <w:r>
        <w:rPr>
          <w:rFonts w:eastAsia="Times New Roman" w:cs="Times New Roman"/>
          <w:i/>
          <w:sz w:val="24"/>
          <w:szCs w:val="24"/>
        </w:rPr>
        <w:t>β</w:t>
      </w:r>
      <w:r>
        <w:rPr>
          <w:rFonts w:eastAsia="Times New Roman" w:cs="Times New Roman"/>
          <w:i/>
          <w:sz w:val="24"/>
          <w:szCs w:val="24"/>
          <w:vertAlign w:val="subscript"/>
        </w:rPr>
        <w:t>k,final</w:t>
      </w:r>
      <w:r>
        <w:rPr>
          <w:rFonts w:eastAsia="Times New Roman" w:cs="Times New Roman"/>
          <w:sz w:val="24"/>
          <w:szCs w:val="24"/>
        </w:rPr>
        <w:t xml:space="preserve">) / </w:t>
      </w:r>
      <w:r>
        <w:rPr>
          <w:rFonts w:eastAsia="Times New Roman" w:cs="Times New Roman"/>
          <w:i/>
          <w:sz w:val="24"/>
          <w:szCs w:val="24"/>
        </w:rPr>
        <w:t>β</w:t>
      </w:r>
      <w:r>
        <w:rPr>
          <w:rFonts w:eastAsia="Times New Roman" w:cs="Times New Roman"/>
          <w:i/>
          <w:sz w:val="24"/>
          <w:szCs w:val="24"/>
          <w:vertAlign w:val="subscript"/>
        </w:rPr>
        <w:t>k,marked</w:t>
      </w:r>
      <w:r>
        <w:rPr>
          <w:rFonts w:eastAsia="Times New Roman" w:cs="Times New Roman"/>
          <w:sz w:val="24"/>
          <w:szCs w:val="24"/>
        </w:rPr>
        <w:t xml:space="preserve"> × 100. A positive value means the premium shrinks from sticker to checkout; a negative value means it grows.</w:t>
      </w:r>
    </w:p>
    <w:p w14:paraId="5C7647B1" w14:textId="77777777" w:rsidR="00E05E66" w:rsidRDefault="00000000">
      <w:pPr>
        <w:spacing w:before="200" w:after="80"/>
        <w:jc w:val="center"/>
      </w:pPr>
      <w:r>
        <w:rPr>
          <w:rFonts w:eastAsia="Times New Roman" w:cs="Times New Roman"/>
          <w:b/>
          <w:bCs/>
          <w:sz w:val="20"/>
          <w:szCs w:val="20"/>
        </w:rPr>
        <w:t>Table 4.5: Promotional Erosion of Attribute Premiums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3"/>
        <w:gridCol w:w="1296"/>
        <w:gridCol w:w="1296"/>
        <w:gridCol w:w="1195"/>
        <w:gridCol w:w="1220"/>
      </w:tblGrid>
      <w:tr w:rsidR="00E05E66" w14:paraId="007EC3A4" w14:textId="77777777">
        <w:tc>
          <w:tcPr>
            <w:tcW w:w="2200" w:type="dxa"/>
            <w:tcBorders>
              <w:top w:val="single" w:sz="1" w:space="0" w:color="000000"/>
              <w:bottom w:val="single" w:sz="1" w:space="0" w:color="000000"/>
            </w:tcBorders>
            <w:shd w:val="clear" w:color="auto" w:fill="D9E2F3"/>
            <w:tcMar>
              <w:top w:w="30" w:type="dxa"/>
              <w:left w:w="60" w:type="dxa"/>
              <w:bottom w:w="30" w:type="dxa"/>
              <w:right w:w="60" w:type="dxa"/>
            </w:tcMar>
          </w:tcPr>
          <w:p w14:paraId="40A93076" w14:textId="77777777" w:rsidR="00E05E66" w:rsidRDefault="00000000">
            <w:pPr>
              <w:spacing w:after="0" w:line="240" w:lineRule="auto"/>
            </w:pPr>
            <w:r>
              <w:rPr>
                <w:rFonts w:eastAsia="Times New Roman" w:cs="Times New Roman"/>
                <w:b/>
                <w:bCs/>
                <w:sz w:val="18"/>
                <w:szCs w:val="18"/>
              </w:rPr>
              <w:t>Attribute</w:t>
            </w:r>
          </w:p>
        </w:tc>
        <w:tc>
          <w:tcPr>
            <w:tcW w:w="1300" w:type="dxa"/>
            <w:tcBorders>
              <w:top w:val="single" w:sz="1" w:space="0" w:color="000000"/>
              <w:bottom w:val="single" w:sz="1" w:space="0" w:color="000000"/>
            </w:tcBorders>
            <w:shd w:val="clear" w:color="auto" w:fill="D9E2F3"/>
            <w:tcMar>
              <w:top w:w="30" w:type="dxa"/>
              <w:left w:w="60" w:type="dxa"/>
              <w:bottom w:w="30" w:type="dxa"/>
              <w:right w:w="60" w:type="dxa"/>
            </w:tcMar>
          </w:tcPr>
          <w:p w14:paraId="35B4EC92" w14:textId="77777777" w:rsidR="00E05E66" w:rsidRDefault="00000000">
            <w:pPr>
              <w:spacing w:after="0" w:line="240" w:lineRule="auto"/>
              <w:jc w:val="center"/>
            </w:pPr>
            <w:r>
              <w:rPr>
                <w:rFonts w:eastAsia="Times New Roman" w:cs="Times New Roman"/>
                <w:b/>
                <w:bCs/>
                <w:sz w:val="18"/>
                <w:szCs w:val="18"/>
              </w:rPr>
              <w:t>β (marked)</w:t>
            </w:r>
          </w:p>
        </w:tc>
        <w:tc>
          <w:tcPr>
            <w:tcW w:w="1300" w:type="dxa"/>
            <w:tcBorders>
              <w:top w:val="single" w:sz="1" w:space="0" w:color="000000"/>
              <w:bottom w:val="single" w:sz="1" w:space="0" w:color="000000"/>
            </w:tcBorders>
            <w:shd w:val="clear" w:color="auto" w:fill="D9E2F3"/>
            <w:tcMar>
              <w:top w:w="30" w:type="dxa"/>
              <w:left w:w="60" w:type="dxa"/>
              <w:bottom w:w="30" w:type="dxa"/>
              <w:right w:w="60" w:type="dxa"/>
            </w:tcMar>
          </w:tcPr>
          <w:p w14:paraId="78E45E60" w14:textId="77777777" w:rsidR="00E05E66" w:rsidRDefault="00000000">
            <w:pPr>
              <w:spacing w:after="0" w:line="240" w:lineRule="auto"/>
              <w:jc w:val="center"/>
            </w:pPr>
            <w:r>
              <w:rPr>
                <w:rFonts w:eastAsia="Times New Roman" w:cs="Times New Roman"/>
                <w:b/>
                <w:bCs/>
                <w:sz w:val="18"/>
                <w:szCs w:val="18"/>
              </w:rPr>
              <w:t>β (final)</w:t>
            </w:r>
          </w:p>
        </w:tc>
        <w:tc>
          <w:tcPr>
            <w:tcW w:w="1200" w:type="dxa"/>
            <w:tcBorders>
              <w:top w:val="single" w:sz="1" w:space="0" w:color="000000"/>
              <w:bottom w:val="single" w:sz="1" w:space="0" w:color="000000"/>
            </w:tcBorders>
            <w:shd w:val="clear" w:color="auto" w:fill="D9E2F3"/>
            <w:tcMar>
              <w:top w:w="30" w:type="dxa"/>
              <w:left w:w="60" w:type="dxa"/>
              <w:bottom w:w="30" w:type="dxa"/>
              <w:right w:w="60" w:type="dxa"/>
            </w:tcMar>
          </w:tcPr>
          <w:p w14:paraId="6C0571B3" w14:textId="77777777" w:rsidR="00E05E66" w:rsidRDefault="00000000">
            <w:pPr>
              <w:spacing w:after="0" w:line="240" w:lineRule="auto"/>
              <w:jc w:val="center"/>
            </w:pPr>
            <w:r>
              <w:rPr>
                <w:rFonts w:eastAsia="Times New Roman" w:cs="Times New Roman"/>
                <w:b/>
                <w:bCs/>
                <w:sz w:val="18"/>
                <w:szCs w:val="18"/>
              </w:rPr>
              <w:t>Erosion (%)</w:t>
            </w:r>
          </w:p>
        </w:tc>
        <w:tc>
          <w:tcPr>
            <w:tcW w:w="1200" w:type="dxa"/>
            <w:tcBorders>
              <w:top w:val="single" w:sz="1" w:space="0" w:color="000000"/>
              <w:bottom w:val="single" w:sz="1" w:space="0" w:color="000000"/>
            </w:tcBorders>
            <w:shd w:val="clear" w:color="auto" w:fill="D9E2F3"/>
            <w:tcMar>
              <w:top w:w="30" w:type="dxa"/>
              <w:left w:w="60" w:type="dxa"/>
              <w:bottom w:w="30" w:type="dxa"/>
              <w:right w:w="60" w:type="dxa"/>
            </w:tcMar>
          </w:tcPr>
          <w:p w14:paraId="27E7BE5D" w14:textId="77777777" w:rsidR="00E05E66" w:rsidRDefault="00000000">
            <w:pPr>
              <w:spacing w:after="0" w:line="240" w:lineRule="auto"/>
              <w:jc w:val="center"/>
            </w:pPr>
            <w:r>
              <w:rPr>
                <w:rFonts w:eastAsia="Times New Roman" w:cs="Times New Roman"/>
                <w:b/>
                <w:bCs/>
                <w:sz w:val="18"/>
                <w:szCs w:val="18"/>
              </w:rPr>
              <w:t>Interpretation</w:t>
            </w:r>
          </w:p>
        </w:tc>
      </w:tr>
      <w:tr w:rsidR="00E05E66" w14:paraId="2377621A" w14:textId="77777777">
        <w:tc>
          <w:tcPr>
            <w:tcW w:w="2200" w:type="dxa"/>
            <w:tcMar>
              <w:top w:w="30" w:type="dxa"/>
              <w:left w:w="60" w:type="dxa"/>
              <w:bottom w:w="30" w:type="dxa"/>
              <w:right w:w="60" w:type="dxa"/>
            </w:tcMar>
          </w:tcPr>
          <w:p w14:paraId="1A24137E" w14:textId="77777777" w:rsidR="00E05E66" w:rsidRDefault="00000000">
            <w:pPr>
              <w:spacing w:after="0" w:line="240" w:lineRule="auto"/>
            </w:pPr>
            <w:r>
              <w:rPr>
                <w:rFonts w:eastAsia="Times New Roman" w:cs="Times New Roman"/>
                <w:sz w:val="18"/>
                <w:szCs w:val="18"/>
              </w:rPr>
              <w:t>is_premium</w:t>
            </w:r>
          </w:p>
        </w:tc>
        <w:tc>
          <w:tcPr>
            <w:tcW w:w="1300" w:type="dxa"/>
            <w:tcMar>
              <w:top w:w="30" w:type="dxa"/>
              <w:left w:w="60" w:type="dxa"/>
              <w:bottom w:w="30" w:type="dxa"/>
              <w:right w:w="60" w:type="dxa"/>
            </w:tcMar>
          </w:tcPr>
          <w:p w14:paraId="750C82FE" w14:textId="77777777" w:rsidR="00E05E66" w:rsidRDefault="00000000">
            <w:pPr>
              <w:spacing w:after="0" w:line="240" w:lineRule="auto"/>
              <w:jc w:val="center"/>
            </w:pPr>
            <w:r>
              <w:rPr>
                <w:rFonts w:eastAsia="Times New Roman" w:cs="Times New Roman"/>
                <w:sz w:val="18"/>
                <w:szCs w:val="18"/>
              </w:rPr>
              <w:t>+0.429***</w:t>
            </w:r>
          </w:p>
        </w:tc>
        <w:tc>
          <w:tcPr>
            <w:tcW w:w="1300" w:type="dxa"/>
            <w:tcMar>
              <w:top w:w="30" w:type="dxa"/>
              <w:left w:w="60" w:type="dxa"/>
              <w:bottom w:w="30" w:type="dxa"/>
              <w:right w:w="60" w:type="dxa"/>
            </w:tcMar>
          </w:tcPr>
          <w:p w14:paraId="7C0A34C8" w14:textId="77777777" w:rsidR="00E05E66" w:rsidRDefault="00000000">
            <w:pPr>
              <w:spacing w:after="0" w:line="240" w:lineRule="auto"/>
              <w:jc w:val="center"/>
            </w:pPr>
            <w:r>
              <w:rPr>
                <w:rFonts w:eastAsia="Times New Roman" w:cs="Times New Roman"/>
                <w:sz w:val="18"/>
                <w:szCs w:val="18"/>
              </w:rPr>
              <w:t>+0.436***</w:t>
            </w:r>
          </w:p>
        </w:tc>
        <w:tc>
          <w:tcPr>
            <w:tcW w:w="1200" w:type="dxa"/>
            <w:tcMar>
              <w:top w:w="30" w:type="dxa"/>
              <w:left w:w="60" w:type="dxa"/>
              <w:bottom w:w="30" w:type="dxa"/>
              <w:right w:w="60" w:type="dxa"/>
            </w:tcMar>
          </w:tcPr>
          <w:p w14:paraId="2E97D179" w14:textId="77777777" w:rsidR="00E05E66" w:rsidRDefault="00000000">
            <w:pPr>
              <w:spacing w:after="0" w:line="240" w:lineRule="auto"/>
              <w:jc w:val="center"/>
            </w:pPr>
            <w:r>
              <w:rPr>
                <w:rFonts w:eastAsia="Times New Roman" w:cs="Times New Roman"/>
                <w:sz w:val="18"/>
                <w:szCs w:val="18"/>
              </w:rPr>
              <w:t>−1.7</w:t>
            </w:r>
          </w:p>
        </w:tc>
        <w:tc>
          <w:tcPr>
            <w:tcW w:w="1200" w:type="dxa"/>
            <w:tcMar>
              <w:top w:w="30" w:type="dxa"/>
              <w:left w:w="60" w:type="dxa"/>
              <w:bottom w:w="30" w:type="dxa"/>
              <w:right w:w="60" w:type="dxa"/>
            </w:tcMar>
          </w:tcPr>
          <w:p w14:paraId="114BC954" w14:textId="77777777" w:rsidR="00E05E66" w:rsidRDefault="00000000">
            <w:pPr>
              <w:spacing w:after="0" w:line="240" w:lineRule="auto"/>
              <w:jc w:val="center"/>
            </w:pPr>
            <w:r>
              <w:rPr>
                <w:rFonts w:eastAsia="Times New Roman" w:cs="Times New Roman"/>
                <w:sz w:val="18"/>
                <w:szCs w:val="18"/>
              </w:rPr>
              <w:t>Stable</w:t>
            </w:r>
          </w:p>
        </w:tc>
      </w:tr>
      <w:tr w:rsidR="00E05E66" w14:paraId="2002C2A0" w14:textId="77777777">
        <w:tc>
          <w:tcPr>
            <w:tcW w:w="2200" w:type="dxa"/>
            <w:tcMar>
              <w:top w:w="30" w:type="dxa"/>
              <w:left w:w="60" w:type="dxa"/>
              <w:bottom w:w="30" w:type="dxa"/>
              <w:right w:w="60" w:type="dxa"/>
            </w:tcMar>
          </w:tcPr>
          <w:p w14:paraId="35FB36F8" w14:textId="77777777" w:rsidR="00E05E66" w:rsidRDefault="00000000">
            <w:pPr>
              <w:spacing w:after="0" w:line="240" w:lineRule="auto"/>
            </w:pPr>
            <w:r>
              <w:rPr>
                <w:rFonts w:eastAsia="Times New Roman" w:cs="Times New Roman"/>
                <w:sz w:val="18"/>
                <w:szCs w:val="18"/>
              </w:rPr>
              <w:t>is_branded</w:t>
            </w:r>
          </w:p>
        </w:tc>
        <w:tc>
          <w:tcPr>
            <w:tcW w:w="1300" w:type="dxa"/>
            <w:tcMar>
              <w:top w:w="30" w:type="dxa"/>
              <w:left w:w="60" w:type="dxa"/>
              <w:bottom w:w="30" w:type="dxa"/>
              <w:right w:w="60" w:type="dxa"/>
            </w:tcMar>
          </w:tcPr>
          <w:p w14:paraId="0178926D" w14:textId="77777777" w:rsidR="00E05E66" w:rsidRDefault="00000000">
            <w:pPr>
              <w:spacing w:after="0" w:line="240" w:lineRule="auto"/>
              <w:jc w:val="center"/>
            </w:pPr>
            <w:r>
              <w:rPr>
                <w:rFonts w:eastAsia="Times New Roman" w:cs="Times New Roman"/>
                <w:sz w:val="18"/>
                <w:szCs w:val="18"/>
              </w:rPr>
              <w:t>+0.022</w:t>
            </w:r>
          </w:p>
        </w:tc>
        <w:tc>
          <w:tcPr>
            <w:tcW w:w="1300" w:type="dxa"/>
            <w:tcMar>
              <w:top w:w="30" w:type="dxa"/>
              <w:left w:w="60" w:type="dxa"/>
              <w:bottom w:w="30" w:type="dxa"/>
              <w:right w:w="60" w:type="dxa"/>
            </w:tcMar>
          </w:tcPr>
          <w:p w14:paraId="09961A45" w14:textId="77777777" w:rsidR="00E05E66" w:rsidRDefault="00000000">
            <w:pPr>
              <w:spacing w:after="0" w:line="240" w:lineRule="auto"/>
              <w:jc w:val="center"/>
            </w:pPr>
            <w:r>
              <w:rPr>
                <w:rFonts w:eastAsia="Times New Roman" w:cs="Times New Roman"/>
                <w:sz w:val="18"/>
                <w:szCs w:val="18"/>
              </w:rPr>
              <w:t>+0.011</w:t>
            </w:r>
          </w:p>
        </w:tc>
        <w:tc>
          <w:tcPr>
            <w:tcW w:w="1200" w:type="dxa"/>
            <w:tcMar>
              <w:top w:w="30" w:type="dxa"/>
              <w:left w:w="60" w:type="dxa"/>
              <w:bottom w:w="30" w:type="dxa"/>
              <w:right w:w="60" w:type="dxa"/>
            </w:tcMar>
          </w:tcPr>
          <w:p w14:paraId="5E7A8529" w14:textId="77777777" w:rsidR="00E05E66" w:rsidRDefault="00000000">
            <w:pPr>
              <w:spacing w:after="0" w:line="240" w:lineRule="auto"/>
              <w:jc w:val="center"/>
            </w:pPr>
            <w:r>
              <w:rPr>
                <w:rFonts w:eastAsia="Times New Roman" w:cs="Times New Roman"/>
                <w:sz w:val="18"/>
                <w:szCs w:val="18"/>
              </w:rPr>
              <w:t>+50.6</w:t>
            </w:r>
          </w:p>
        </w:tc>
        <w:tc>
          <w:tcPr>
            <w:tcW w:w="1200" w:type="dxa"/>
            <w:tcMar>
              <w:top w:w="30" w:type="dxa"/>
              <w:left w:w="60" w:type="dxa"/>
              <w:bottom w:w="30" w:type="dxa"/>
              <w:right w:w="60" w:type="dxa"/>
            </w:tcMar>
          </w:tcPr>
          <w:p w14:paraId="1D534ECD" w14:textId="77777777" w:rsidR="00E05E66" w:rsidRDefault="00000000">
            <w:pPr>
              <w:spacing w:after="0" w:line="240" w:lineRule="auto"/>
              <w:jc w:val="center"/>
            </w:pPr>
            <w:r>
              <w:rPr>
                <w:rFonts w:eastAsia="Times New Roman" w:cs="Times New Roman"/>
                <w:sz w:val="18"/>
                <w:szCs w:val="18"/>
              </w:rPr>
              <w:t>Eroded</w:t>
            </w:r>
          </w:p>
        </w:tc>
      </w:tr>
      <w:tr w:rsidR="00E05E66" w14:paraId="44A72A5E" w14:textId="77777777">
        <w:tc>
          <w:tcPr>
            <w:tcW w:w="2200" w:type="dxa"/>
            <w:tcMar>
              <w:top w:w="30" w:type="dxa"/>
              <w:left w:w="60" w:type="dxa"/>
              <w:bottom w:w="30" w:type="dxa"/>
              <w:right w:w="60" w:type="dxa"/>
            </w:tcMar>
          </w:tcPr>
          <w:p w14:paraId="24F137CA" w14:textId="77777777" w:rsidR="00E05E66" w:rsidRDefault="00000000">
            <w:pPr>
              <w:spacing w:after="0" w:line="240" w:lineRule="auto"/>
            </w:pPr>
            <w:r>
              <w:rPr>
                <w:rFonts w:eastAsia="Times New Roman" w:cs="Times New Roman"/>
                <w:sz w:val="18"/>
                <w:szCs w:val="18"/>
              </w:rPr>
              <w:t>is_high_recognitio</w:t>
              <w:lastRenderedPageBreak/>
              <w:t>n</w:t>
            </w:r>
          </w:p>
        </w:tc>
        <w:tc>
          <w:tcPr>
            <w:tcW w:w="1300" w:type="dxa"/>
            <w:tcMar>
              <w:top w:w="30" w:type="dxa"/>
              <w:left w:w="60" w:type="dxa"/>
              <w:bottom w:w="30" w:type="dxa"/>
              <w:right w:w="60" w:type="dxa"/>
            </w:tcMar>
          </w:tcPr>
          <w:p w14:paraId="54F5F4AF" w14:textId="77777777" w:rsidR="00E05E66" w:rsidRDefault="00000000">
            <w:pPr>
              <w:spacing w:after="0" w:line="240" w:lineRule="auto"/>
              <w:jc w:val="center"/>
            </w:pPr>
            <w:r>
              <w:rPr>
                <w:rFonts w:eastAsia="Times New Roman" w:cs="Times New Roman"/>
                <w:sz w:val="18"/>
                <w:szCs w:val="18"/>
              </w:rPr>
              <w:lastRenderedPageBreak/>
              <w:t>−0.25</w:t>
              <w:lastRenderedPageBreak/>
              <w:t>5***</w:t>
            </w:r>
          </w:p>
        </w:tc>
        <w:tc>
          <w:tcPr>
            <w:tcW w:w="1300" w:type="dxa"/>
            <w:tcMar>
              <w:top w:w="30" w:type="dxa"/>
              <w:left w:w="60" w:type="dxa"/>
              <w:bottom w:w="30" w:type="dxa"/>
              <w:right w:w="60" w:type="dxa"/>
            </w:tcMar>
          </w:tcPr>
          <w:p w14:paraId="7AB8AF2B" w14:textId="77777777" w:rsidR="00E05E66" w:rsidRDefault="00000000">
            <w:pPr>
              <w:spacing w:after="0" w:line="240" w:lineRule="auto"/>
              <w:jc w:val="center"/>
            </w:pPr>
            <w:r>
              <w:rPr>
                <w:rFonts w:eastAsia="Times New Roman" w:cs="Times New Roman"/>
                <w:sz w:val="18"/>
                <w:szCs w:val="18"/>
              </w:rPr>
              <w:lastRenderedPageBreak/>
              <w:t>−0.26</w:t>
              <w:lastRenderedPageBreak/>
              <w:t>6***</w:t>
            </w:r>
          </w:p>
        </w:tc>
        <w:tc>
          <w:tcPr>
            <w:tcW w:w="1200" w:type="dxa"/>
            <w:tcMar>
              <w:top w:w="30" w:type="dxa"/>
              <w:left w:w="60" w:type="dxa"/>
              <w:bottom w:w="30" w:type="dxa"/>
              <w:right w:w="60" w:type="dxa"/>
            </w:tcMar>
          </w:tcPr>
          <w:p w14:paraId="1A24FD68" w14:textId="77777777" w:rsidR="00E05E66" w:rsidRDefault="00000000">
            <w:pPr>
              <w:spacing w:after="0" w:line="240" w:lineRule="auto"/>
              <w:jc w:val="center"/>
            </w:pPr>
            <w:r>
              <w:rPr>
                <w:rFonts w:eastAsia="Times New Roman" w:cs="Times New Roman"/>
                <w:sz w:val="18"/>
                <w:szCs w:val="18"/>
              </w:rPr>
              <w:lastRenderedPageBreak/>
              <w:t>+4.3</w:t>
            </w:r>
          </w:p>
        </w:tc>
        <w:tc>
          <w:tcPr>
            <w:tcW w:w="1200" w:type="dxa"/>
            <w:tcMar>
              <w:top w:w="30" w:type="dxa"/>
              <w:left w:w="60" w:type="dxa"/>
              <w:bottom w:w="30" w:type="dxa"/>
              <w:right w:w="60" w:type="dxa"/>
            </w:tcMar>
          </w:tcPr>
          <w:p w14:paraId="181A5121" w14:textId="77777777" w:rsidR="00E05E66" w:rsidRDefault="00000000">
            <w:pPr>
              <w:spacing w:after="0" w:line="240" w:lineRule="auto"/>
              <w:jc w:val="center"/>
            </w:pPr>
            <w:r>
              <w:rPr>
                <w:rFonts w:eastAsia="Times New Roman" w:cs="Times New Roman"/>
                <w:sz w:val="18"/>
                <w:szCs w:val="18"/>
              </w:rPr>
              <w:t>Stabl</w:t>
              <w:lastRenderedPageBreak/>
              <w:t>e</w:t>
            </w:r>
          </w:p>
        </w:tc>
      </w:tr>
      <w:tr w:rsidR="00E05E66" w14:paraId="69D2F723" w14:textId="77777777">
        <w:tc>
          <w:tcPr>
            <w:tcW w:w="2200" w:type="dxa"/>
            <w:tcMar>
              <w:top w:w="30" w:type="dxa"/>
              <w:left w:w="60" w:type="dxa"/>
              <w:bottom w:w="30" w:type="dxa"/>
              <w:right w:w="60" w:type="dxa"/>
            </w:tcMar>
          </w:tcPr>
          <w:p w14:paraId="5C1127A5" w14:textId="77777777" w:rsidR="00E05E66" w:rsidRDefault="00000000">
            <w:pPr>
              <w:spacing w:after="0" w:line="240" w:lineRule="auto"/>
            </w:pPr>
            <w:r>
              <w:rPr>
                <w:rFonts w:eastAsia="Times New Roman" w:cs="Times New Roman"/>
                <w:sz w:val="18"/>
                <w:szCs w:val="18"/>
              </w:rPr>
              <w:lastRenderedPageBreak/>
              <w:t>is_import</w:t>
            </w:r>
          </w:p>
        </w:tc>
        <w:tc>
          <w:tcPr>
            <w:tcW w:w="1300" w:type="dxa"/>
            <w:tcMar>
              <w:top w:w="30" w:type="dxa"/>
              <w:left w:w="60" w:type="dxa"/>
              <w:bottom w:w="30" w:type="dxa"/>
              <w:right w:w="60" w:type="dxa"/>
            </w:tcMar>
          </w:tcPr>
          <w:p w14:paraId="192ADA6F" w14:textId="77777777" w:rsidR="00E05E66" w:rsidRDefault="00000000">
            <w:pPr>
              <w:spacing w:after="0" w:line="240" w:lineRule="auto"/>
              <w:jc w:val="center"/>
            </w:pPr>
            <w:r>
              <w:rPr>
                <w:rFonts w:eastAsia="Times New Roman" w:cs="Times New Roman"/>
                <w:sz w:val="18"/>
                <w:szCs w:val="18"/>
              </w:rPr>
              <w:t>+0.144</w:t>
            </w:r>
          </w:p>
        </w:tc>
        <w:tc>
          <w:tcPr>
            <w:tcW w:w="1300" w:type="dxa"/>
            <w:tcMar>
              <w:top w:w="30" w:type="dxa"/>
              <w:left w:w="60" w:type="dxa"/>
              <w:bottom w:w="30" w:type="dxa"/>
              <w:right w:w="60" w:type="dxa"/>
            </w:tcMar>
          </w:tcPr>
          <w:p w14:paraId="1C0A809C" w14:textId="77777777" w:rsidR="00E05E66" w:rsidRDefault="00000000">
            <w:pPr>
              <w:spacing w:after="0" w:line="240" w:lineRule="auto"/>
              <w:jc w:val="center"/>
            </w:pPr>
            <w:r>
              <w:rPr>
                <w:rFonts w:eastAsia="Times New Roman" w:cs="Times New Roman"/>
                <w:sz w:val="18"/>
                <w:szCs w:val="18"/>
              </w:rPr>
              <w:t>+0.117</w:t>
            </w:r>
          </w:p>
        </w:tc>
        <w:tc>
          <w:tcPr>
            <w:tcW w:w="1200" w:type="dxa"/>
            <w:tcMar>
              <w:top w:w="30" w:type="dxa"/>
              <w:left w:w="60" w:type="dxa"/>
              <w:bottom w:w="30" w:type="dxa"/>
              <w:right w:w="60" w:type="dxa"/>
            </w:tcMar>
          </w:tcPr>
          <w:p w14:paraId="59F4A18F" w14:textId="77777777" w:rsidR="00E05E66" w:rsidRDefault="00000000">
            <w:pPr>
              <w:spacing w:after="0" w:line="240" w:lineRule="auto"/>
              <w:jc w:val="center"/>
            </w:pPr>
            <w:r>
              <w:rPr>
                <w:rFonts w:eastAsia="Times New Roman" w:cs="Times New Roman"/>
                <w:sz w:val="18"/>
                <w:szCs w:val="18"/>
              </w:rPr>
              <w:t>+19.1</w:t>
            </w:r>
          </w:p>
        </w:tc>
        <w:tc>
          <w:tcPr>
            <w:tcW w:w="1200" w:type="dxa"/>
            <w:tcMar>
              <w:top w:w="30" w:type="dxa"/>
              <w:left w:w="60" w:type="dxa"/>
              <w:bottom w:w="30" w:type="dxa"/>
              <w:right w:w="60" w:type="dxa"/>
            </w:tcMar>
          </w:tcPr>
          <w:p w14:paraId="18E6D054" w14:textId="77777777" w:rsidR="00E05E66" w:rsidRDefault="00000000">
            <w:pPr>
              <w:spacing w:after="0" w:line="240" w:lineRule="auto"/>
              <w:jc w:val="center"/>
            </w:pPr>
            <w:r>
              <w:rPr>
                <w:rFonts w:eastAsia="Times New Roman" w:cs="Times New Roman"/>
                <w:sz w:val="18"/>
                <w:szCs w:val="18"/>
              </w:rPr>
              <w:t>Partial erosion</w:t>
            </w:r>
          </w:p>
        </w:tc>
      </w:tr>
      <w:tr w:rsidR="00E05E66" w14:paraId="0206AE37" w14:textId="77777777">
        <w:tc>
          <w:tcPr>
            <w:tcW w:w="2200" w:type="dxa"/>
            <w:tcBorders>
              <w:bottom w:val="single" w:sz="1" w:space="0" w:color="000000"/>
            </w:tcBorders>
            <w:tcMar>
              <w:top w:w="30" w:type="dxa"/>
              <w:left w:w="60" w:type="dxa"/>
              <w:bottom w:w="30" w:type="dxa"/>
              <w:right w:w="60" w:type="dxa"/>
            </w:tcMar>
          </w:tcPr>
          <w:p w14:paraId="5D5FE4A3" w14:textId="77777777" w:rsidR="00E05E66" w:rsidRDefault="00000000">
            <w:pPr>
              <w:spacing w:after="0" w:line="240" w:lineRule="auto"/>
            </w:pPr>
            <w:r>
              <w:rPr>
                <w:rFonts w:eastAsia="Times New Roman" w:cs="Times New Roman"/>
                <w:sz w:val="18"/>
                <w:szCs w:val="18"/>
              </w:rPr>
              <w:t>is_house_brand</w:t>
            </w:r>
          </w:p>
        </w:tc>
        <w:tc>
          <w:tcPr>
            <w:tcW w:w="1300" w:type="dxa"/>
            <w:tcBorders>
              <w:bottom w:val="single" w:sz="1" w:space="0" w:color="000000"/>
            </w:tcBorders>
            <w:tcMar>
              <w:top w:w="30" w:type="dxa"/>
              <w:left w:w="60" w:type="dxa"/>
              <w:bottom w:w="30" w:type="dxa"/>
              <w:right w:w="60" w:type="dxa"/>
            </w:tcMar>
          </w:tcPr>
          <w:p w14:paraId="42D322C6" w14:textId="77777777" w:rsidR="00E05E66" w:rsidRDefault="00000000">
            <w:pPr>
              <w:spacing w:after="0" w:line="240" w:lineRule="auto"/>
              <w:jc w:val="center"/>
            </w:pPr>
            <w:r>
              <w:rPr>
                <w:rFonts w:eastAsia="Times New Roman" w:cs="Times New Roman"/>
                <w:sz w:val="18"/>
                <w:szCs w:val="18"/>
              </w:rPr>
              <w:t>−0.046</w:t>
            </w:r>
          </w:p>
        </w:tc>
        <w:tc>
          <w:tcPr>
            <w:tcW w:w="1300" w:type="dxa"/>
            <w:tcBorders>
              <w:bottom w:val="single" w:sz="1" w:space="0" w:color="000000"/>
            </w:tcBorders>
            <w:tcMar>
              <w:top w:w="30" w:type="dxa"/>
              <w:left w:w="60" w:type="dxa"/>
              <w:bottom w:w="30" w:type="dxa"/>
              <w:right w:w="60" w:type="dxa"/>
            </w:tcMar>
          </w:tcPr>
          <w:p w14:paraId="38E9CC70" w14:textId="77777777" w:rsidR="00E05E66" w:rsidRDefault="00000000">
            <w:pPr>
              <w:spacing w:after="0" w:line="240" w:lineRule="auto"/>
              <w:jc w:val="center"/>
            </w:pPr>
            <w:r>
              <w:rPr>
                <w:rFonts w:eastAsia="Times New Roman" w:cs="Times New Roman"/>
                <w:sz w:val="18"/>
                <w:szCs w:val="18"/>
              </w:rPr>
              <w:t>−0.266***</w:t>
            </w:r>
          </w:p>
        </w:tc>
        <w:tc>
          <w:tcPr>
            <w:tcW w:w="1200" w:type="dxa"/>
            <w:tcBorders>
              <w:bottom w:val="single" w:sz="1" w:space="0" w:color="000000"/>
            </w:tcBorders>
            <w:tcMar>
              <w:top w:w="30" w:type="dxa"/>
              <w:left w:w="60" w:type="dxa"/>
              <w:bottom w:w="30" w:type="dxa"/>
              <w:right w:w="60" w:type="dxa"/>
            </w:tcMar>
          </w:tcPr>
          <w:p w14:paraId="7C54BB9A" w14:textId="77777777" w:rsidR="00E05E66" w:rsidRDefault="00000000">
            <w:pPr>
              <w:spacing w:after="0" w:line="240" w:lineRule="auto"/>
              <w:jc w:val="center"/>
            </w:pPr>
            <w:r>
              <w:rPr>
                <w:rFonts w:eastAsia="Times New Roman" w:cs="Times New Roman"/>
                <w:sz w:val="18"/>
                <w:szCs w:val="18"/>
              </w:rPr>
              <w:t>+475.6</w:t>
            </w:r>
          </w:p>
        </w:tc>
        <w:tc>
          <w:tcPr>
            <w:tcW w:w="1200" w:type="dxa"/>
            <w:tcBorders>
              <w:bottom w:val="single" w:sz="1" w:space="0" w:color="000000"/>
            </w:tcBorders>
            <w:tcMar>
              <w:top w:w="30" w:type="dxa"/>
              <w:left w:w="60" w:type="dxa"/>
              <w:bottom w:w="30" w:type="dxa"/>
              <w:right w:w="60" w:type="dxa"/>
            </w:tcMar>
          </w:tcPr>
          <w:p w14:paraId="59ADF7C2" w14:textId="77777777" w:rsidR="00E05E66" w:rsidRDefault="00000000">
            <w:pPr>
              <w:spacing w:after="0" w:line="240" w:lineRule="auto"/>
              <w:jc w:val="center"/>
            </w:pPr>
            <w:r>
              <w:rPr>
                <w:rFonts w:eastAsia="Times New Roman" w:cs="Times New Roman"/>
                <w:sz w:val="18"/>
                <w:szCs w:val="18"/>
              </w:rPr>
              <w:t>Amplified</w:t>
            </w:r>
          </w:p>
        </w:tc>
      </w:tr>
    </w:tbl>
    <w:p w14:paraId="55561433" w14:textId="77777777" w:rsidR="00E05E66" w:rsidRDefault="00000000">
      <w:pPr>
        <w:spacing w:before="60" w:after="200"/>
      </w:pPr>
      <w:r>
        <w:rPr>
          <w:rFonts w:eastAsia="Times New Roman" w:cs="Times New Roman"/>
          <w:i/>
          <w:iCs/>
          <w:sz w:val="18"/>
          <w:szCs w:val="18"/>
        </w:rPr>
        <w:t>Note: *** p &lt; 0.001. Erosion = (β_marked − β_final) / β_marked × 100. Positive = premium shrinks at checkout; negative = premium grows.</w:t>
      </w:r>
    </w:p>
    <w:p w14:paraId="6251C66A" w14:textId="77777777" w:rsidR="00E05E66" w:rsidRDefault="00000000">
      <w:pPr>
        <w:jc w:val="both"/>
      </w:pPr>
      <w:r>
        <w:rPr>
          <w:rFonts w:eastAsia="Times New Roman" w:cs="Times New Roman"/>
          <w:i/>
          <w:iCs/>
          <w:sz w:val="24"/>
          <w:szCs w:val="24"/>
        </w:rPr>
        <w:t>Price-tier stability.</w:t>
      </w:r>
      <w:r>
        <w:rPr>
          <w:rFonts w:eastAsia="Times New Roman" w:cs="Times New Roman"/>
          <w:sz w:val="24"/>
          <w:szCs w:val="24"/>
        </w:rPr>
        <w:t xml:space="preserve"> The is_premium coefficient increases marginally from +0.429 to +0.436, producing an erosion of negative 1.7 percent. Premium-tier positioning not only survives the promotional pipeline but strengthens very slightly at checkout: promotional pricing does not erode the premium that consumers pay for products occupying the top pricing tier within their subcategory.</w:t>
      </w:r>
    </w:p>
    <w:p w14:paraId="7635B1D6" w14:textId="77777777" w:rsidR="00E05E66" w:rsidRDefault="00000000">
      <w:pPr>
        <w:jc w:val="both"/>
      </w:pPr>
      <w:r>
        <w:rPr>
          <w:rFonts w:eastAsia="Times New Roman" w:cs="Times New Roman"/>
          <w:i/>
          <w:iCs/>
          <w:sz w:val="24"/>
          <w:szCs w:val="24"/>
        </w:rPr>
        <w:t>Brand-name erosion.</w:t>
      </w:r>
      <w:r>
        <w:rPr>
          <w:rFonts w:eastAsia="Times New Roman" w:cs="Times New Roman"/>
          <w:sz w:val="24"/>
          <w:szCs w:val="24"/>
        </w:rPr>
        <w:t xml:space="preserve"> The is_branded coefficient declines from +0.022 to +0.011, yielding an erosion of 50.6 percent. Neither coefficient is individually significant, but the directional pattern is clear: the marginal brand-name advantage is halved at checkout. Together with the price-tier stability finding, this demonstrates that the promotional system differentiates between brand dimensions, it preserves price-tier premiums while eroding brand-name premiums.</w:t>
      </w:r>
    </w:p>
    <w:p w14:paraId="04F45D13" w14:textId="77777777" w:rsidR="00E05E66" w:rsidRDefault="00000000">
      <w:pPr>
        <w:jc w:val="both"/>
      </w:pPr>
      <w:r>
        <w:rPr>
          <w:rFonts w:eastAsia="Times New Roman" w:cs="Times New Roman"/>
          <w:i/>
          <w:iCs/>
          <w:sz w:val="24"/>
          <w:szCs w:val="24"/>
        </w:rPr>
        <w:t>High-recognition deepening.</w:t>
      </w:r>
      <w:r>
        <w:rPr>
          <w:rFonts w:eastAsia="Times New Roman" w:cs="Times New Roman"/>
          <w:sz w:val="24"/>
          <w:szCs w:val="24"/>
        </w:rPr>
        <w:t xml:space="preserve"> The Household Giant discount deepens from −0.255 to −0.266 (erosion = 4.3 percent), consistent with these brands functioning as traffic-driving instruments whose promotional intensity increases at the point of sale.</w:t>
      </w:r>
    </w:p>
    <w:p w14:paraId="2DA35ED2" w14:textId="77777777" w:rsidR="00E05E66" w:rsidRDefault="00000000">
      <w:pPr>
        <w:jc w:val="both"/>
      </w:pPr>
      <w:r>
        <w:rPr>
          <w:rFonts w:eastAsia="Times New Roman" w:cs="Times New Roman"/>
          <w:i/>
          <w:iCs/>
          <w:sz w:val="24"/>
          <w:szCs w:val="24"/>
        </w:rPr>
        <w:t>Import erosion.</w:t>
      </w:r>
      <w:r>
        <w:rPr>
          <w:rFonts w:eastAsia="Times New Roman" w:cs="Times New Roman"/>
          <w:sz w:val="24"/>
          <w:szCs w:val="24"/>
        </w:rPr>
        <w:t xml:space="preserve"> The import premium declines from +0.144 to +0.117, a partial erosion of 19.1 percent. Neither coefficient is individually significant in the pooled model, so this is a directional finding.</w:t>
      </w:r>
    </w:p>
    <w:p w14:paraId="6F796B9D" w14:textId="77777777" w:rsidR="00E05E66" w:rsidRDefault="00000000">
      <w:pPr>
        <w:jc w:val="both"/>
      </w:pPr>
      <w:r>
        <w:rPr>
          <w:rFonts w:eastAsia="Times New Roman" w:cs="Times New Roman"/>
          <w:i/>
          <w:iCs/>
          <w:sz w:val="24"/>
          <w:szCs w:val="24"/>
        </w:rPr>
        <w:t>House-brand amplification.</w:t>
      </w:r>
      <w:r>
        <w:rPr>
          <w:rFonts w:eastAsia="Times New Roman" w:cs="Times New Roman"/>
          <w:sz w:val="24"/>
          <w:szCs w:val="24"/>
        </w:rPr>
        <w:t xml:space="preserve"> WinEco’s sticker-price discount is −4.6 percent (not significant), while its checkout discount widens to −26.6 percent (p &lt; 0.001). On the shelf, WinEco products are priced at near-parity with competing brands; at checkout, deep promotional discounts transform WinEco into a heavily discounted alternative. The 476 percent amplification is the most extreme promotional strategy in the dataset, consistent with the private-label literature on sophisticated house brands that compete on value at checkout without undermining shelf-level positioning.</w:t>
      </w:r>
    </w:p>
    <w:p w14:paraId="20225143" w14:textId="77777777" w:rsidR="00E05E66" w:rsidRDefault="00000000">
      <w:pPr>
        <w:jc w:val="both"/>
      </w:pPr>
      <w:r>
        <w:rPr>
          <w:rFonts w:eastAsia="Times New Roman" w:cs="Times New Roman"/>
          <w:i/>
          <w:iCs/>
          <w:sz w:val="24"/>
          <w:szCs w:val="24"/>
        </w:rPr>
        <w:lastRenderedPageBreak/>
        <w:t>Physical and credence attributes.</w:t>
      </w:r>
      <w:r>
        <w:rPr>
          <w:rFonts w:eastAsia="Times New Roman" w:cs="Times New Roman"/>
          <w:sz w:val="24"/>
          <w:szCs w:val="24"/>
        </w:rPr>
        <w:t xml:space="preserve"> Pack-size erosion is 2.8 percent. Health-claim premiums grow at checkout (erosion = −13.3 percent), consistent with credence attributes being resilient to discounting. None of these changes are statistically significant.</w:t>
      </w:r>
    </w:p>
    <w:p w14:paraId="5F94281E" w14:textId="77777777" w:rsidR="00E05E66" w:rsidRDefault="00000000">
      <w:pPr>
        <w:spacing w:before="120" w:after="60"/>
        <w:jc w:val="center"/>
      </w:pPr>
      <w:r>
        <w:rPr>
          <w:noProof/>
        </w:rPr>
        <w:drawing>
          <wp:inline distT="0" distB="0" distL="0" distR="0" wp14:anchorId="5457CAE0" wp14:editId="470EDFF2">
            <wp:extent cx="5305425" cy="2838450"/>
            <wp:effectExtent l="0" t="0" r="0" b="0"/>
            <wp:docPr id="4" name="fig"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3"/>
                    <a:srcRect/>
                    <a:stretch>
                      <a:fillRect/>
                    </a:stretch>
                  </pic:blipFill>
                  <pic:spPr bwMode="auto">
                    <a:xfrm>
                      <a:off x="0" y="0"/>
                      <a:ext cx="5305425" cy="2838450"/>
                    </a:xfrm>
                    <a:prstGeom prst="rect">
                      <a:avLst/>
                    </a:prstGeom>
                  </pic:spPr>
                </pic:pic>
              </a:graphicData>
            </a:graphic>
          </wp:inline>
        </w:drawing>
      </w:r>
    </w:p>
    <w:p w14:paraId="51D3EA41" w14:textId="77777777" w:rsidR="00E05E66" w:rsidRDefault="00000000">
      <w:pPr>
        <w:spacing w:before="60" w:after="240"/>
        <w:jc w:val="center"/>
      </w:pPr>
      <w:r>
        <w:rPr>
          <w:rFonts w:eastAsia="Times New Roman" w:cs="Times New Roman"/>
          <w:i/>
          <w:iCs/>
          <w:sz w:val="20"/>
          <w:szCs w:val="20"/>
        </w:rPr>
        <w:t>Figure 4.3: Promotional erosion by attribute. Positive values (red) indicate that the premium shrinks at checkout; negative values (blue) indicate that the premium grows. The House Brand (WinEco) axis is broken after 100%; the bar resumes near 475% so the other attributes remain readable on the main scale.</w:t>
      </w:r>
    </w:p>
    <w:p w14:paraId="49CE93E8" w14:textId="77777777" w:rsidR="00E05E66" w:rsidRDefault="00000000">
      <w:pPr>
        <w:pStyle w:val="Heading2"/>
        <w:spacing w:before="360" w:after="180"/>
      </w:pPr>
      <w:r>
        <w:rPr>
          <w:rFonts w:ascii="Times New Roman" w:eastAsia="Times New Roman" w:hAnsi="Times New Roman" w:cs="Times New Roman"/>
          <w:sz w:val="26"/>
        </w:rPr>
        <w:t>4.7 Diagnostics and Robustness</w:t>
      </w:r>
    </w:p>
    <w:p w14:paraId="150D1263" w14:textId="77777777" w:rsidR="00E05E66" w:rsidRDefault="00000000">
      <w:pPr>
        <w:spacing w:before="200" w:after="80"/>
        <w:jc w:val="center"/>
      </w:pPr>
      <w:r>
        <w:rPr>
          <w:rFonts w:eastAsia="Times New Roman" w:cs="Times New Roman"/>
          <w:b/>
          <w:bCs/>
          <w:sz w:val="20"/>
          <w:szCs w:val="20"/>
        </w:rPr>
        <w:t>Table 4.6: Variance Inflation Factors</w:t>
      </w: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2000"/>
      </w:tblGrid>
      <w:tr w:rsidR="00E05E66" w14:paraId="5FBF0118" w14:textId="77777777">
        <w:tc>
          <w:tcPr>
            <w:tcW w:w="3500" w:type="dxa"/>
            <w:tcBorders>
              <w:top w:val="single" w:sz="1" w:space="0" w:color="000000"/>
              <w:bottom w:val="single" w:sz="1" w:space="0" w:color="000000"/>
            </w:tcBorders>
            <w:shd w:val="clear" w:color="auto" w:fill="D9E2F3"/>
            <w:tcMar>
              <w:top w:w="30" w:type="dxa"/>
              <w:left w:w="60" w:type="dxa"/>
              <w:bottom w:w="30" w:type="dxa"/>
              <w:right w:w="60" w:type="dxa"/>
            </w:tcMar>
          </w:tcPr>
          <w:p w14:paraId="3187110B" w14:textId="77777777" w:rsidR="00E05E66" w:rsidRDefault="00000000">
            <w:pPr>
              <w:spacing w:after="0" w:line="240" w:lineRule="auto"/>
            </w:pPr>
            <w:r>
              <w:rPr>
                <w:rFonts w:eastAsia="Times New Roman" w:cs="Times New Roman"/>
                <w:b/>
                <w:bCs/>
                <w:sz w:val="18"/>
                <w:szCs w:val="18"/>
              </w:rPr>
              <w:t>Feature</w:t>
            </w:r>
          </w:p>
        </w:tc>
        <w:tc>
          <w:tcPr>
            <w:tcW w:w="2000" w:type="dxa"/>
            <w:tcBorders>
              <w:top w:val="single" w:sz="1" w:space="0" w:color="000000"/>
              <w:bottom w:val="single" w:sz="1" w:space="0" w:color="000000"/>
            </w:tcBorders>
            <w:shd w:val="clear" w:color="auto" w:fill="D9E2F3"/>
            <w:tcMar>
              <w:top w:w="30" w:type="dxa"/>
              <w:left w:w="60" w:type="dxa"/>
              <w:bottom w:w="30" w:type="dxa"/>
              <w:right w:w="60" w:type="dxa"/>
            </w:tcMar>
          </w:tcPr>
          <w:p w14:paraId="25A5ABDD" w14:textId="77777777" w:rsidR="00E05E66" w:rsidRDefault="00000000">
            <w:pPr>
              <w:spacing w:after="0" w:line="240" w:lineRule="auto"/>
              <w:jc w:val="center"/>
            </w:pPr>
            <w:r>
              <w:rPr>
                <w:rFonts w:eastAsia="Times New Roman" w:cs="Times New Roman"/>
                <w:b/>
                <w:bCs/>
                <w:sz w:val="18"/>
                <w:szCs w:val="18"/>
              </w:rPr>
              <w:t>VIF</w:t>
            </w:r>
          </w:p>
        </w:tc>
      </w:tr>
      <w:tr w:rsidR="00E05E66" w14:paraId="44B5939D" w14:textId="77777777">
        <w:tc>
          <w:tcPr>
            <w:tcW w:w="3500" w:type="dxa"/>
            <w:tcMar>
              <w:top w:w="30" w:type="dxa"/>
              <w:left w:w="60" w:type="dxa"/>
              <w:bottom w:w="30" w:type="dxa"/>
              <w:right w:w="60" w:type="dxa"/>
            </w:tcMar>
          </w:tcPr>
          <w:p w14:paraId="3D99DE52" w14:textId="77777777" w:rsidR="00E05E66" w:rsidRDefault="00000000">
            <w:pPr>
              <w:spacing w:after="0" w:line="240" w:lineRule="auto"/>
            </w:pPr>
            <w:r>
              <w:rPr>
                <w:rFonts w:eastAsia="Times New Roman" w:cs="Times New Roman"/>
                <w:sz w:val="18"/>
                <w:szCs w:val="18"/>
              </w:rPr>
              <w:t>is_branded</w:t>
            </w:r>
          </w:p>
        </w:tc>
        <w:tc>
          <w:tcPr>
            <w:tcW w:w="2000" w:type="dxa"/>
            <w:tcMar>
              <w:top w:w="30" w:type="dxa"/>
              <w:left w:w="60" w:type="dxa"/>
              <w:bottom w:w="30" w:type="dxa"/>
              <w:right w:w="60" w:type="dxa"/>
            </w:tcMar>
          </w:tcPr>
          <w:p w14:paraId="52F2B925" w14:textId="77777777" w:rsidR="00E05E66" w:rsidRDefault="00000000">
            <w:pPr>
              <w:spacing w:after="0" w:line="240" w:lineRule="auto"/>
              <w:jc w:val="center"/>
            </w:pPr>
            <w:r>
              <w:rPr>
                <w:rFonts w:eastAsia="Times New Roman" w:cs="Times New Roman"/>
                <w:sz w:val="18"/>
                <w:szCs w:val="18"/>
              </w:rPr>
              <w:t>1.54</w:t>
            </w:r>
          </w:p>
        </w:tc>
      </w:tr>
      <w:tr w:rsidR="00E05E66" w14:paraId="72119CF5" w14:textId="77777777">
        <w:tc>
          <w:tcPr>
            <w:tcW w:w="3500" w:type="dxa"/>
            <w:tcMar>
              <w:top w:w="30" w:type="dxa"/>
              <w:left w:w="60" w:type="dxa"/>
              <w:bottom w:w="30" w:type="dxa"/>
              <w:right w:w="60" w:type="dxa"/>
            </w:tcMar>
          </w:tcPr>
          <w:p w14:paraId="04ECB958" w14:textId="77777777" w:rsidR="00E05E66" w:rsidRDefault="00000000">
            <w:pPr>
              <w:spacing w:after="0" w:line="240" w:lineRule="auto"/>
            </w:pPr>
            <w:r>
              <w:rPr>
                <w:rFonts w:eastAsia="Times New Roman" w:cs="Times New Roman"/>
                <w:sz w:val="18"/>
                <w:szCs w:val="18"/>
              </w:rPr>
              <w:t>name_length</w:t>
            </w:r>
          </w:p>
        </w:tc>
        <w:tc>
          <w:tcPr>
            <w:tcW w:w="2000" w:type="dxa"/>
            <w:tcMar>
              <w:top w:w="30" w:type="dxa"/>
              <w:left w:w="60" w:type="dxa"/>
              <w:bottom w:w="30" w:type="dxa"/>
              <w:right w:w="60" w:type="dxa"/>
            </w:tcMar>
          </w:tcPr>
          <w:p w14:paraId="088F0724" w14:textId="77777777" w:rsidR="00E05E66" w:rsidRDefault="00000000">
            <w:pPr>
              <w:spacing w:after="0" w:line="240" w:lineRule="auto"/>
              <w:jc w:val="center"/>
            </w:pPr>
            <w:r>
              <w:rPr>
                <w:rFonts w:eastAsia="Times New Roman" w:cs="Times New Roman"/>
                <w:sz w:val="18"/>
                <w:szCs w:val="18"/>
              </w:rPr>
              <w:t>1.42</w:t>
            </w:r>
          </w:p>
        </w:tc>
      </w:tr>
      <w:tr w:rsidR="00E05E66" w14:paraId="2C1ACB88" w14:textId="77777777">
        <w:tc>
          <w:tcPr>
            <w:tcW w:w="3500" w:type="dxa"/>
            <w:tcMar>
              <w:top w:w="30" w:type="dxa"/>
              <w:left w:w="60" w:type="dxa"/>
              <w:bottom w:w="30" w:type="dxa"/>
              <w:right w:w="60" w:type="dxa"/>
            </w:tcMar>
          </w:tcPr>
          <w:p w14:paraId="28BF5BA4" w14:textId="77777777" w:rsidR="00E05E66" w:rsidRDefault="00000000">
            <w:pPr>
              <w:spacing w:after="0" w:line="240" w:lineRule="auto"/>
            </w:pPr>
            <w:r>
              <w:rPr>
                <w:rFonts w:eastAsia="Times New Roman" w:cs="Times New Roman"/>
                <w:sz w:val="18"/>
                <w:szCs w:val="18"/>
              </w:rPr>
              <w:t>is_high_recognition</w:t>
            </w:r>
          </w:p>
        </w:tc>
        <w:tc>
          <w:tcPr>
            <w:tcW w:w="2000" w:type="dxa"/>
            <w:tcMar>
              <w:top w:w="30" w:type="dxa"/>
              <w:left w:w="60" w:type="dxa"/>
              <w:bottom w:w="30" w:type="dxa"/>
              <w:right w:w="60" w:type="dxa"/>
            </w:tcMar>
          </w:tcPr>
          <w:p w14:paraId="502B66FD" w14:textId="77777777" w:rsidR="00E05E66" w:rsidRDefault="00000000">
            <w:pPr>
              <w:spacing w:after="0" w:line="240" w:lineRule="auto"/>
              <w:jc w:val="center"/>
            </w:pPr>
            <w:r>
              <w:rPr>
                <w:rFonts w:eastAsia="Times New Roman" w:cs="Times New Roman"/>
                <w:sz w:val="18"/>
                <w:szCs w:val="18"/>
              </w:rPr>
              <w:t>1.36</w:t>
            </w:r>
          </w:p>
        </w:tc>
      </w:tr>
      <w:tr w:rsidR="00E05E66" w14:paraId="76135384" w14:textId="77777777">
        <w:tc>
          <w:tcPr>
            <w:tcW w:w="3500" w:type="dxa"/>
            <w:tcMar>
              <w:top w:w="30" w:type="dxa"/>
              <w:left w:w="60" w:type="dxa"/>
              <w:bottom w:w="30" w:type="dxa"/>
              <w:right w:w="60" w:type="dxa"/>
            </w:tcMar>
          </w:tcPr>
          <w:p w14:paraId="1AFEEF29" w14:textId="77777777" w:rsidR="00E05E66" w:rsidRDefault="00000000">
            <w:pPr>
              <w:spacing w:after="0" w:line="240" w:lineRule="auto"/>
            </w:pPr>
            <w:r>
              <w:rPr>
                <w:rFonts w:eastAsia="Times New Roman" w:cs="Times New Roman"/>
                <w:sz w:val="18"/>
                <w:szCs w:val="18"/>
              </w:rPr>
              <w:t>pack_count</w:t>
            </w:r>
          </w:p>
        </w:tc>
        <w:tc>
          <w:tcPr>
            <w:tcW w:w="2000" w:type="dxa"/>
            <w:tcMar>
              <w:top w:w="30" w:type="dxa"/>
              <w:left w:w="60" w:type="dxa"/>
              <w:bottom w:w="30" w:type="dxa"/>
              <w:right w:w="60" w:type="dxa"/>
            </w:tcMar>
          </w:tcPr>
          <w:p w14:paraId="4129A7B3" w14:textId="77777777" w:rsidR="00E05E66" w:rsidRDefault="00000000">
            <w:pPr>
              <w:spacing w:after="0" w:line="240" w:lineRule="auto"/>
              <w:jc w:val="center"/>
            </w:pPr>
            <w:r>
              <w:rPr>
                <w:rFonts w:eastAsia="Times New Roman" w:cs="Times New Roman"/>
                <w:sz w:val="18"/>
                <w:szCs w:val="18"/>
              </w:rPr>
              <w:t>1.20</w:t>
            </w:r>
          </w:p>
        </w:tc>
      </w:tr>
      <w:tr w:rsidR="00E05E66" w14:paraId="55E3372D" w14:textId="77777777">
        <w:tc>
          <w:tcPr>
            <w:tcW w:w="3500" w:type="dxa"/>
            <w:tcMar>
              <w:top w:w="30" w:type="dxa"/>
              <w:left w:w="60" w:type="dxa"/>
              <w:bottom w:w="30" w:type="dxa"/>
              <w:right w:w="60" w:type="dxa"/>
            </w:tcMar>
          </w:tcPr>
          <w:p w14:paraId="5E77F8D2" w14:textId="77777777" w:rsidR="00E05E66" w:rsidRDefault="00000000">
            <w:pPr>
              <w:spacing w:after="0" w:line="240" w:lineRule="auto"/>
            </w:pPr>
            <w:r>
              <w:rPr>
                <w:rFonts w:eastAsia="Times New Roman" w:cs="Times New Roman"/>
                <w:sz w:val="18"/>
                <w:szCs w:val="18"/>
              </w:rPr>
              <w:t>is_premium</w:t>
            </w:r>
          </w:p>
        </w:tc>
        <w:tc>
          <w:tcPr>
            <w:tcW w:w="2000" w:type="dxa"/>
            <w:tcMar>
              <w:top w:w="30" w:type="dxa"/>
              <w:left w:w="60" w:type="dxa"/>
              <w:bottom w:w="30" w:type="dxa"/>
              <w:right w:w="60" w:type="dxa"/>
            </w:tcMar>
          </w:tcPr>
          <w:p w14:paraId="3B917285" w14:textId="77777777" w:rsidR="00E05E66" w:rsidRDefault="00000000">
            <w:pPr>
              <w:spacing w:after="0" w:line="240" w:lineRule="auto"/>
              <w:jc w:val="center"/>
            </w:pPr>
            <w:r>
              <w:rPr>
                <w:rFonts w:eastAsia="Times New Roman" w:cs="Times New Roman"/>
                <w:sz w:val="18"/>
                <w:szCs w:val="18"/>
              </w:rPr>
              <w:t>1.17</w:t>
            </w:r>
          </w:p>
        </w:tc>
      </w:tr>
      <w:tr w:rsidR="00E05E66" w14:paraId="16BD73F8" w14:textId="77777777">
        <w:tc>
          <w:tcPr>
            <w:tcW w:w="3500" w:type="dxa"/>
            <w:tcMar>
              <w:top w:w="30" w:type="dxa"/>
              <w:left w:w="60" w:type="dxa"/>
              <w:bottom w:w="30" w:type="dxa"/>
              <w:right w:w="60" w:type="dxa"/>
            </w:tcMar>
          </w:tcPr>
          <w:p w14:paraId="08C8918B" w14:textId="77777777" w:rsidR="00E05E66" w:rsidRDefault="00000000">
            <w:pPr>
              <w:spacing w:after="0" w:line="240" w:lineRule="auto"/>
            </w:pPr>
            <w:r>
              <w:rPr>
                <w:rFonts w:eastAsia="Times New Roman" w:cs="Times New Roman"/>
                <w:sz w:val="18"/>
                <w:szCs w:val="18"/>
              </w:rPr>
              <w:t>has_freshness_claim</w:t>
            </w:r>
          </w:p>
        </w:tc>
        <w:tc>
          <w:tcPr>
            <w:tcW w:w="2000" w:type="dxa"/>
            <w:tcMar>
              <w:top w:w="30" w:type="dxa"/>
              <w:left w:w="60" w:type="dxa"/>
              <w:bottom w:w="30" w:type="dxa"/>
              <w:right w:w="60" w:type="dxa"/>
            </w:tcMar>
          </w:tcPr>
          <w:p w14:paraId="11842CF5" w14:textId="77777777" w:rsidR="00E05E66" w:rsidRDefault="00000000">
            <w:pPr>
              <w:spacing w:after="0" w:line="240" w:lineRule="auto"/>
              <w:jc w:val="center"/>
            </w:pPr>
            <w:r>
              <w:rPr>
                <w:rFonts w:eastAsia="Times New Roman" w:cs="Times New Roman"/>
                <w:sz w:val="18"/>
                <w:szCs w:val="18"/>
              </w:rPr>
              <w:t>1.10</w:t>
            </w:r>
          </w:p>
        </w:tc>
      </w:tr>
      <w:tr w:rsidR="00E05E66" w14:paraId="4CF9B893" w14:textId="77777777">
        <w:tc>
          <w:tcPr>
            <w:tcW w:w="3500" w:type="dxa"/>
            <w:tcMar>
              <w:top w:w="30" w:type="dxa"/>
              <w:left w:w="60" w:type="dxa"/>
              <w:bottom w:w="30" w:type="dxa"/>
              <w:right w:w="60" w:type="dxa"/>
            </w:tcMar>
          </w:tcPr>
          <w:p w14:paraId="7D16B713" w14:textId="77777777" w:rsidR="00E05E66" w:rsidRDefault="00000000">
            <w:pPr>
              <w:spacing w:after="0" w:line="240" w:lineRule="auto"/>
            </w:pPr>
            <w:r>
              <w:rPr>
                <w:rFonts w:eastAsia="Times New Roman" w:cs="Times New Roman"/>
                <w:sz w:val="18"/>
                <w:szCs w:val="18"/>
              </w:rPr>
              <w:t>ln_pack_size</w:t>
            </w:r>
          </w:p>
        </w:tc>
        <w:tc>
          <w:tcPr>
            <w:tcW w:w="2000" w:type="dxa"/>
            <w:tcMar>
              <w:top w:w="30" w:type="dxa"/>
              <w:left w:w="60" w:type="dxa"/>
              <w:bottom w:w="30" w:type="dxa"/>
              <w:right w:w="60" w:type="dxa"/>
            </w:tcMar>
          </w:tcPr>
          <w:p w14:paraId="6B7A46C4" w14:textId="77777777" w:rsidR="00E05E66" w:rsidRDefault="00000000">
            <w:pPr>
              <w:spacing w:after="0" w:line="240" w:lineRule="auto"/>
              <w:jc w:val="center"/>
            </w:pPr>
            <w:r>
              <w:rPr>
                <w:rFonts w:eastAsia="Times New Roman" w:cs="Times New Roman"/>
                <w:sz w:val="18"/>
                <w:szCs w:val="18"/>
              </w:rPr>
              <w:t>1.08</w:t>
            </w:r>
          </w:p>
        </w:tc>
      </w:tr>
      <w:tr w:rsidR="00E05E66" w14:paraId="05A6D028" w14:textId="77777777">
        <w:tc>
          <w:tcPr>
            <w:tcW w:w="3500" w:type="dxa"/>
            <w:tcMar>
              <w:top w:w="30" w:type="dxa"/>
              <w:left w:w="60" w:type="dxa"/>
              <w:bottom w:w="30" w:type="dxa"/>
              <w:right w:w="60" w:type="dxa"/>
            </w:tcMar>
          </w:tcPr>
          <w:p w14:paraId="232AC47C" w14:textId="77777777" w:rsidR="00E05E66" w:rsidRDefault="00000000">
            <w:pPr>
              <w:spacing w:after="0" w:line="240" w:lineRule="auto"/>
            </w:pPr>
            <w:r>
              <w:rPr>
                <w:rFonts w:eastAsia="Times New Roman" w:cs="Times New Roman"/>
                <w:sz w:val="18"/>
                <w:szCs w:val="18"/>
              </w:rPr>
              <w:t>has_health_claim</w:t>
            </w:r>
          </w:p>
        </w:tc>
        <w:tc>
          <w:tcPr>
            <w:tcW w:w="2000" w:type="dxa"/>
            <w:tcMar>
              <w:top w:w="30" w:type="dxa"/>
              <w:left w:w="60" w:type="dxa"/>
              <w:bottom w:w="30" w:type="dxa"/>
              <w:right w:w="60" w:type="dxa"/>
            </w:tcMar>
          </w:tcPr>
          <w:p w14:paraId="3AC07DCC" w14:textId="77777777" w:rsidR="00E05E66" w:rsidRDefault="00000000">
            <w:pPr>
              <w:spacing w:after="0" w:line="240" w:lineRule="auto"/>
              <w:jc w:val="center"/>
            </w:pPr>
            <w:r>
              <w:rPr>
                <w:rFonts w:eastAsia="Times New Roman" w:cs="Times New Roman"/>
                <w:sz w:val="18"/>
                <w:szCs w:val="18"/>
              </w:rPr>
              <w:t>1.08</w:t>
            </w:r>
          </w:p>
        </w:tc>
      </w:tr>
      <w:tr w:rsidR="00E05E66" w14:paraId="5E022F71" w14:textId="77777777">
        <w:tc>
          <w:tcPr>
            <w:tcW w:w="3500" w:type="dxa"/>
            <w:tcMar>
              <w:top w:w="30" w:type="dxa"/>
              <w:left w:w="60" w:type="dxa"/>
              <w:bottom w:w="30" w:type="dxa"/>
              <w:right w:w="60" w:type="dxa"/>
            </w:tcMar>
          </w:tcPr>
          <w:p w14:paraId="6B8C4839" w14:textId="77777777" w:rsidR="00E05E66" w:rsidRDefault="00000000">
            <w:pPr>
              <w:spacing w:after="0" w:line="240" w:lineRule="auto"/>
            </w:pPr>
            <w:r>
              <w:rPr>
                <w:rFonts w:eastAsia="Times New Roman" w:cs="Times New Roman"/>
                <w:sz w:val="18"/>
                <w:szCs w:val="18"/>
              </w:rPr>
              <w:t>is_import</w:t>
            </w:r>
          </w:p>
        </w:tc>
        <w:tc>
          <w:tcPr>
            <w:tcW w:w="2000" w:type="dxa"/>
            <w:tcMar>
              <w:top w:w="30" w:type="dxa"/>
              <w:left w:w="60" w:type="dxa"/>
              <w:bottom w:w="30" w:type="dxa"/>
              <w:right w:w="60" w:type="dxa"/>
            </w:tcMar>
          </w:tcPr>
          <w:p w14:paraId="7FBBADA9" w14:textId="77777777" w:rsidR="00E05E66" w:rsidRDefault="00000000">
            <w:pPr>
              <w:spacing w:after="0" w:line="240" w:lineRule="auto"/>
              <w:jc w:val="center"/>
            </w:pPr>
            <w:r>
              <w:rPr>
                <w:rFonts w:eastAsia="Times New Roman" w:cs="Times New Roman"/>
                <w:sz w:val="18"/>
                <w:szCs w:val="18"/>
              </w:rPr>
              <w:t>1.04</w:t>
            </w:r>
          </w:p>
        </w:tc>
      </w:tr>
      <w:tr w:rsidR="00E05E66" w14:paraId="38C4F42F" w14:textId="77777777">
        <w:tc>
          <w:tcPr>
            <w:tcW w:w="3500" w:type="dxa"/>
            <w:tcBorders>
              <w:bottom w:val="single" w:sz="1" w:space="0" w:color="000000"/>
            </w:tcBorders>
            <w:tcMar>
              <w:top w:w="30" w:type="dxa"/>
              <w:left w:w="60" w:type="dxa"/>
              <w:bottom w:w="30" w:type="dxa"/>
              <w:right w:w="60" w:type="dxa"/>
            </w:tcMar>
          </w:tcPr>
          <w:p w14:paraId="14E2F66B" w14:textId="77777777" w:rsidR="00E05E66" w:rsidRDefault="00000000">
            <w:pPr>
              <w:spacing w:after="0" w:line="240" w:lineRule="auto"/>
            </w:pPr>
            <w:r>
              <w:rPr>
                <w:rFonts w:eastAsia="Times New Roman" w:cs="Times New Roman"/>
                <w:sz w:val="18"/>
                <w:szCs w:val="18"/>
              </w:rPr>
              <w:t>is_house_brand</w:t>
            </w:r>
          </w:p>
        </w:tc>
        <w:tc>
          <w:tcPr>
            <w:tcW w:w="2000" w:type="dxa"/>
            <w:tcBorders>
              <w:bottom w:val="single" w:sz="1" w:space="0" w:color="000000"/>
            </w:tcBorders>
            <w:tcMar>
              <w:top w:w="30" w:type="dxa"/>
              <w:left w:w="60" w:type="dxa"/>
              <w:bottom w:w="30" w:type="dxa"/>
              <w:right w:w="60" w:type="dxa"/>
            </w:tcMar>
          </w:tcPr>
          <w:p w14:paraId="62141DB8" w14:textId="77777777" w:rsidR="00E05E66" w:rsidRDefault="00000000">
            <w:pPr>
              <w:spacing w:after="0" w:line="240" w:lineRule="auto"/>
              <w:jc w:val="center"/>
            </w:pPr>
            <w:r>
              <w:rPr>
                <w:rFonts w:eastAsia="Times New Roman" w:cs="Times New Roman"/>
                <w:sz w:val="18"/>
                <w:szCs w:val="18"/>
              </w:rPr>
              <w:t>1.03</w:t>
            </w:r>
          </w:p>
        </w:tc>
      </w:tr>
    </w:tbl>
    <w:p w14:paraId="76D88ED4" w14:textId="77777777" w:rsidR="00E05E66" w:rsidRDefault="00000000">
      <w:pPr>
        <w:spacing w:before="60" w:after="200"/>
      </w:pPr>
      <w:r>
        <w:rPr>
          <w:rFonts w:eastAsia="Times New Roman" w:cs="Times New Roman"/>
          <w:i/>
          <w:iCs/>
          <w:sz w:val="18"/>
          <w:szCs w:val="18"/>
        </w:rPr>
        <w:t>Note: All VIF values below 2.0, indicating no problematic multicollinearity despite the hierarchical brand encoding.</w:t>
      </w:r>
    </w:p>
    <w:p w14:paraId="6CEC6076" w14:textId="77777777" w:rsidR="00E05E66" w:rsidRDefault="00000000">
      <w:pPr>
        <w:jc w:val="both"/>
      </w:pPr>
      <w:r>
        <w:rPr>
          <w:rFonts w:eastAsia="Times New Roman" w:cs="Times New Roman"/>
          <w:i/>
          <w:iCs/>
          <w:sz w:val="24"/>
          <w:szCs w:val="24"/>
        </w:rPr>
        <w:lastRenderedPageBreak/>
        <w:t>Multicollinearity.</w:t>
      </w:r>
      <w:r>
        <w:rPr>
          <w:rFonts w:eastAsia="Times New Roman" w:cs="Times New Roman"/>
          <w:sz w:val="24"/>
          <w:szCs w:val="24"/>
        </w:rPr>
        <w:t xml:space="preserve"> All variance inflation factors lie below 2.0 (Table 4.6), with the maximum at 1.54 for is_branded. Despite the hierarchical encoding of brand dummies, there is no evidence of problematic collinearity; the three brand dimensions are separately identified.</w:t>
      </w:r>
    </w:p>
    <w:p w14:paraId="433D7C0A" w14:textId="77777777" w:rsidR="00E05E66" w:rsidRDefault="00000000">
      <w:pPr>
        <w:jc w:val="both"/>
      </w:pPr>
      <w:r>
        <w:rPr>
          <w:rFonts w:eastAsia="Times New Roman" w:cs="Times New Roman"/>
          <w:i/>
          <w:iCs/>
          <w:sz w:val="24"/>
          <w:szCs w:val="24"/>
        </w:rPr>
        <w:t>Heteroskedasticity.</w:t>
      </w:r>
      <w:r>
        <w:rPr>
          <w:rFonts w:eastAsia="Times New Roman" w:cs="Times New Roman"/>
          <w:sz w:val="24"/>
          <w:szCs w:val="24"/>
        </w:rPr>
        <w:t xml:space="preserve"> The Breusch–Pagan test decisively rejects the null of homoskedastic errors for both specifications (marked price: LM = 190.77, </w:t>
      </w:r>
      <w:r>
        <w:rPr>
          <w:rFonts w:eastAsia="Times New Roman" w:cs="Times New Roman"/>
          <w:i/>
          <w:sz w:val="24"/>
          <w:szCs w:val="24"/>
        </w:rPr>
        <w:t>p</w:t>
      </w:r>
      <w:r>
        <w:rPr>
          <w:rFonts w:eastAsia="Times New Roman" w:cs="Times New Roman"/>
          <w:sz w:val="24"/>
          <w:szCs w:val="24"/>
        </w:rPr>
        <w:t xml:space="preserve"> &lt; 0.001; final price: LM = 192.08, </w:t>
      </w:r>
      <w:r>
        <w:rPr>
          <w:rFonts w:eastAsia="Times New Roman" w:cs="Times New Roman"/>
          <w:i/>
          <w:sz w:val="24"/>
          <w:szCs w:val="24"/>
        </w:rPr>
        <w:t>p</w:t>
      </w:r>
      <w:r>
        <w:rPr>
          <w:rFonts w:eastAsia="Times New Roman" w:cs="Times New Roman"/>
          <w:sz w:val="24"/>
          <w:szCs w:val="24"/>
        </w:rPr>
        <w:t xml:space="preserve"> &lt; 0.001), which is expected given the wide within-subcategory price ranges in food data. Conventional standard errors would therefore be unreliable. Cluster-robust standard errors at the forty-subcategory level are used throughout, which simultaneously address the heteroskedasticity and the within-subcategory correlation structure induced by shared supplier relationships, competitive intensity, and promotional calendars within each subcategory. Cluster-robust inference does not alter any coefficient point estimate but widens several standard errors enough to move borderline coefficients (notably is_branded and is_import in the pooled specification) below conventional significance thresholds; this is the intended behavior and is the basis on which significance claims in Sections 4.4–4.6 should be read.</w:t>
      </w:r>
    </w:p>
    <w:p w14:paraId="28CC5823" w14:textId="77777777" w:rsidR="00E05E66" w:rsidRDefault="00000000">
      <w:pPr>
        <w:jc w:val="both"/>
      </w:pPr>
      <w:r>
        <w:rPr>
          <w:rFonts w:eastAsia="Times New Roman" w:cs="Times New Roman"/>
          <w:i/>
          <w:iCs/>
          <w:sz w:val="24"/>
          <w:szCs w:val="24"/>
        </w:rPr>
        <w:t>Partial F-tests.</w:t>
      </w:r>
      <w:r>
        <w:rPr>
          <w:rFonts w:eastAsia="Times New Roman" w:cs="Times New Roman"/>
          <w:sz w:val="24"/>
          <w:szCs w:val="24"/>
        </w:rPr>
        <w:t xml:space="preserve"> A partial F-test on the four-variable brand block (is_branded, is_premium, is_high_recognition, is_house_brand) yields F = 58.02, strongly rejecting joint insignificance even though is_branded on its own is insignificant in the pooled model. The three brand dimensions therefore carry meaningful joint explanatory power, which supports the hierarchical decomposition adopted in Section 3.4: the branded-versus-unbranded distinction on its own hides the price-tier and recognition effects that collectively drive the brand signal. The credence block (has_health_claim, has_freshness_claim) returns F = 0.54, consistent with credence premiums being concentrated in a small number of categories (Spices most clearly) rather than operating pooled across the full food basket; this is the statistical counterpart to the per-category heterogeneity documented in Section 4.5.</w:t>
      </w:r>
    </w:p>
    <w:p w14:paraId="425DFBA6" w14:textId="77777777" w:rsidR="00E05E66" w:rsidRDefault="00000000">
      <w:pPr>
        <w:jc w:val="both"/>
      </w:pPr>
      <w:r>
        <w:rPr>
          <w:rFonts w:eastAsia="Times New Roman" w:cs="Times New Roman"/>
          <w:i/>
          <w:iCs/>
          <w:sz w:val="24"/>
          <w:szCs w:val="24"/>
        </w:rPr>
        <w:t>Influence diagnostics.</w:t>
      </w:r>
      <w:r>
        <w:rPr>
          <w:rFonts w:eastAsia="Times New Roman" w:cs="Times New Roman"/>
          <w:sz w:val="24"/>
          <w:szCs w:val="24"/>
        </w:rPr>
        <w:t xml:space="preserve"> Cook’s distance was computed for each of the 2,066 products in the final-price regression sample. Using the standard 4/</w:t>
      </w:r>
      <w:r>
        <w:rPr>
          <w:rFonts w:eastAsia="Times New Roman" w:cs="Times New Roman"/>
          <w:i/>
          <w:sz w:val="24"/>
          <w:szCs w:val="24"/>
        </w:rPr>
        <w:t>n</w:t>
      </w:r>
      <w:r>
        <w:rPr>
          <w:rFonts w:eastAsia="Times New Roman" w:cs="Times New Roman"/>
          <w:sz w:val="24"/>
          <w:szCs w:val="24"/>
        </w:rPr>
        <w:t xml:space="preserve"> threshold (0.00194 for this sample), 86 products (4.2% of the regression sample) exceed the threshold. The high-influence set is spread across categories rather than concentrated in any one subgroup, and </w:t>
        <w:lastRenderedPageBreak/>
        <w:t>refitting the model with these 86 observations dropped leaves every coefficient sign unchanged and shifts the point estimates by less than one standard error. The small-subgroup regressors (is_import, 98 products; is_house_brand, 21 products) are not over-represented in the high-influence set, so their coefficients are not driven by outlier leverage despite small group sizes. The full set of high-influence observations, and their corresponding attributes, is reported in Appendix C for transparency.</w:t>
      </w:r>
    </w:p>
    <w:p w14:paraId="2A8BED57" w14:textId="77777777" w:rsidR="00E05E66" w:rsidRDefault="00000000">
      <w:pPr>
        <w:jc w:val="both"/>
      </w:pPr>
      <w:r>
        <w:rPr>
          <w:rFonts w:eastAsia="Times New Roman" w:cs="Times New Roman"/>
          <w:i/>
          <w:iCs/>
          <w:sz w:val="24"/>
          <w:szCs w:val="24"/>
        </w:rPr>
        <w:t>Temporal stability.</w:t>
      </w:r>
      <w:r>
        <w:rPr>
          <w:rFonts w:eastAsia="Times New Roman" w:cs="Times New Roman"/>
          <w:sz w:val="24"/>
          <w:szCs w:val="24"/>
        </w:rPr>
        <w:t xml:space="preserve"> The pooled specification was re-estimated separately on the December 2025 (n = 1,314), January 2026 (n = 1,327), and February 2026 (n = 2,053) monthly snapshots. Adjusted R² remains essentially flat across the three months (0.669, 0.669, 0.658), and the three brand coefficients stay in the same sign and rough magnitude: is_premium moves from +0.440 in December to +0.460 in January and back to +0.439 in February; is_branded drifts from −0.095 (December) to −0.089 (January) to −0.006 (February); is_high_recognition stays tightly clustered at −0.290, −0.296, −0.291. The within-window drift is smaller than the cluster-robust standard errors reported in Table 4.3 for all three coefficients, so the pooled finding is not a seasonal artefact of the Tết period. The mild upward drift in is_branded across the three snapshots is consistent with the descriptive observation that promotion depth narrows slightly after Tết.</w:t>
      </w:r>
    </w:p>
    <w:p w14:paraId="551CFADF" w14:textId="77777777" w:rsidR="00E05E66" w:rsidRDefault="00000000">
      <w:pPr>
        <w:jc w:val="both"/>
      </w:pPr>
      <w:r>
        <w:rPr>
          <w:rFonts w:eastAsia="Times New Roman" w:cs="Times New Roman"/>
          <w:i/>
          <w:iCs/>
          <w:sz w:val="24"/>
          <w:szCs w:val="24"/>
        </w:rPr>
        <w:t>Price-tier endogeneity.</w:t>
      </w:r>
      <w:r>
        <w:rPr>
          <w:rFonts w:eastAsia="Times New Roman" w:cs="Times New Roman"/>
          <w:sz w:val="24"/>
          <w:szCs w:val="24"/>
        </w:rPr>
        <w:t xml:space="preserve"> The is_premium variable’s construction from price rank introduces a partial mechanical relationship with the dependent variable. Three design features mitigate this: is_premium captures ordinal rank rather than price level; the dependent variable is log price per standardized unit, different from the raw price used for the median; and results are stable across subcategories with widely varying thresholds. An instrumental-variable approach is noted as a direction for future research in Section 5.3.</w:t>
      </w:r>
    </w:p>
    <w:p w14:paraId="53D115CD" w14:textId="77777777" w:rsidR="00E05E66" w:rsidRDefault="00000000">
      <w:pPr>
        <w:spacing w:before="120" w:after="60"/>
        <w:jc w:val="center"/>
      </w:pPr>
      <w:r>
        <w:rPr>
          <w:noProof/>
        </w:rPr>
        <w:lastRenderedPageBreak/>
        <w:drawing>
          <wp:inline distT="0" distB="0" distL="0" distR="0" wp14:anchorId="20B22853" wp14:editId="6DC1B0B9">
            <wp:extent cx="4572000" cy="3295650"/>
            <wp:effectExtent l="0" t="0" r="0" b="0"/>
            <wp:docPr id="5" name="fig"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4"/>
                    <a:srcRect/>
                    <a:stretch>
                      <a:fillRect/>
                    </a:stretch>
                  </pic:blipFill>
                  <pic:spPr bwMode="auto">
                    <a:xfrm>
                      <a:off x="0" y="0"/>
                      <a:ext cx="4572000" cy="3295650"/>
                    </a:xfrm>
                    <a:prstGeom prst="rect">
                      <a:avLst/>
                    </a:prstGeom>
                  </pic:spPr>
                </pic:pic>
              </a:graphicData>
            </a:graphic>
          </wp:inline>
        </w:drawing>
      </w:r>
    </w:p>
    <w:p w14:paraId="173E3CAE" w14:textId="77777777" w:rsidR="00E05E66" w:rsidRDefault="00000000">
      <w:pPr>
        <w:spacing w:before="60" w:after="240"/>
        <w:jc w:val="center"/>
      </w:pPr>
      <w:r>
        <w:rPr>
          <w:rFonts w:eastAsia="Times New Roman" w:cs="Times New Roman"/>
          <w:i/>
          <w:iCs/>
          <w:sz w:val="20"/>
          <w:szCs w:val="20"/>
        </w:rPr>
        <w:t>Figure 4.4: Promotional penetration rate vs. brand premium in marked price, by category. Negative relationship suggests that categories with heavier promotion feature more aggressive Household Giant pricing.</w:t>
      </w:r>
    </w:p>
    <w:p w14:paraId="49AAA591" w14:textId="77777777" w:rsidR="00E05E66" w:rsidRDefault="00000000">
      <w:r>
        <w:br w:type="page"/>
      </w:r>
    </w:p>
    <w:p w14:paraId="329E9B05" w14:textId="77777777" w:rsidR="00E05E66" w:rsidRDefault="00000000">
      <w:pPr>
        <w:pStyle w:val="Heading1"/>
        <w:spacing w:before="240" w:after="120"/>
      </w:pPr>
      <w:r>
        <w:rPr>
          <w:rFonts w:ascii="Times New Roman" w:eastAsia="Times New Roman" w:hAnsi="Times New Roman" w:cs="Times New Roman"/>
          <w:szCs w:val="32"/>
        </w:rPr>
        <w:lastRenderedPageBreak/>
        <w:t>CHAPTER 5</w:t>
      </w:r>
    </w:p>
    <w:p w14:paraId="09ADE583" w14:textId="77777777" w:rsidR="00E05E66" w:rsidRDefault="00000000">
      <w:pPr>
        <w:pStyle w:val="Heading1"/>
        <w:spacing w:before="120"/>
      </w:pPr>
      <w:r>
        <w:rPr>
          <w:rFonts w:ascii="Times New Roman" w:eastAsia="Times New Roman" w:hAnsi="Times New Roman" w:cs="Times New Roman"/>
          <w:szCs w:val="32"/>
        </w:rPr>
        <w:t>CONCLUSIONS AND RECOMMENDATIONS</w:t>
      </w:r>
    </w:p>
    <w:p w14:paraId="6F4A8C22" w14:textId="77777777" w:rsidR="00E05E66" w:rsidRDefault="00000000">
      <w:pPr>
        <w:jc w:val="both"/>
      </w:pPr>
      <w:r>
        <w:rPr>
          <w:rFonts w:eastAsia="Times New Roman" w:cs="Times New Roman"/>
          <w:sz w:val="24"/>
          <w:szCs w:val="24"/>
        </w:rPr>
        <w:t>This chapter closes the thesis. A brief reminder of the context is useful before the discussion begins. The project was prompted by a concrete observation about Vietnamese online grocery pricing: near-equivalent food items on Winmart’s platform routinely carry markedly different prices, and most items display two prices simultaneously, a sticker (marked) price and a checkout (final) price, with the gap between them varying from category to category. That pattern raised two linked research questions: which product attributes generate price premiums in Vietnamese online grocery, and to what extent do promotional pricing strategies erode those premiums between sticker and checkout? The earlier chapters developed the hedonic framework, the dual-price design, the feature-extraction pipeline, and the per-category empirical evidence that together answer those questions. This chapter brings the pieces together. Section 5.1 discusses the substantive interpretation of the findings, Section 5.2 sets out the limitations, Section 5.3 states the conclusions, and Section 5.4 offers practical recommendations for consumers, businesses, public policy, and future research.</w:t>
      </w:r>
    </w:p>
    <w:p w14:paraId="19EEE160" w14:textId="77777777" w:rsidR="00E05E66" w:rsidRDefault="00E05E66">
      <w:pPr>
        <w:spacing w:after="60"/>
        <w:jc w:val="both"/>
      </w:pPr>
    </w:p>
    <w:p w14:paraId="7C48DE70" w14:textId="77777777" w:rsidR="00E05E66" w:rsidRDefault="00000000">
      <w:pPr>
        <w:pStyle w:val="Heading2"/>
        <w:spacing w:before="360" w:after="180"/>
      </w:pPr>
      <w:r>
        <w:rPr>
          <w:rFonts w:ascii="Times New Roman" w:eastAsia="Times New Roman" w:hAnsi="Times New Roman" w:cs="Times New Roman"/>
          <w:sz w:val="26"/>
        </w:rPr>
        <w:t>5.1  Discussion</w:t>
      </w:r>
    </w:p>
    <w:p w14:paraId="128A623B" w14:textId="77777777" w:rsidR="00E05E66" w:rsidRDefault="00000000">
      <w:pPr>
        <w:jc w:val="both"/>
      </w:pPr>
      <w:r>
        <w:rPr>
          <w:rFonts w:eastAsia="Times New Roman" w:cs="Times New Roman"/>
          <w:sz w:val="24"/>
          <w:szCs w:val="24"/>
        </w:rPr>
        <w:t xml:space="preserve">The first question the discussion must settle is why price-tier positioning produces the largest and most resilient attribute premium in the regression. The pattern admits a coherent economic interpretation. The is_premium coefficient of 0.43–0.44 log-points represents a 43–44 percent markup over non-premium branded products, and its near-zero erosion between marked and final prices (−1.7 percent) indicates that the retailer preserves this premium through the promotional cycle rather than discounting it away. This pattern is consistent with Varian’s (1997) versioning framework: a retailer serving consumers with heterogeneous willingness to pay has an economic interest in maintaining distinct price tiers, because the premium tier’s value to quality-seeking shoppers depends on its contrast with </w:t>
        <w:lastRenderedPageBreak/>
        <w:t>discounted alternatives. Discounting premium products would collapse the very signal that justifies premium margins.</w:t>
      </w:r>
    </w:p>
    <w:p w14:paraId="61E7285B" w14:textId="77777777" w:rsidR="00E05E66" w:rsidRDefault="00000000">
      <w:pPr>
        <w:jc w:val="both"/>
      </w:pPr>
      <w:r>
        <w:rPr>
          <w:rFonts w:eastAsia="Times New Roman" w:cs="Times New Roman"/>
          <w:sz w:val="24"/>
          <w:szCs w:val="24"/>
        </w:rPr>
        <w:t>Taken together with that versioning logic, premium positioning in this market reflects genuine product differentiation, higher-quality ingredients, imported inputs, specialized packaging, or niche brand identity, rather than a mere labelling effect. The retailer has little reason to erode these attributes through promotional pricing, since doing so would undermine its ability to extract premium margins from the segment of consumers who select products based on perceived quality rather than price alone. The near-zero erosion is therefore not incidental: it reflects a deliberate pricing discipline applied to the premium segment, and it is the mirror image of the brand-name behavior examined in the next paragraph.</w:t>
      </w:r>
    </w:p>
    <w:p w14:paraId="7C040A5D" w14:textId="77777777" w:rsidR="00E05E66" w:rsidRDefault="00000000">
      <w:pPr>
        <w:jc w:val="both"/>
      </w:pPr>
      <w:r>
        <w:rPr>
          <w:rFonts w:eastAsia="Times New Roman" w:cs="Times New Roman"/>
          <w:sz w:val="24"/>
          <w:szCs w:val="24"/>
        </w:rPr>
        <w:t>If price-tier positioning behaves as a protected premium, the brand-name signal behaves in almost the opposite way. The is_branded coefficient is small (0.02 log-points in the marked-price specification) and statistically insignificant, and what little premium exists loses half its magnitude at checkout (50.6 percent erosion). This pattern becomes intelligible through the lens of the four-quadrant brand typology introduced in Chapter 3. Brand recognition without premium positioning places a product in the Household Giant quadrant: well-known, widely distributed, but priced at or below the subcategory median. These are precisely the products that retailers deploy as promotional vehicles: a familiar brand name on a discounted product attracts consumer attention and drives store traffic, a logic well established in the retail pricing literature.</w:t>
      </w:r>
    </w:p>
    <w:p w14:paraId="420E93C9" w14:textId="77777777" w:rsidR="00E05E66" w:rsidRDefault="00000000">
      <w:pPr>
        <w:jc w:val="both"/>
      </w:pPr>
      <w:r>
        <w:rPr>
          <w:rFonts w:eastAsia="Times New Roman" w:cs="Times New Roman"/>
          <w:sz w:val="24"/>
          <w:szCs w:val="24"/>
        </w:rPr>
        <w:t>The mechanism behind that traffic-driving pattern is supplied by Keller’s (1993) customer-based brand equity framework. Brand awareness facilitates retrieval and recognition at the point of purchase, making high-awareness brands effective promotional anchors even when the underlying brand-name premium in prices is modest. The retailer does not need these brands to carry large shelf premiums; their promotional value lies in their recognizability, which draws consumers into the store or onto the platform. The 50.6 percent erosion thus reflects a traffic-driving strategy in which brand-name recognition is leveraged for promotional salience rather than preserved as a price-tier signal.</w:t>
      </w:r>
    </w:p>
    <w:p w14:paraId="4448658E" w14:textId="77777777" w:rsidR="00E05E66" w:rsidRDefault="00000000">
      <w:pPr>
        <w:jc w:val="both"/>
      </w:pPr>
      <w:r>
        <w:rPr>
          <w:rFonts w:eastAsia="Times New Roman" w:cs="Times New Roman"/>
          <w:sz w:val="24"/>
          <w:szCs w:val="24"/>
        </w:rPr>
        <w:t xml:space="preserve">The same pattern, pushed to its extreme, produces the most striking promotional finding in the dataset: WinEco, Winmart’s house brand. The 476 percent erosion (from a </w:t>
        <w:lastRenderedPageBreak/>
        <w:t>modest −4.6 percent sticker discount to a −26.6 percent checkout discount relative to non-house-brand products) reveals a private-label pricing strategy of some sophistication. By maintaining near-parity sticker prices, WinEco avoids the shelf-price stigma that has historically limited the appeal of discount private labels. Consumers browsing the platform encounter WinEco products priced comparably to national brands and close to typical prices in traditional wet markets; the posted discount on WinEco, though visible alongside the marked price on the product listing, is substantially deeper than on comparably priced national brands, so WinEco’s shelf position looks ordinary while the transacted price is aggressively low. This sticker-to-checkout transformation suggests that Winmart deploys WinEco promotions as loss-leaders or category anchors, leveraging the house brand’s zero acquisition cost to offer the deepest discounts in the promotional mix without signaling low quality on the shelf.</w:t>
      </w:r>
    </w:p>
    <w:p w14:paraId="286CC2C4" w14:textId="77777777" w:rsidR="00E05E66" w:rsidRDefault="00000000">
      <w:pPr>
        <w:jc w:val="both"/>
      </w:pPr>
      <w:r>
        <w:rPr>
          <w:rFonts w:eastAsia="Times New Roman" w:cs="Times New Roman"/>
          <w:sz w:val="24"/>
          <w:szCs w:val="24"/>
        </w:rPr>
        <w:t xml:space="preserve">The per-category results in Section 4.5 make clear that these pooled patterns are averages over very different category-level realities. Two per-category findings deserve particular discussion. First, the import premium in fresh produce reaches 100.4 percent (effectively doubling the price) while in processed food import origin carries a </w:t>
      </w:r>
      <w:r>
        <w:rPr>
          <w:rFonts w:eastAsia="Times New Roman" w:cs="Times New Roman"/>
          <w:i/>
          <w:iCs/>
          <w:sz w:val="24"/>
          <w:szCs w:val="24"/>
        </w:rPr>
        <w:t>negative</w:t>
      </w:r>
      <w:r>
        <w:rPr>
          <w:rFonts w:eastAsia="Times New Roman" w:cs="Times New Roman"/>
          <w:sz w:val="24"/>
          <w:szCs w:val="24"/>
        </w:rPr>
        <w:t xml:space="preserve"> premium of −60.8 percent. The fresh produce result is consistent with Mergenthaler et al.’s (2009) finding that Vietnamese consumers express a 60 percent willingness-to-pay premium for low-residue attributes in fruits and vegetables, a category where food safety concerns are especially salient. Imported fresh produce signals both quality and safety assurance in a market where domestic supply chains are perceived as having less consistent residue controls. The negative import premium in processed food, by contrast, reflects the dominance of well-established domestic brands in that category: imported alternatives lack the local brand equity that commands a premium, and may in fact signal unfamiliarity rather than quality.</w:t>
      </w:r>
    </w:p>
    <w:p w14:paraId="6F78AC4C" w14:textId="77777777" w:rsidR="00E05E66" w:rsidRDefault="00000000">
      <w:pPr>
        <w:jc w:val="both"/>
      </w:pPr>
      <w:r>
        <w:rPr>
          <w:rFonts w:eastAsia="Times New Roman" w:cs="Times New Roman"/>
          <w:sz w:val="24"/>
          <w:szCs w:val="24"/>
        </w:rPr>
        <w:t xml:space="preserve">The second per-category finding concerns health claims, which carry statistically significant premiums only in spices (+38.2 percent, p = 0.03) and fresh produce: categories where food-safety and chemical-residue concerns are most salient to Vietnamese consumers. In snack foods, frozen products, or confectionary, health claims do not generate measurable premiums. This category-specific pattern aligns with Bell et al.’s (2021) finding that food values in peri-urban Hanoi vary by product category, with stronger quality and safety </w:t>
        <w:lastRenderedPageBreak/>
        <w:t>concerns for primary cooking ingredients than for processed convenience foods. The implication is that credence attributes are not uniformly valued; their premium depends on the product context in which they appear.</w:t>
      </w:r>
    </w:p>
    <w:p w14:paraId="0376CA50" w14:textId="77777777" w:rsidR="00E05E66" w:rsidRDefault="00000000">
      <w:pPr>
        <w:jc w:val="both"/>
      </w:pPr>
      <w:r>
        <w:rPr>
          <w:rFonts w:eastAsia="Times New Roman" w:cs="Times New Roman"/>
          <w:sz w:val="24"/>
          <w:szCs w:val="24"/>
        </w:rPr>
        <w:t>A final result that is directly relevant to the recommendations in Section 5.4 concerns pack-size economies. The ln_pack_size coefficient (β ≈ −0.39, p &lt; 0.001 in both specifications) indicates that a 10 percent increase in pack size reduces unit price by approximately 3.8 percent (a substantial scale economy). More importantly, this premium erodes by only 2.8 percent between marked and final prices, making pack-size savings among the most promotion-resistant attributes in the model. Physical product characteristics, unlike brand signals, are not targets of promotional strategy; the retailer has no reason to selectively discount larger pack sizes relative to smaller ones. This stability sets pack-size economies apart from brand-name premiums and underscores the value of unit-price comparison as a consumer decision tool.</w:t>
      </w:r>
    </w:p>
    <w:p w14:paraId="7F3C0559" w14:textId="77777777" w:rsidR="00E05E66" w:rsidRDefault="00000000">
      <w:pPr>
        <w:jc w:val="both"/>
      </w:pPr>
      <w:r>
        <w:rPr>
          <w:rFonts w:eastAsia="Times New Roman" w:cs="Times New Roman"/>
          <w:sz w:val="24"/>
          <w:szCs w:val="24"/>
        </w:rPr>
        <w:t>The observation window spans Tết Nguyên Đán 2026 (February 17), Vietnam’s most significant consumption event, and the treatment of Tết in this thesis deserves a final note. A formal Tết event study is precluded by data gaps in the two most Tết-sensitive categories, Confectionary (cold start, no pre-Tết baseline) and Instant Food (mid-February gap); however, the temporal stability of brand premiums across this period can be assessed for the remaining eight categories through the three-month snapshot robustness check reported in Section 4.7. The consistency of estimates across monthly sub-windows suggests that the cross-sectional hedonic coefficients are not artifacts of a single seasonal pricing regime. If anything, the data window, which spans pre-Tết stockpiling, the holiday itself, and post-Tết normalisation, may produce more representative average premiums than a non-holiday window would, since prices are averaged across the full cycle rather than capturing any single moment in it.</w:t>
      </w:r>
    </w:p>
    <w:p w14:paraId="3CA62091" w14:textId="77777777" w:rsidR="00E05E66" w:rsidRDefault="00000000">
      <w:pPr>
        <w:pStyle w:val="Heading2"/>
        <w:spacing w:before="360" w:after="180"/>
      </w:pPr>
      <w:r>
        <w:rPr>
          <w:rFonts w:ascii="Times New Roman" w:eastAsia="Times New Roman" w:hAnsi="Times New Roman" w:cs="Times New Roman"/>
          <w:sz w:val="26"/>
        </w:rPr>
        <w:t>5.2  Limitations</w:t>
      </w:r>
    </w:p>
    <w:p w14:paraId="4C3C3078" w14:textId="77777777" w:rsidR="00E05E66" w:rsidRDefault="00000000">
      <w:pPr>
        <w:jc w:val="both"/>
      </w:pPr>
      <w:r>
        <w:rPr>
          <w:rFonts w:eastAsia="Times New Roman" w:cs="Times New Roman"/>
          <w:sz w:val="24"/>
          <w:szCs w:val="24"/>
        </w:rPr>
        <w:t xml:space="preserve">The results reported above rest on several choices, some imposed by the data and some made by design, and each of those choices limits how far the findings can be pushed. This section sets out the limitations that matter most for interpreting the conclusions in </w:t>
        <w:lastRenderedPageBreak/>
        <w:t>Section 5.3 and the recommendations in Section 5.4, and, where useful, points to the extensions that would address them.</w:t>
      </w:r>
    </w:p>
    <w:p w14:paraId="3C1C449C" w14:textId="77777777" w:rsidR="00E05E66" w:rsidRDefault="00000000">
      <w:pPr>
        <w:jc w:val="both"/>
      </w:pPr>
      <w:r>
        <w:rPr>
          <w:rFonts w:eastAsia="Times New Roman" w:cs="Times New Roman"/>
          <w:b/>
          <w:bCs/>
          <w:sz w:val="24"/>
          <w:szCs w:val="24"/>
        </w:rPr>
        <w:t>Single-retailer external validity.</w:t>
      </w:r>
      <w:r>
        <w:rPr>
          <w:rFonts w:eastAsia="Times New Roman" w:cs="Times New Roman"/>
          <w:sz w:val="24"/>
          <w:szCs w:val="24"/>
        </w:rPr>
        <w:t xml:space="preserve">  All findings are specific to Winmart’s online channel and cannot be generalized to the Vietnamese food retail sector as a whole. Winmart occupies a mid-market position in Vietnam’s modern trade segment; premium retailers such as Annam Gourmet, discount-oriented chains such as Bách Hóa Xanh, and traditional wet markets would likely exhibit different premium structures and promotional strategies. The product assortment on Winmart’s platform over-represents branded and packaged goods relative to traditional trade channels, where unbranded fresh produce and bulk staples dominate. Whether the attribute premiums identified here reflect retailer-specific pricing decisions or broader market-level consumer valuations remains an open question that multi-retailer studies could resolve.</w:t>
      </w:r>
    </w:p>
    <w:p w14:paraId="2380E66C" w14:textId="77777777" w:rsidR="00E05E66" w:rsidRDefault="00000000">
      <w:pPr>
        <w:jc w:val="both"/>
      </w:pPr>
      <w:r>
        <w:rPr>
          <w:rFonts w:eastAsia="Times New Roman" w:cs="Times New Roman"/>
          <w:b/>
          <w:bCs/>
          <w:sz w:val="24"/>
          <w:szCs w:val="24"/>
        </w:rPr>
        <w:t>NLP proxy quality.</w:t>
      </w:r>
      <w:r>
        <w:rPr>
          <w:rFonts w:eastAsia="Times New Roman" w:cs="Times New Roman"/>
          <w:sz w:val="24"/>
          <w:szCs w:val="24"/>
        </w:rPr>
        <w:t xml:space="preserve">  Brand identification and feature extraction from product name strings are inherently imperfect. The 310-keyword dictionary may miss brands that use non-standard spellings or that entered the market after the dictionary was compiled; some products may be misclassified due to ambiguous naming conventions. The four-quadrant brand typology depends on the accuracy of both the brand list (for is_branded and is_high_recognition) and the within-subcategory price ranking (for is_premium). Validation of the NLP outputs against a manually coded subsample would strengthen confidence in classification accuracy, particularly for the is_premium variable, whose definition partially overlaps with the price-based dependent variable.</w:t>
      </w:r>
    </w:p>
    <w:p w14:paraId="2314773B" w14:textId="77777777" w:rsidR="00E05E66" w:rsidRDefault="00000000">
      <w:pPr>
        <w:jc w:val="both"/>
      </w:pPr>
      <w:r>
        <w:rPr>
          <w:rFonts w:eastAsia="Times New Roman" w:cs="Times New Roman"/>
          <w:b/>
          <w:bCs/>
          <w:sz w:val="24"/>
          <w:szCs w:val="24"/>
        </w:rPr>
        <w:t>Dynamic catalog and survivorship.</w:t>
      </w:r>
      <w:r>
        <w:rPr>
          <w:rFonts w:eastAsia="Times New Roman" w:cs="Times New Roman"/>
          <w:sz w:val="24"/>
          <w:szCs w:val="24"/>
        </w:rPr>
        <w:t xml:space="preserve">  Products entering and exiting the Winmart catalog across the 88-day window may introduce survivorship bias. Products that are discontinued mid-window have fewer observations and may be filtered by the sparse-product threshold, potentially excluding product types that Winmart withdraws from active promotion. The days_observed control variable partially addresses observation-length heterogeneity but cannot fully correct for selection bias in which products remain in the catalog long enough to be included in the regression sample.</w:t>
      </w:r>
    </w:p>
    <w:p w14:paraId="632EDC89" w14:textId="77777777" w:rsidR="00E05E66" w:rsidRDefault="00000000">
      <w:pPr>
        <w:jc w:val="both"/>
      </w:pPr>
      <w:r>
        <w:rPr>
          <w:rFonts w:eastAsia="Times New Roman" w:cs="Times New Roman"/>
          <w:b/>
          <w:bCs/>
          <w:sz w:val="24"/>
          <w:szCs w:val="24"/>
        </w:rPr>
        <w:t>No transaction volumes or demand data.</w:t>
      </w:r>
      <w:r>
        <w:rPr>
          <w:rFonts w:eastAsia="Times New Roman" w:cs="Times New Roman"/>
          <w:sz w:val="24"/>
          <w:szCs w:val="24"/>
        </w:rPr>
        <w:t xml:space="preserve">  The study describes the retailer’s pricing architecture, not consumer response to it. Without quantity data, the analysis cannot </w:t>
        <w:lastRenderedPageBreak/>
        <w:t>determine whether promotional discounts shift purchasing behavior, estimate price elasticities of demand for premium-tier versus generic products, or assess whether WinEco’s checkout discounts actually convert browsing consumers into buyers. The gap between pricing strategy as set by the retailer and market outcome as realised by consumers lies beyond the scope of the available data.</w:t>
      </w:r>
    </w:p>
    <w:p w14:paraId="17CF6643" w14:textId="77777777" w:rsidR="00E05E66" w:rsidRDefault="00000000">
      <w:pPr>
        <w:jc w:val="both"/>
      </w:pPr>
      <w:r>
        <w:rPr>
          <w:rFonts w:eastAsia="Times New Roman" w:cs="Times New Roman"/>
          <w:b/>
          <w:bCs/>
          <w:sz w:val="24"/>
          <w:szCs w:val="24"/>
        </w:rPr>
        <w:t>Unweighted price index.</w:t>
      </w:r>
      <w:r>
        <w:rPr>
          <w:rFonts w:eastAsia="Times New Roman" w:cs="Times New Roman"/>
          <w:sz w:val="24"/>
          <w:szCs w:val="24"/>
        </w:rPr>
        <w:t xml:space="preserve"> The daily price indices reported alongside the hedonic analysis use the Jevons formula, a chain-linked geometric mean of matched-product price relatives. This is the CPI-manual-recommended fallback when expenditure weights are unavailable, which is the situation here: web-scraped data contains listed prices but no quantities sold or total consumer expenditure, so any weighted formula is infeasible at the product level. The Törnqvist index is theoretically superior (Diewert, 1976, proved it is superlative while Jevons is not), and Bajari, Chiang, Nekipelov, and Xu (2023) document a roughly sixty-basis-point wedge between Jevons and Fisher annual apparel inflation on Amazon data that illustrates the practical cost of omitting weights. The Jevons indices reported here should therefore be read as an unweighted aggregation; the nowcasting comparison against the GSO CPI in Section 4 carries the same caveat, since the official index uses expenditure weights that the web-scraped panel cannot reproduce. Linking the panel to loyalty-card transaction counts or a subset of scanner-panel households would in principle permit Törnqvist or Fisher construction and is noted below as a future-research direction.</w:t>
      </w:r>
    </w:p>
    <w:p w14:paraId="0A92E0CD" w14:textId="77777777" w:rsidR="00E05E66" w:rsidRDefault="00000000">
      <w:pPr>
        <w:jc w:val="both"/>
      </w:pPr>
      <w:r>
        <w:rPr>
          <w:rFonts w:eastAsia="Times New Roman" w:cs="Times New Roman"/>
          <w:b/>
          <w:bCs/>
          <w:sz w:val="24"/>
          <w:szCs w:val="24"/>
        </w:rPr>
        <w:t>Observational design and price-tier endogeneity.</w:t>
      </w:r>
      <w:r>
        <w:rPr>
          <w:rFonts w:eastAsia="Times New Roman" w:cs="Times New Roman"/>
          <w:sz w:val="24"/>
          <w:szCs w:val="24"/>
        </w:rPr>
        <w:t xml:space="preserve">  The dual-price comparison is descriptive, not causal. The erosion patterns document correlations between product attributes and the marked-to-final price gap, but they do not identify the retailer’s promotional decision mechanism. A related concern is that the is_premium classification is partly a function of price, products priced above the within-subcategory median are labeled premium, creating a partial mechanical relationship with the log-price dependent variable. The mitigations reported in Section 4.7 (VIF &lt; 2.0 for all regressors, consistent three-month snapshots, and moderate Cook’s distance values) reduce but do not eliminate this concern. An instrumental-variable approach using an external quality rating or an independent brand-strength measure would provide cleaner identification in future work.</w:t>
      </w:r>
    </w:p>
    <w:p w14:paraId="3FC6BE63" w14:textId="77777777" w:rsidR="00E05E66" w:rsidRDefault="00000000">
      <w:pPr>
        <w:pStyle w:val="Heading2"/>
        <w:spacing w:before="360" w:after="180"/>
      </w:pPr>
      <w:r>
        <w:rPr>
          <w:rFonts w:ascii="Times New Roman" w:eastAsia="Times New Roman" w:hAnsi="Times New Roman" w:cs="Times New Roman"/>
          <w:sz w:val="26"/>
        </w:rPr>
        <w:lastRenderedPageBreak/>
        <w:t>5.3  Conclusions</w:t>
      </w:r>
    </w:p>
    <w:p w14:paraId="4682B25B" w14:textId="77777777" w:rsidR="00E05E66" w:rsidRDefault="00000000">
      <w:pPr>
        <w:jc w:val="both"/>
      </w:pPr>
      <w:r>
        <w:rPr>
          <w:rFonts w:eastAsia="Times New Roman" w:cs="Times New Roman"/>
          <w:sz w:val="24"/>
          <w:szCs w:val="24"/>
        </w:rPr>
        <w:t>This study has applied a hedonic price decomposition to 2,280 food products scraped daily from Winmart’s online platform over 88 days (December 2025–March 2026), using a dual-price design that compares marked (sticker) and final (checkout) price specifications to measure the promotional erosion of attribute premiums. Three principal findings emerge.</w:t>
      </w:r>
    </w:p>
    <w:p w14:paraId="1F013776" w14:textId="77777777" w:rsidR="00E05E66" w:rsidRDefault="00000000">
      <w:pPr>
        <w:jc w:val="both"/>
      </w:pPr>
      <w:r>
        <w:rPr>
          <w:rFonts w:eastAsia="Times New Roman" w:cs="Times New Roman"/>
          <w:sz w:val="24"/>
          <w:szCs w:val="24"/>
        </w:rPr>
        <w:t>First, price-tier positioning is the dominant source of attribute premiums in Vietnamese online grocery. Products classified as premium, those priced above the within-subcategory median among branded products, command a 43–44 percent markup over non-premium branded products, a premium that remains virtually unchanged between sticker and checkout prices (erosion of −1.7 percent). The brand-name signal alone, stripped of its price-tier component, carries no statistically significant premium. For consumers navigating the online grocery environment, price tier is the consequential dimension of product choice; brand name, as a standalone attribute, is not.</w:t>
      </w:r>
    </w:p>
    <w:p w14:paraId="0CB95AA6" w14:textId="77777777" w:rsidR="00E05E66" w:rsidRDefault="00000000">
      <w:pPr>
        <w:jc w:val="both"/>
      </w:pPr>
      <w:r>
        <w:rPr>
          <w:rFonts w:eastAsia="Times New Roman" w:cs="Times New Roman"/>
          <w:sz w:val="24"/>
          <w:szCs w:val="24"/>
        </w:rPr>
        <w:t>Second, promotional pricing operates selectively across the brand-positioning landscape. Brand-name premiums erode by 50.6 percent between sticker and checkout prices, consistent with a traffic-driving strategy in which familiar brands serve as promotional anchors. Price-tier premiums, by contrast, are preserved through the promotional cycle, consistent with a versioning logic that maintains quality-based differentiation. The house brand WinEco amplifies this pattern to an extreme: its 476 percent erosion reveals a dual-pricing strategy of shelf-price parity masking deep checkout discounts, a private-label approach that avoids discount stigma while offering the deepest effective discounts in the retailer’s promotional mix.</w:t>
      </w:r>
    </w:p>
    <w:p w14:paraId="3DD74F4C" w14:textId="77777777" w:rsidR="00E05E66" w:rsidRDefault="00000000">
      <w:pPr>
        <w:jc w:val="both"/>
      </w:pPr>
      <w:r>
        <w:rPr>
          <w:rFonts w:eastAsia="Times New Roman" w:cs="Times New Roman"/>
          <w:sz w:val="24"/>
          <w:szCs w:val="24"/>
        </w:rPr>
        <w:t xml:space="preserve">Third, attribute premiums vary systematically across product categories in ways that reflect the economic structure of each category. Import origin commands a 100.4 percent premium in fresh produce, where food safety concerns are acute, but a −60.8 percent discount in processed food, where established domestic brands dominate. Health claims generate significant premiums only in spices and fresh produce, categories where residue and purity concerns are most salient, and carry no measurable premium in snacks, frozen food, or confectionary. Pack-size economies are large (β ≈ −0.39, p &lt; 0.001) and promotion-resistant </w:t>
        <w:lastRenderedPageBreak/>
        <w:t>(erosion 2.8 percent), making unit-price comparison one of the most reliable dimensions of product differentiation available to consumers.</w:t>
      </w:r>
    </w:p>
    <w:p w14:paraId="0809EAE8" w14:textId="77777777" w:rsidR="00E05E66" w:rsidRDefault="00000000">
      <w:pPr>
        <w:jc w:val="both"/>
      </w:pPr>
      <w:r>
        <w:rPr>
          <w:rFonts w:eastAsia="Times New Roman" w:cs="Times New Roman"/>
          <w:sz w:val="24"/>
          <w:szCs w:val="24"/>
        </w:rPr>
        <w:t>The study makes three methodological contributions. It provides the first hedonic price decomposition in Vietnamese online grocery, extending a well-established methodology to a market where web-scraped data now make such analysis feasible. It introduces a dual-price design, regressing the same attribute set on both marked and final prices, that separates the retailer’s shelf-pricing decisions from its promotional decisions, yielding the erosion metric as a direct measure of promotional intensity. And it operationalizes a brand-positioning typology that crosses Keller’s (1993) brand awareness dimension with Aaker’s (1991) price-based differentiation, producing a four-quadrant classification that gives economic content to the distinction between brand recognition and price-tier positioning.</w:t>
      </w:r>
    </w:p>
    <w:p w14:paraId="7F858704" w14:textId="77777777" w:rsidR="00E05E66" w:rsidRDefault="00000000">
      <w:pPr>
        <w:jc w:val="both"/>
      </w:pPr>
      <w:r>
        <w:rPr>
          <w:rFonts w:eastAsia="Times New Roman" w:cs="Times New Roman"/>
          <w:sz w:val="24"/>
          <w:szCs w:val="24"/>
        </w:rPr>
        <w:t>These findings describe the price architecture of one retailer in one period. The analysis does not claim causal identification of the mechanisms that generate attribute premiums or the decisions that produce promotional erosion; it documents the patterns and connects them to established theoretical frameworks. Within that scope, the results offer a detailed empirical portrait of how product attributes, brand positioning, and promotional pricing interact in a rapidly digitizing food market.</w:t>
      </w:r>
    </w:p>
    <w:p w14:paraId="4099A242" w14:textId="77777777" w:rsidR="00E05E66" w:rsidRDefault="00000000">
      <w:pPr>
        <w:pStyle w:val="Heading2"/>
        <w:spacing w:before="360" w:after="180"/>
      </w:pPr>
      <w:r>
        <w:rPr>
          <w:rFonts w:ascii="Times New Roman" w:eastAsia="Times New Roman" w:hAnsi="Times New Roman" w:cs="Times New Roman"/>
          <w:sz w:val="26"/>
        </w:rPr>
        <w:t>5.4  Recommendations</w:t>
      </w:r>
    </w:p>
    <w:p w14:paraId="60F296EA" w14:textId="77777777" w:rsidR="00E05E66" w:rsidRDefault="00000000">
      <w:pPr>
        <w:jc w:val="both"/>
      </w:pPr>
      <w:r>
        <w:rPr>
          <w:rFonts w:eastAsia="Times New Roman" w:cs="Times New Roman"/>
          <w:i/>
          <w:iCs/>
          <w:sz w:val="22"/>
        </w:rPr>
        <w:t>The following recommendations address price architecture, that is, how product attributes map to prices and how promotions alter that mapping. They do not address consumer demand responses, which require transaction data beyond this study’s scope.</w:t>
      </w:r>
    </w:p>
    <w:p w14:paraId="55948026" w14:textId="77777777" w:rsidR="00E05E66" w:rsidRDefault="00000000">
      <w:pPr>
        <w:jc w:val="both"/>
      </w:pPr>
      <w:r>
        <w:rPr>
          <w:rFonts w:eastAsia="Times New Roman" w:cs="Times New Roman"/>
          <w:b/>
          <w:bCs/>
          <w:i/>
          <w:iCs/>
          <w:sz w:val="24"/>
          <w:szCs w:val="24"/>
        </w:rPr>
        <w:t>For consumers.</w:t>
      </w:r>
      <w:r>
        <w:rPr>
          <w:rFonts w:eastAsia="Times New Roman" w:cs="Times New Roman"/>
          <w:sz w:val="24"/>
          <w:szCs w:val="24"/>
        </w:rPr>
        <w:t xml:space="preserve">  The most consequential dimension of grocery product choice in this market is price tier, not brand name. The brand-name signal on its own carries no statistically significant premium (is_branded β = +0.02, p &gt; 0.10), and the implication for the shopper is twofold. Choosing by brand familiarity alone does not, on average, buy a measurably differentiated product at the till, because the brand-name effect is statistically indistinguishable from zero once price tier and recognition are held constant. It also does not buy a stable source of value on promotion: the small brand-name advantage that does exist is </w:t>
        <w:lastRenderedPageBreak/>
        <w:t>also the component most heavily eroded by checkout discounts (roughly halved, on the point estimate). Brand familiarity is therefore neither a reliable basis for quality inference nor a promotion-durable source of savings. Price tier and pack size, by contrast, are.</w:t>
      </w:r>
    </w:p>
    <w:p w14:paraId="3D051649" w14:textId="77777777" w:rsidR="00E05E66" w:rsidRDefault="00000000">
      <w:pPr>
        <w:jc w:val="both"/>
      </w:pPr>
      <w:r>
        <w:rPr>
          <w:rFonts w:eastAsia="Times New Roman" w:cs="Times New Roman"/>
          <w:sz w:val="24"/>
          <w:szCs w:val="24"/>
        </w:rPr>
        <w:t>Larger pack sizes offer genuine, promotion-resistant unit-price savings: approximately 3.8 percent per 10 percent increase in pack size (p &lt; 0.001), with promotional erosion of only 2.8 percent. Consumers seeking the most durable value dimension should prioritize unit-price comparison over brand selection. More immediately, WinEco’s sticker prices sit at near-parity with national brands even though the posted discount is much deeper. Both prices are visible together on the listing, but because the marked price does not look cheap, a shopper who scans only the sticker line will not register how competitive the checkout price actually is. The sticker-to-checkout gap is largest for WinEco products (22 percentage points) and for Household Giant brands in high-penetration categories such as Spices and Confectionary. The practical advice is straightforward: compare final (checkout) prices, not shelf tags, and attend to price-tier positioning and unit price as the primary indicators of product differentiation.</w:t>
      </w:r>
    </w:p>
    <w:p w14:paraId="0734B841" w14:textId="77777777" w:rsidR="00E05E66" w:rsidRDefault="00000000">
      <w:pPr>
        <w:jc w:val="both"/>
      </w:pPr>
      <w:r>
        <w:rPr>
          <w:rFonts w:eastAsia="Times New Roman" w:cs="Times New Roman"/>
          <w:b/>
          <w:bCs/>
          <w:i/>
          <w:iCs/>
          <w:sz w:val="24"/>
          <w:szCs w:val="24"/>
        </w:rPr>
        <w:t>For businesses.</w:t>
      </w:r>
      <w:r>
        <w:rPr>
          <w:rFonts w:eastAsia="Times New Roman" w:cs="Times New Roman"/>
          <w:sz w:val="24"/>
          <w:szCs w:val="24"/>
        </w:rPr>
        <w:t xml:space="preserve">  Household Giant brands (Vinamilk, Ajinomoto, Dutch Lady, and others that are widely recognized but priced at or below the subcategory median), already price 25–27 percent below other branded products within their subcategories, and their discount deepens a further 4.3 percent at checkout. These brands function as promotional anchors; firms occupying this quadrant should anticipate that retailers will use their products as traffic drivers with additional checkout-stage discounts.</w:t>
      </w:r>
    </w:p>
    <w:p w14:paraId="0C8D3EE7" w14:textId="77777777" w:rsidR="00E05E66" w:rsidRDefault="00000000">
      <w:pPr>
        <w:jc w:val="both"/>
      </w:pPr>
      <w:r>
        <w:rPr>
          <w:rFonts w:eastAsia="Times New Roman" w:cs="Times New Roman"/>
          <w:sz w:val="24"/>
          <w:szCs w:val="24"/>
        </w:rPr>
        <w:t>Premium-tier positioning is protected through the promotional cycle (erosion −1.7 percent). Concretely, launching a product above the subcategory median price (with corresponding quality cues such as imported inputs, specialized packaging, or niche identity) protects the price point from promotional erosion; launching at mid-range and relying on brand recognition alone does not. For private-label operators, WinEco’s dual-pricing strategy offers a template: shelf-price parity avoids the stigma of discount private labels, while a deeper posted discount delivers competitive pricing at the checkout line without forcing the marked price itself down, so the brand’s shelf positioning signals quality even as the transacted price competes with budget alternatives.</w:t>
      </w:r>
    </w:p>
    <w:p w14:paraId="21B2DA9E" w14:textId="77777777" w:rsidR="00E05E66" w:rsidRDefault="00000000">
      <w:pPr>
        <w:jc w:val="both"/>
      </w:pPr>
      <w:r>
        <w:rPr>
          <w:rFonts w:eastAsia="Times New Roman" w:cs="Times New Roman"/>
          <w:sz w:val="24"/>
          <w:szCs w:val="24"/>
        </w:rPr>
        <w:lastRenderedPageBreak/>
        <w:t>Import-origin signaling carries substantial pricing power in fresh produce (+100.4 percent, p &lt; 0.001) but is counterproductive in processed food (−60.8 percent, p = 0.013), where domestic brands dominate. Import positioning should therefore be category-selective. Health-claim positioning (organic, sugar-free, low-residue) generates measurable premiums in spices (+38.2 percent, p = 0.03) and marginally in fresh produce, but not in snacks, noodles, or frozen food; firms should target health-claim investments in categories where food-safety concerns are salient. More broadly, credence and physical attributes (health claims, pack size) are not promotional targets, their premiums survive or even grow at checkout (health-claim erosion = −13.3 percent). Investing in credence attributes provides a more promotion-resistant source of pricing power than brand-name awareness alone.</w:t>
      </w:r>
    </w:p>
    <w:p w14:paraId="6579A9CD" w14:textId="77777777" w:rsidR="00E05E66" w:rsidRDefault="00000000">
      <w:pPr>
        <w:jc w:val="both"/>
      </w:pPr>
      <w:r>
        <w:rPr>
          <w:rFonts w:eastAsia="Times New Roman" w:cs="Times New Roman"/>
          <w:b/>
          <w:bCs/>
          <w:i/>
          <w:iCs/>
          <w:sz w:val="24"/>
          <w:szCs w:val="24"/>
        </w:rPr>
        <w:t>For public policy and consumer protection.</w:t>
      </w:r>
      <w:r>
        <w:rPr>
          <w:rFonts w:eastAsia="Times New Roman" w:cs="Times New Roman"/>
          <w:sz w:val="24"/>
          <w:szCs w:val="24"/>
        </w:rPr>
        <w:t xml:space="preserve">  Descriptive analysis (Section 4.3) shows that the primary promotional lever in this market is penetration, how many products are discounted, ranging from 0 to 36 percent across categories, rather than depth, how much per product, uniformly 12–19 percent. This is a pattern in the data, not a regression result, but it suggests that the promotional environment is more stable than headline discount figures might imply.</w:t>
      </w:r>
    </w:p>
    <w:p w14:paraId="0774057A" w14:textId="77777777" w:rsidR="00E05E66" w:rsidRDefault="00000000">
      <w:pPr>
        <w:jc w:val="both"/>
      </w:pPr>
      <w:r>
        <w:rPr>
          <w:rFonts w:eastAsia="Times New Roman" w:cs="Times New Roman"/>
          <w:sz w:val="24"/>
          <w:szCs w:val="24"/>
        </w:rPr>
        <w:t>WinEco’s 22-percentage-point gap between sticker and checkout discount rates, observed across 21 house-brand products at a single retailer, is suggestive evidence that dual-pricing warrants broader investigation across retailers and private labels. Although both prices are shown together on each listing, a marked price that sits near national-brand levels can mask how deep the posted discount really is, so consumers who anchor on the marked price alone may under-weight the true transacted savings; this is most consequential for house brands whose marked prices are set close to national-brand levels. The pattern merits attention in consumer protection frameworks, but cannot yet support general prescriptions on the basis of a single-retailer sample.</w:t>
      </w:r>
    </w:p>
    <w:p w14:paraId="0902D14C" w14:textId="77777777" w:rsidR="00E05E66" w:rsidRDefault="00000000">
      <w:pPr>
        <w:jc w:val="both"/>
      </w:pPr>
      <w:r>
        <w:rPr>
          <w:rFonts w:eastAsia="Times New Roman" w:cs="Times New Roman"/>
          <w:sz w:val="24"/>
          <w:szCs w:val="24"/>
        </w:rPr>
        <w:t xml:space="preserve">Country-of-origin labeling carries heterogeneous informational value: the import premium is the single largest coefficient in fresh produce (+100.4 percent) but negative in processed food (−60.8 percent). This suggests targeted rather than blanket labeling requirements, focused on categories where food-safety concerns make origin information most valuable to consumers. Finally, the large magnitude of pack-size economies (β ≈ −0.39, </w:t>
        <w:lastRenderedPageBreak/>
        <w:t>p &lt; 0.001) and their stability through promotions (erosion 2.8 percent) mean that mandatory unit-price shelf labels would give consumers a reliable comparison tool unaffected by promotional noise.</w:t>
      </w:r>
    </w:p>
    <w:p w14:paraId="4C23F805" w14:textId="77777777" w:rsidR="00E05E66" w:rsidRDefault="00000000">
      <w:pPr>
        <w:jc w:val="both"/>
      </w:pPr>
      <w:r>
        <w:rPr>
          <w:rFonts w:eastAsia="Times New Roman" w:cs="Times New Roman"/>
          <w:b/>
          <w:bCs/>
          <w:i/>
          <w:iCs/>
          <w:sz w:val="24"/>
          <w:szCs w:val="24"/>
        </w:rPr>
        <w:t>For future research.</w:t>
      </w:r>
      <w:r>
        <w:rPr>
          <w:rFonts w:eastAsia="Times New Roman" w:cs="Times New Roman"/>
          <w:sz w:val="24"/>
          <w:szCs w:val="24"/>
        </w:rPr>
        <w:t xml:space="preserve">  Three extensions would address the principal limitations identified above. First, a multi-retailer study comparing Winmart with premium-format retailers (Annam Gourmet), discount-oriented chains (Bách Hóa Xanh), and traditional wet markets would test whether the selective erosion pattern (brand-name premiums erode, price-tier premiums survive) is a Winmart-specific pricing strategy or a structural feature of Vietnamese modern retail.</w:t>
      </w:r>
    </w:p>
    <w:p w14:paraId="1AEEC67D" w14:textId="77777777" w:rsidR="00E05E66" w:rsidRDefault="00000000">
      <w:pPr>
        <w:jc w:val="both"/>
      </w:pPr>
      <w:r>
        <w:rPr>
          <w:rFonts w:eastAsia="Times New Roman" w:cs="Times New Roman"/>
          <w:sz w:val="24"/>
          <w:szCs w:val="24"/>
        </w:rPr>
        <w:t>Second, access to transaction volume data (through panel data or loyalty-card records) would allow researchers to move from describing the retailer’s pricing architecture to estimating consumer response, testing whether the promotional erosion patterns identified here actually shift purchasing behavior toward or away from branded products. This study documents price architecture but cannot address demand responses.</w:t>
      </w:r>
    </w:p>
    <w:p w14:paraId="554167C0" w14:textId="77777777" w:rsidR="00E05E66" w:rsidRDefault="00000000">
      <w:pPr>
        <w:jc w:val="both"/>
      </w:pPr>
      <w:r>
        <w:rPr>
          <w:rFonts w:eastAsia="Times New Roman" w:cs="Times New Roman"/>
          <w:sz w:val="24"/>
          <w:szCs w:val="24"/>
        </w:rPr>
        <w:t>Third, an instrumental-variable approach using instruments independent of within-platform pricing (such as third-party brand equity surveys like Nielsen Brand Health, expert quality ratings, or certification-based quality proxies) would address the is_premium endogeneity concern and provide cleaner causal identification of the relationship between product attributes and price premiums.</w:t>
      </w:r>
    </w:p>
    <w:p w14:paraId="PB000001" w14:textId="77777777" w:rsidR="00CC0001" w:rsidRDefault="00CC0001">
      <w:r>
        <w:br w:type="page"/>
      </w:r>
    </w:p>
    <w:p w14:paraId="0A000057" w14:textId="77777777" w:rsidR="00CC0001" w:rsidRDefault="00CC0001">
      <w:pPr>
        <w:spacing w:before="240" w:after="240"/>
        <w:jc w:val="center"/>
      </w:pPr>
      <w:r>
        <w:rPr>
          <w:rFonts w:ascii="Times New Roman" w:hAnsi="Times New Roman" w:cs="Times New Roman"/>
          <w:sz w:val="36"/>
          <w:szCs w:val="36"/>
          <w:b/>
        </w:rPr>
        <w:t>REFERENCES</w:t>
      </w:r>
    </w:p>
    <w:p w14:paraId="0A000058" w14:textId="77777777" w:rsidR="00CC0001" w:rsidRDefault="00CC0001"/>
    <w:p w14:paraId="0A000059" w14:textId="77777777" w:rsidR="00CC0001" w:rsidRDefault="00CC0001">
      <w:pPr>
        <w:jc w:val="both"/>
      </w:pPr>
      <w:r>
        <w:rPr>
          <w:rFonts w:ascii="Times New Roman" w:hAnsi="Times New Roman" w:cs="Times New Roman"/>
          <w:sz w:val="26"/>
          <w:szCs w:val="26"/>
          <w:i/>
          <w:color w:val="FF0000"/>
        </w:rPr>
        <w:t>[TO BE COMPILED — List all cited references in Harvard style, sorted alphabetically by author surname. Include: author name(s), year, title, publication/publisher, location. Every in-text citation must have a corresponding entry here. See Appendix 4 and 5 of the KLTN guidelines for format examples.]</w:t>
      </w:r>
    </w:p>
    <w:p w14:paraId="0A00005A" w14:textId="77777777" w:rsidR="00CC0001" w:rsidRDefault="00CC0001"/>
    <w:p w14:paraId="0A00005B" w14:textId="77777777" w:rsidR="00CC0001" w:rsidRDefault="00CC0001">
      <w:pPr>
        <w:jc w:val="both"/>
      </w:pPr>
      <w:r>
        <w:rPr>
          <w:rFonts w:ascii="Times New Roman" w:hAnsi="Times New Roman" w:cs="Times New Roman"/>
          <w:sz w:val="26"/>
          <w:szCs w:val="26"/>
        </w:rPr>
        <w:t>Aaker, D.A. (1991), Managing Brand Equity: Capitalizing on the Value of a Brand Name, Free Press, New York.</w:t>
      </w:r>
    </w:p>
    <w:p w14:paraId="0A00005C" w14:textId="77777777" w:rsidR="00CC0001" w:rsidRDefault="00CC0001">
      <w:pPr>
        <w:jc w:val="both"/>
      </w:pPr>
      <w:r>
        <w:rPr>
          <w:rFonts w:ascii="Times New Roman" w:hAnsi="Times New Roman" w:cs="Times New Roman"/>
          <w:sz w:val="26"/>
          <w:szCs w:val="26"/>
        </w:rPr>
        <w:t>Bairagi, S., Mohanty, S., Baruah, S. and Thi, H.T. (2020), ‘Changing food consumption patterns in rural and urban Vietnam: Implications for a future food supply system’, Australian Journal of Agricultural and Resource Economics, 64(3), pp. 750–775.</w:t>
      </w:r>
    </w:p>
    <w:p w14:paraId="0A00005D" w14:textId="77777777" w:rsidR="00CC0001" w:rsidRDefault="00CC0001">
      <w:pPr>
        <w:jc w:val="both"/>
      </w:pPr>
      <w:r>
        <w:rPr>
          <w:rFonts w:ascii="Times New Roman" w:hAnsi="Times New Roman" w:cs="Times New Roman"/>
          <w:sz w:val="26"/>
          <w:szCs w:val="26"/>
        </w:rPr>
        <w:t>Cavallo, A. (2017), ‘Are online and offline prices similar? Evidence from large multi-channel retailers’, American Economic Review, 107(1), pp. 283–303.</w:t>
      </w:r>
    </w:p>
    <w:p w14:paraId="0A00005E" w14:textId="77777777" w:rsidR="00CC0001" w:rsidRDefault="00CC0001">
      <w:pPr>
        <w:jc w:val="both"/>
      </w:pPr>
      <w:r>
        <w:rPr>
          <w:rFonts w:ascii="Times New Roman" w:hAnsi="Times New Roman" w:cs="Times New Roman"/>
          <w:sz w:val="26"/>
          <w:szCs w:val="26"/>
        </w:rPr>
        <w:t>Costanigro, M. and McCluskey, J.J. (2011), ‘Hedonic price analysis in food markets’, in Lusk, J.L., Roosen, J. and Shogren, J.F. (eds), The Oxford Handbook of the Economics of Food Consumption and Policy, Oxford University Press, Oxford.</w:t>
      </w:r>
    </w:p>
    <w:p w14:paraId="0A00005F" w14:textId="77777777" w:rsidR="00CC0001" w:rsidRDefault="00CC0001">
      <w:pPr>
        <w:jc w:val="both"/>
      </w:pPr>
      <w:r>
        <w:rPr>
          <w:rFonts w:ascii="Times New Roman" w:hAnsi="Times New Roman" w:cs="Times New Roman"/>
          <w:sz w:val="26"/>
          <w:szCs w:val="26"/>
        </w:rPr>
        <w:t>Darby, M.R. and Karni, E. (1973), ‘Free competition and the optimal amount of fraud’, The Journal of Law and Economics, 16(1), pp. 67–88.</w:t>
      </w:r>
    </w:p>
    <w:p w14:paraId="0A000060" w14:textId="77777777" w:rsidR="00CC0001" w:rsidRDefault="00CC0001">
      <w:pPr>
        <w:jc w:val="both"/>
      </w:pPr>
      <w:r>
        <w:rPr>
          <w:rFonts w:ascii="Times New Roman" w:hAnsi="Times New Roman" w:cs="Times New Roman"/>
          <w:sz w:val="26"/>
          <w:szCs w:val="26"/>
        </w:rPr>
        <w:t>Ekeland, I., Heckman, J.J. and Nesheim, L. (2004), ‘Identification and estimation of hedonic models’, Journal of Political Economy, 112(S1), pp. S60–S109.</w:t>
      </w:r>
    </w:p>
    <w:p w14:paraId="0A000061" w14:textId="77777777" w:rsidR="00CC0001" w:rsidRDefault="00CC0001">
      <w:pPr>
        <w:jc w:val="both"/>
      </w:pPr>
      <w:r>
        <w:rPr>
          <w:rFonts w:ascii="Times New Roman" w:hAnsi="Times New Roman" w:cs="Times New Roman"/>
          <w:sz w:val="26"/>
          <w:szCs w:val="26"/>
        </w:rPr>
        <w:t>Keller, K.L. (1993), ‘Conceptualizing, measuring, and managing customer-based brand equity’, Journal of Marketing, 57(1), pp. 1–22.</w:t>
      </w:r>
    </w:p>
    <w:p w14:paraId="0A000062" w14:textId="77777777" w:rsidR="00CC0001" w:rsidRDefault="00CC0001">
      <w:pPr>
        <w:jc w:val="both"/>
      </w:pPr>
      <w:r>
        <w:rPr>
          <w:rFonts w:ascii="Times New Roman" w:hAnsi="Times New Roman" w:cs="Times New Roman"/>
          <w:sz w:val="26"/>
          <w:szCs w:val="26"/>
        </w:rPr>
        <w:t>Lancaster, K.J. (1966), ‘A new approach to consumer theory’, Journal of Political Economy, 74(2), pp. 132–157.</w:t>
      </w:r>
    </w:p>
    <w:p w14:paraId="0A000063" w14:textId="77777777" w:rsidR="00CC0001" w:rsidRDefault="00CC0001">
      <w:pPr>
        <w:jc w:val="both"/>
      </w:pPr>
      <w:r>
        <w:rPr>
          <w:rFonts w:ascii="Times New Roman" w:hAnsi="Times New Roman" w:cs="Times New Roman"/>
          <w:sz w:val="26"/>
          <w:szCs w:val="26"/>
        </w:rPr>
        <w:t>Malpezzi, S. (2002), ‘Hedonic pricing models: A selective and applied review’, in Gibb, K. and O’Sullivan, A. (eds), Housing Economics and Public Policy, Blackwell, Oxford.</w:t>
      </w:r>
    </w:p>
    <w:p w14:paraId="0A000064" w14:textId="77777777" w:rsidR="00CC0001" w:rsidRDefault="00CC0001">
      <w:pPr>
        <w:jc w:val="both"/>
      </w:pPr>
      <w:r>
        <w:rPr>
          <w:rFonts w:ascii="Times New Roman" w:hAnsi="Times New Roman" w:cs="Times New Roman"/>
          <w:sz w:val="26"/>
          <w:szCs w:val="26"/>
        </w:rPr>
        <w:t>Rosen, S. (1974), ‘Hedonic prices and implicit markets: Product differentiation in pure competition’, Journal of Political Economy, 82(1), pp. 34–55.</w:t>
      </w:r>
    </w:p>
    <w:p w14:paraId="0A000065" w14:textId="77777777" w:rsidR="00CC0001" w:rsidRDefault="00CC0001">
      <w:pPr>
        <w:jc w:val="both"/>
      </w:pPr>
      <w:r>
        <w:rPr>
          <w:rFonts w:ascii="Times New Roman" w:hAnsi="Times New Roman" w:cs="Times New Roman"/>
          <w:sz w:val="26"/>
          <w:szCs w:val="26"/>
          <w:i/>
          <w:color w:val="FF0000"/>
        </w:rPr>
        <w:t>[Continue with all remaining references cited in the thesis: Bell et al. (2021), Haurin et al. (2010), Knight (2002), Lusk (2002), MacDonald (2000), Mergenthaler et al. (2009), Nerlove (1995), Nguyen et al. (2015), Schamel (2006), Schipmann &amp; Qaim (2011), Singh et al. (2020), Tran et al. (2025), Varian (1997), Xuan (2021), and all others.]</w:t>
      </w:r>
    </w:p>
    <w:p w14:paraId="PB000001" w14:textId="77777777" w:rsidR="00CC0001" w:rsidRDefault="00CC0001">
      <w:r>
        <w:br w:type="page"/>
      </w:r>
    </w:p>
    <w:p w14:paraId="0A000066" w14:textId="77777777" w:rsidR="00CC0001" w:rsidRDefault="00CC0001">
      <w:pPr>
        <w:spacing w:before="240" w:after="240"/>
        <w:jc w:val="center"/>
      </w:pPr>
      <w:r>
        <w:rPr>
          <w:rFonts w:ascii="Times New Roman" w:hAnsi="Times New Roman" w:cs="Times New Roman"/>
          <w:sz w:val="36"/>
          <w:szCs w:val="36"/>
          <w:b/>
        </w:rPr>
        <w:t>APPENDICES</w:t>
      </w:r>
    </w:p>
    <w:p w14:paraId="0A000067" w14:textId="77777777" w:rsidR="00CC0001" w:rsidRDefault="00CC0001"/>
    <w:p w14:paraId="0A000068" w14:textId="77777777" w:rsidR="00CC0001" w:rsidRDefault="00CC0001">
      <w:pPr>
        <w:spacing w:before="240" w:after="240"/>
        <w:jc w:val="center"/>
      </w:pPr>
      <w:r>
        <w:rPr>
          <w:rFonts w:ascii="Times New Roman" w:hAnsi="Times New Roman" w:cs="Times New Roman"/>
          <w:sz w:val="30"/>
          <w:szCs w:val="30"/>
          <w:b/>
        </w:rPr>
        <w:t>Appendix A: NLP Feature Extraction Dictionary</w:t>
      </w:r>
    </w:p>
    <w:p w14:paraId="0A000069" w14:textId="77777777" w:rsidR="00CC0001" w:rsidRDefault="00CC0001">
      <w:pPr>
        <w:jc w:val="both"/>
      </w:pPr>
      <w:r>
        <w:rPr>
          <w:rFonts w:ascii="Times New Roman" w:hAnsi="Times New Roman" w:cs="Times New Roman"/>
          <w:sz w:val="26"/>
          <w:szCs w:val="26"/>
          <w:i/>
          <w:color w:val="FF0000"/>
        </w:rPr>
        <w:t>[TO BE ADDED — Include the full NLP dictionary used for feature extraction: brand keywords (~310 entries), import-origin keywords, health-claim keywords, freshness-claim keywords. Organize in table format.]</w:t>
      </w:r>
    </w:p>
    <w:p w14:paraId="0A00006A" w14:textId="77777777" w:rsidR="00CC0001" w:rsidRDefault="00CC0001"/>
    <w:p w14:paraId="0A00006B" w14:textId="77777777" w:rsidR="00CC0001" w:rsidRDefault="00CC0001">
      <w:pPr>
        <w:spacing w:before="240" w:after="240"/>
        <w:jc w:val="center"/>
      </w:pPr>
      <w:r>
        <w:rPr>
          <w:rFonts w:ascii="Times New Roman" w:hAnsi="Times New Roman" w:cs="Times New Roman"/>
          <w:sz w:val="30"/>
          <w:szCs w:val="30"/>
          <w:b/>
        </w:rPr>
        <w:t>Appendix B: Per-Category Hedonic Regression Tables</w:t>
      </w:r>
    </w:p>
    <w:p w14:paraId="0A00006C" w14:textId="77777777" w:rsidR="00CC0001" w:rsidRDefault="00CC0001">
      <w:pPr>
        <w:jc w:val="both"/>
      </w:pPr>
      <w:r>
        <w:rPr>
          <w:rFonts w:ascii="Times New Roman" w:hAnsi="Times New Roman" w:cs="Times New Roman"/>
          <w:sz w:val="26"/>
          <w:szCs w:val="26"/>
          <w:i/>
          <w:color w:val="FF0000"/>
        </w:rPr>
        <w:t>[TO BE ADDED — Include the full per-category regression output tables for all 10 categories, showing both marked-price and final-price specifications.]</w:t>
      </w:r>
    </w:p>
    <w:p w14:paraId="0A00006D" w14:textId="77777777" w:rsidR="00CC0001" w:rsidRDefault="00CC0001"/>
    <w:p w14:paraId="0A00006E" w14:textId="77777777" w:rsidR="00CC0001" w:rsidRDefault="00CC0001">
      <w:pPr>
        <w:spacing w:before="240" w:after="240"/>
        <w:jc w:val="center"/>
      </w:pPr>
      <w:r>
        <w:rPr>
          <w:rFonts w:ascii="Times New Roman" w:hAnsi="Times New Roman" w:cs="Times New Roman"/>
          <w:sz w:val="30"/>
          <w:szCs w:val="30"/>
          <w:b/>
        </w:rPr>
        <w:t>Appendix C: Diagnostic Tests</w:t>
      </w:r>
    </w:p>
    <w:p w14:paraId="0A00006F" w14:textId="77777777" w:rsidR="00CC0001" w:rsidRDefault="00CC0001">
      <w:pPr>
        <w:jc w:val="both"/>
      </w:pPr>
      <w:r>
        <w:rPr>
          <w:rFonts w:ascii="Times New Roman" w:hAnsi="Times New Roman" w:cs="Times New Roman"/>
          <w:sz w:val="26"/>
          <w:szCs w:val="26"/>
          <w:i/>
          <w:color w:val="FF0000"/>
        </w:rPr>
        <w:t>[TO BE ADDED — Include VIF tables, Breusch-Pagan test results, Cook’s distance plots, residual plots, and the three-month snapshot robustness check tables.]</w:t>
      </w:r>
    </w:p>
    <w:p w14:paraId="0A000070" w14:textId="77777777" w:rsidR="00CC0001" w:rsidRDefault="00CC0001"/>
    <w:p w14:paraId="0A000071" w14:textId="77777777" w:rsidR="00CC0001" w:rsidRDefault="00CC0001">
      <w:pPr>
        <w:spacing w:before="240" w:after="240"/>
        <w:jc w:val="center"/>
      </w:pPr>
      <w:r>
        <w:rPr>
          <w:rFonts w:ascii="Times New Roman" w:hAnsi="Times New Roman" w:cs="Times New Roman"/>
          <w:sz w:val="30"/>
          <w:szCs w:val="30"/>
          <w:b/>
        </w:rPr>
        <w:t>Appendix D: Brand Gap Dynamics</w:t>
      </w:r>
    </w:p>
    <w:p w14:paraId="0A000072" w14:textId="77777777" w:rsidR="00CC0001" w:rsidRDefault="00CC0001">
      <w:pPr>
        <w:jc w:val="both"/>
      </w:pPr>
      <w:r>
        <w:rPr>
          <w:rFonts w:ascii="Times New Roman" w:hAnsi="Times New Roman" w:cs="Times New Roman"/>
          <w:sz w:val="26"/>
          <w:szCs w:val="26"/>
          <w:i/>
          <w:color w:val="FF0000"/>
        </w:rPr>
        <w:t>[TO BE ADDED — Include supplementary analysis of brand premium dynamics over the observation window, if applicable.]</w:t>
      </w:r>
    </w:p>
    <w:sectPr w:rsidR="00E05E66" w:rsidSect="00034616">
      <w:pgSz w:w="11906" w:h="16838"/>
      <w:pgMar w:top="1417" w:right="1417" w:bottom="1417" w:left="1985"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n Hieu My" w:date="2026-04-16T09:25:00Z" w:initials="THM">
    <w:p w14:paraId="4215A16F" w14:textId="77777777" w:rsidR="00C30131" w:rsidRDefault="00C30131" w:rsidP="00C30131">
      <w:r>
        <w:rPr>
          <w:rStyle w:val="CommentReference"/>
        </w:rPr>
        <w:annotationRef/>
      </w:r>
      <w:r>
        <w:rPr>
          <w:sz w:val="20"/>
          <w:szCs w:val="20"/>
        </w:rPr>
        <w:t>changed</w:t>
      </w:r>
    </w:p>
  </w:comment>
  <w:comment w:id="1" w:author="Tran Hieu My" w:date="2026-04-16T09:28:00Z" w:initials="THM">
    <w:p w14:paraId="4328709C" w14:textId="77777777" w:rsidR="00F65511" w:rsidRDefault="00F65511" w:rsidP="00F65511">
      <w:r>
        <w:rPr>
          <w:rStyle w:val="CommentReference"/>
        </w:rPr>
        <w:annotationRef/>
      </w:r>
      <w:r>
        <w:rPr>
          <w:sz w:val="20"/>
          <w:szCs w:val="20"/>
        </w:rPr>
        <w:t>rephrased</w:t>
      </w:r>
    </w:p>
  </w:comment>
  <w:comment w:id="2" w:author="Tran Hieu My" w:date="2026-04-16T09:26:00Z" w:initials="THM">
    <w:p w14:paraId="3522AD8D" w14:textId="0A993A4C" w:rsidR="00C30131" w:rsidRDefault="00C30131" w:rsidP="00C30131">
      <w:r>
        <w:rPr>
          <w:rStyle w:val="CommentReference"/>
        </w:rPr>
        <w:annotationRef/>
      </w:r>
      <w:r>
        <w:rPr>
          <w:sz w:val="20"/>
          <w:szCs w:val="20"/>
        </w:rPr>
        <w:t>Rephrased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15A16F" w15:done="0"/>
  <w15:commentEx w15:paraId="4328709C" w15:done="0"/>
  <w15:commentEx w15:paraId="3522AD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950DE6" w16cex:dateUtc="2026-04-16T02:25:00Z"/>
  <w16cex:commentExtensible w16cex:durableId="30619CED" w16cex:dateUtc="2026-04-16T02:28:00Z"/>
  <w16cex:commentExtensible w16cex:durableId="3DB0DAF1" w16cex:dateUtc="2026-04-16T0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15A16F" w16cid:durableId="04950DE6"/>
  <w16cid:commentId w16cid:paraId="4328709C" w16cid:durableId="30619CED"/>
  <w16cid:commentId w16cid:paraId="3522AD8D" w16cid:durableId="3DB0DAF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3582358">
    <w:abstractNumId w:val="8"/>
  </w:num>
  <w:num w:numId="2" w16cid:durableId="1256934705">
    <w:abstractNumId w:val="6"/>
  </w:num>
  <w:num w:numId="3" w16cid:durableId="878979824">
    <w:abstractNumId w:val="5"/>
  </w:num>
  <w:num w:numId="4" w16cid:durableId="915089484">
    <w:abstractNumId w:val="4"/>
  </w:num>
  <w:num w:numId="5" w16cid:durableId="461850695">
    <w:abstractNumId w:val="7"/>
  </w:num>
  <w:num w:numId="6" w16cid:durableId="1586376175">
    <w:abstractNumId w:val="3"/>
  </w:num>
  <w:num w:numId="7" w16cid:durableId="1337608733">
    <w:abstractNumId w:val="2"/>
  </w:num>
  <w:num w:numId="8" w16cid:durableId="1091780093">
    <w:abstractNumId w:val="1"/>
  </w:num>
  <w:num w:numId="9" w16cid:durableId="85781564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n Hieu My">
    <w15:presenceInfo w15:providerId="AD" w15:userId="S::11224401@st.neu.edu.vn::77155d38-8d84-4bfe-a112-5be3394133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21B1"/>
    <w:rsid w:val="00AA1D8D"/>
    <w:rsid w:val="00B47730"/>
    <w:rsid w:val="00C30131"/>
    <w:rsid w:val="00CB0664"/>
    <w:rsid w:val="00E05E66"/>
    <w:rsid w:val="00F655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D8693B"/>
  <w14:defaultImageDpi w14:val="300"/>
  <w15:docId w15:val="{DE0EA722-C85D-E644-A193-9C972ED4F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heme="minorEastAsia"/>
        <w:sz w:val="26"/>
        <w:szCs w:val="26"/>
        <w:lang w:val="en-US" w:eastAsia="en-US" w:bidi="ar-SA"/>
      </w:rPr>
    </w:rPrDefault>
    <w:pPrDefault>
      <w:pPr>
        <w:spacing w:after="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0" w:line="312" w:lineRule="auto"/>
      <w:ind w:firstLine="720"/>
    </w:pPr>
    <w:rPr>
      <w:rFonts w:ascii="Times New Roman" w:hAnsi="Times New Roman" w:eastAsia="Times New Roman" w:cs="Times New Roman"/>
      <w:sz w:val="26"/>
      <w:szCs w:val="26"/>
    </w:rPr>
  </w:style>
  <w:style w:type="paragraph" w:styleId="Heading1">
    <w:name w:val="heading 1"/>
    <w:basedOn w:val="Normal"/>
    <w:next w:val="Normal"/>
    <w:link w:val="Heading1Char"/>
    <w:uiPriority w:val="9"/>
    <w:qFormat/>
    <w:rsid w:val="00FC693F"/>
    <w:pPr>
      <w:keepNext/>
      <w:keepLines/>
      <w:spacing w:before="240" w:after="120" w:line="312" w:lineRule="auto"/>
      <w:ind w:firstLine="0"/>
      <w:jc w:val="center"/>
      <w:outlineLvl w:val="0"/>
    </w:pPr>
    <w:rPr>
      <w:rFonts w:ascii="Times New Roman" w:hAnsi="Times New Roman" w:eastAsia="Times New Roman" w:cs="Times New Roman"/>
      <w:b/>
      <w:bCs/>
      <w:caps/>
      <w:sz w:val="36"/>
      <w:szCs w:val="36"/>
    </w:rPr>
  </w:style>
  <w:style w:type="paragraph" w:styleId="Heading2">
    <w:name w:val="heading 2"/>
    <w:basedOn w:val="Normal"/>
    <w:next w:val="Normal"/>
    <w:link w:val="Heading2Char"/>
    <w:uiPriority w:val="9"/>
    <w:unhideWhenUsed/>
    <w:qFormat/>
    <w:rsid w:val="00FC693F"/>
    <w:pPr>
      <w:keepNext/>
      <w:keepLines/>
      <w:spacing w:before="240" w:after="120" w:line="312" w:lineRule="auto"/>
      <w:ind w:firstLine="0"/>
      <w:outlineLvl w:val="1"/>
    </w:pPr>
    <w:rPr>
      <w:rFonts w:ascii="Times New Roman" w:hAnsi="Times New Roman" w:eastAsia="Times New Roman" w:cs="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120" w:after="60" w:line="312" w:lineRule="auto"/>
      <w:ind w:firstLine="0"/>
      <w:outlineLvl w:val="2"/>
    </w:pPr>
    <w:rPr>
      <w:rFonts w:ascii="Times New Roman" w:hAnsi="Times New Roman" w:eastAsia="Times New Roman" w:cs="Times New Roman"/>
      <w:b/>
      <w:bCs/>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Indent">
    <w:name w:val="NoIndent"/>
    <w:basedOn w:val="Normal"/>
    <w:pPr>
      <w:ind w:firstLine="0"/>
    </w:pPr>
  </w:style>
  <w:style w:type="character" w:styleId="FootnoteReference">
    <w:name w:val="footnote reference"/>
    <w:basedOn w:val="DefaultParagraphFont"/>
    <w:uiPriority w:val="99"/>
    <w:semiHidden/>
    <w:unhideWhenUsed/>
    <w:rPr>
      <w:vertAlign w:val="superscript"/>
    </w:rPr>
  </w:style>
  <w:style w:type="character" w:styleId="CommentReference">
    <w:name w:val="annotation reference"/>
    <w:basedOn w:val="DefaultParagraphFont"/>
    <w:uiPriority w:val="99"/>
    <w:semiHidden/>
    <w:unhideWhenUsed/>
    <w:rsid w:val="00C30131"/>
    <w:rPr>
      <w:sz w:val="16"/>
      <w:szCs w:val="16"/>
    </w:rPr>
  </w:style>
  <w:style w:type="paragraph" w:styleId="CommentText">
    <w:name w:val="annotation text"/>
    <w:basedOn w:val="Normal"/>
    <w:link w:val="CommentTextChar"/>
    <w:uiPriority w:val="99"/>
    <w:semiHidden/>
    <w:unhideWhenUsed/>
    <w:rsid w:val="00C30131"/>
    <w:pPr>
      <w:spacing w:line="240" w:lineRule="auto"/>
    </w:pPr>
    <w:rPr>
      <w:sz w:val="20"/>
      <w:szCs w:val="20"/>
    </w:rPr>
  </w:style>
  <w:style w:type="character" w:customStyle="1" w:styleId="CommentTextChar">
    <w:name w:val="Comment Text Char"/>
    <w:basedOn w:val="DefaultParagraphFont"/>
    <w:link w:val="CommentText"/>
    <w:uiPriority w:val="99"/>
    <w:semiHidden/>
    <w:rsid w:val="00C3013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30131"/>
    <w:rPr>
      <w:b/>
      <w:bCs/>
    </w:rPr>
  </w:style>
  <w:style w:type="character" w:customStyle="1" w:styleId="CommentSubjectChar">
    <w:name w:val="Comment Subject Char"/>
    <w:basedOn w:val="CommentTextChar"/>
    <w:link w:val="CommentSubject"/>
    <w:uiPriority w:val="99"/>
    <w:semiHidden/>
    <w:rsid w:val="00C30131"/>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65</Pages>
  <Words>20118</Words>
  <Characters>114675</Characters>
  <Application>Microsoft Office Word</Application>
  <DocSecurity>0</DocSecurity>
  <Lines>955</Lines>
  <Paragraphs>269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Hieu My</cp:lastModifiedBy>
  <cp:revision>3</cp:revision>
  <dcterms:created xsi:type="dcterms:W3CDTF">2013-12-23T23:15:00Z</dcterms:created>
  <dcterms:modified xsi:type="dcterms:W3CDTF">2026-04-16T03:27:00Z</dcterms:modified>
  <cp:category/>
</cp:coreProperties>
</file>