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sz w:val="28"/>
          <w:szCs w:val="28"/>
        </w:rPr>
        <w:t xml:space="preserve">BACHELOR THESIS — STRUCTURAL OUTLINE</w:t>
      </w:r>
    </w:p>
    <w:p>
      <w:pPr>
        <w:spacing w:after="40" w:before="0"/>
        <w:jc w:val="center"/>
      </w:pPr>
      <w:r>
        <w:rPr>
          <w:i/>
          <w:iCs/>
          <w:sz w:val="22"/>
          <w:szCs w:val="22"/>
        </w:rPr>
        <w:t xml:space="preserve">Hedonic Price Decomposition and Promotional Erosion on Online Retail Prices: A Case Study on Winmart</w:t>
      </w:r>
    </w:p>
    <w:p>
      <w:pPr>
        <w:spacing w:after="80" w:before="0"/>
        <w:jc w:val="center"/>
      </w:pPr>
      <w:r>
        <w:rPr>
          <w:sz w:val="18"/>
          <w:szCs w:val="18"/>
        </w:rPr>
        <w:t xml:space="preserve">Trần Hiếu My — National Economics University — 2026</w:t>
      </w:r>
    </w:p>
    <w:p>
      <w:pPr>
        <w:pBdr>
          <w:bottom w:val="single" w:color="888888" w:sz="6" w:space="1"/>
        </w:pBdr>
        <w:spacing w:after="60" w:before="0"/>
      </w:pPr>
    </w:p>
    <w:p>
      <w:pPr>
        <w:spacing w:after="40" w:before="40" w:line="260"/>
      </w:pPr>
      <w:r>
        <w:rPr>
          <w:b/>
          <w:bCs/>
        </w:rPr>
        <w:t xml:space="preserve">Map of the thesis. </w:t>
      </w:r>
      <w:r>
        <w:t xml:space="preserve">Follows the order of the reordered draft: Introduction → Ch.1 Literature Review → Ch.2 Methodology → Ch.3 Empirical Applications → Ch.4 Discussion &amp; Recommendations → Conclusion. </w:t>
      </w:r>
      <w:r>
        <w:rPr>
          <w:b/>
          <w:bCs/>
        </w:rPr>
        <w:t xml:space="preserve">Research question: </w:t>
      </w:r>
      <w:r>
        <w:rPr>
          <w:i/>
          <w:iCs/>
        </w:rPr>
        <w:t xml:space="preserve">“What product attributes generate price premiums in Vietnamese online grocery, and to what extent do promotional pricing strategies erode those premiums?”</w:t>
      </w:r>
    </w:p>
    <w:p>
      <w:pPr>
        <w:pStyle w:val="Heading1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Introduction</w:t>
      </w:r>
    </w:p>
    <w:p>
      <w:pPr>
        <w:spacing w:after="40" w:before="40" w:line="260"/>
      </w:pPr>
      <w:r>
        <w:t xml:space="preserve">Frames the problem, sets the scope, declares the objectives, previews the methodology, and states the thesis's intended contribution.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Motivation for research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Consumer angle: Vietnamese online grocery shows large within-retailer price dispersion (e.g., a litre of milk on Winmart ranges from ~25,000 VND to 80,000 VND) and routinely displays two prices — a marked price and a final (checkout) price.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Career angle: the project builds an end-to-end applied analytics pipeline (scraping, NLP, econometrics) relevant to pricing, analytics, and data-science roles.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Household angle: three everyday payoffs — informed spending, navigating promotions (e.g., 92.7% of Dairy is on promotion), and budget allocation by price tier.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Research subject and scope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Object: attribute-based price premiums in Vietnamese online grocery at Winmart.vn.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Data: 88 days (18 Dec 2025 – mid-Mar 2026), 10 food categories, ~2,280 unique products, dual-price observations (marked vs. final).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Window covers Tết 2026 (17 Feb), which is treated as analytically useful variance rather than a clean event study.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Research objectives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O1 — Identify which product attributes (brand positioning, import origin, health claims, pack size, freshness signals) generate statistically significant price premiums.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O2 — Use the dual-price structure to measure whether promotional discounts erode those premiums differentially at checkout (descriptive, not causal).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O3 — Examine how attribute-premium structures vary across food categories.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Overview of research methodology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Four-stage pipeline: (1) automated daily scraping (15 robots, localhost orchestration), (2) NLP feature extraction on Vietnamese product names, (3) four-quadrant brand classification, (4) dual-price hedonic regression (log-linear OLS, subcategory FE, cluster-robust SE).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Single-retailer design absorbs format-level confounds; interpretation follows the first-stage equilibrium reading (Ekeland, Heckman &amp; Nesheim 2004).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Research contribution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First hedonic decomposition of Vietnamese online-grocery prices using web-scraped daily data across multiple categories.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Novel dual-price design in food hedonics: same specification estimated on marked and final prices to measure promotional erosion.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Four-quadrant brand-positioning typology crossing Keller (1993) awareness with Aaker (1991) perceived quality, decomposing the conventional single “brand premium” into three separable channels.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Thesis structure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Chapter 1 (Lit Review) → Chapter 2 (Methodology) → Chapter 3 (Empirical Applications) → Chapter 4 (Discussion &amp; Recommendations) → Conclusion.</w:t>
      </w:r>
    </w:p>
    <w:p>
      <w:pPr>
        <w:pStyle w:val="Heading1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Chapter 1 — Literature Review and Theoretical Framework</w:t>
      </w:r>
    </w:p>
    <w:p>
      <w:pPr>
        <w:spacing w:after="40" w:before="40" w:line="260"/>
      </w:pPr>
      <w:r>
        <w:t xml:space="preserve">Builds the conceptual foundation from three converging research streams and identifies the specific gaps that motivate the study.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1.1  Hedonic pricing theory: goods as attribute bundles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Lancaster (1966): consumers derive utility from product characteristics, not goods — products are attribute bundles.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Rosen (1974): the equilibrium hedonic price function P(z); implicit prices are ∂P/∂zᵢ.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Ekeland, Heckman &amp; Nesheim (2004): first-stage hedonic coefficients describe the equilibrium price surface, not structural demand or supply — this governs all interpretive claims in the thesis.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1.2  Hedonic methods in food and agricultural markets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Costanigro &amp; McCluskey (2011): log-linear specification + subcategory controls are the dominant standard in food hedonics.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1.2.1 Search / experience / credence attributes (Nelson 1970; Darby &amp; Karni 1973) — health and freshness claims are credence signals, predicting promotion resilience.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1.2.2 Methodological precedents: wine hedonics (Nerlove 1995; Schamel 2006) justify treating brand and origin as independent premium sources; Ballco &amp; Gracia (2020) and Lusk (2002) caution that hedonic prices ≠ stated WTP.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1.3  Brand equity, product differentiation, and price premiums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1.3.1 Customer-based brand equity (Keller 1993): awareness = recognition + recall; operationalized as is_high_recognition.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1.3.2 Perceived quality (Aaker 1991): price acts as a quality cue; operationalized as is_premium (above subcategory median).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1.3.3 Four-quadrant typology (original construct): crosses Keller × Aaker → Generic, Local &amp; Value, Household Giant, Niche Professional, Prestige Leader — encoded as hierarchical dummies.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1.3.4 Additional premium sources: import origin (Schamel 2006), credence claims (Darby &amp; Karni 1973), and versioning / intertemporal price discrimination (Varian 1997) as the theoretical frame for promotional behaviour.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1.4  Online retail pricing and web-scraped price data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Cavallo (2017): 72% of identical products carry identical prices online vs. offline — web-scraped prices are economically meaningful.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Schipmann &amp; Qaim (2011): retail format confounds hedonic estimates, supporting the single-retailer design.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Singh et al. (2020) and Tran et al. (2025): Vietnamese online shoppers are price-aware and comparison-oriented — the dual-price display carries real informational weight.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1.5  Vietnamese food market context and research gap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Context: Mergenthaler, Weinberger &amp; Qaim (2009) find 60% WTP premiums for food-safety attributes; Trinh et al. (2020) find quality perception dominates price sensitivity; Bell et al. (2021) show category-level heterogeneity.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b/>
          <w:bCs/>
        </w:rPr>
        <w:t xml:space="preserve">Three gaps motivating the thesis: </w:t>
      </w:r>
      <w:r>
        <w:t xml:space="preserve">(1) no hedonic decomposition of Vietnamese grocery prices; (2) no multi-category food hedonic study; (3) no dual-price design in food hedonics.</w:t>
      </w:r>
    </w:p>
    <w:p>
      <w:pPr>
        <w:pStyle w:val="Heading1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Chapter 2 — Methodology</w:t>
      </w:r>
    </w:p>
    <w:p>
      <w:pPr>
        <w:spacing w:after="40" w:before="40" w:line="260"/>
      </w:pPr>
      <w:r>
        <w:t xml:space="preserve">Operationalises the dual-price hedonic design. Each section justifies the chosen approach against explicit alternatives.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2.1  Model selection: the hedonic price framework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Hedonic regression chosen over discrete-choice models (require individual choice data) and over ML methods (predict well but lack stable cardinal coefficients needed for cross-specification erosion comparison).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ML retained only for validation of the brand-positioning typology via a decision-tree check.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2.2  Functional form and estimation strategy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b/>
          <w:bCs/>
        </w:rPr>
        <w:t xml:space="preserve">Core specification (Eq. 2.1): </w:t>
      </w:r>
      <w:r>
        <w:t xml:space="preserve">ln(P/unit) = α + β₁·is_branded + β₂·is_premium + β₃·is_high_recognition + β₄·is_import + β₅·is_house_brand + β₆·ln(pack_size) + β₇·pack_count + β₈·has_health_claim + β₉·has_freshness_claim + β₁₀·name_length + γ·subcategory_FE + ε.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Pooled OLS with 40 subcategory fixed effects and cluster-robust standard errors at the subcategory level.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Rejected alternatives: Box-Cox (breaks cross-specification comparability of the erosion metric), quantile regression (complements rather than replaces OLS), product-level panel FE (absorbs the attribute variation the hedonic model is designed to measure).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2.3  Dual-price design (the methodological contribution)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Identical specification estimated twice — Spec A on ln(marked price/unit), Spec B on ln(final price/unit) — so coefficients are directly comparable.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b/>
          <w:bCs/>
        </w:rPr>
        <w:t xml:space="preserve">Erosion metric (Eq. 2.2): </w:t>
      </w:r>
      <w:r>
        <w:t xml:space="preserve">Erosion(%) = (β_marked − β_final)/β_marked × 100. Positive = premium shrinks at checkout; negative = premium grows; zero = premium preserved.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Design is descriptive, not causal. Alternatives rejected: single-price hedonic (cannot produce the erosion comparison) and difference-in-differences (no clean pre/post treatment boundary — promotions are continuous).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2.4  Feature extraction and brand positioning typology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Nine NLP features extracted from Vietnamese product names: is_branded, is_premium, is_high_recognition, is_import, is_house_brand, ln(pack_size), pack_count, has_health_claim, has_freshness_claim (plus name_length as complexity proxy).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Brand recognition from a curated list of ~30 nationally distributed brands; price-tier from within-subcategory median split.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Hierarchical dummy encoding: is_premium = 1 ⇒ is_branded = 1; is_high_recognition = 1 ⇒ is_branded = 1. Coefficients are therefore incremental, not total effects.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2.5  Price index methodology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Jevons formula, chain-linked geometric mean of matched-product price relatives; base date 18 Dec 2025 = 1.0.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Laspeyres and Törnqvist rejected because expenditure weights are unavailable from web-scraped data; Jevons is the CPI-manual-recommended fallback.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Aggregated into Staples, Other Food, and an Overall index, supporting the GSO CPI nowcasting comparison.</w:t>
      </w:r>
    </w:p>
    <w:p>
      <w:pPr>
        <w:pStyle w:val="Heading1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Chapter 3 — Empirical Applications</w:t>
      </w:r>
    </w:p>
    <w:p>
      <w:pPr>
        <w:spacing w:after="40" w:before="40" w:line="260"/>
      </w:pPr>
      <w:r>
        <w:t xml:space="preserve">Applies the dual-price hedonic design to the 88-day Winmart panel. Table 3.1 in the draft gives the advance summary of coefficients; subsequent sections walk through data, descriptives, pooled estimates, heterogeneity, and diagnostics.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3.1  Data source, collection, and single-retailer design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Winmart.vn (Masan Group), Vietnam's largest modern grocery chain by store count; mid-market positioning in modern trade.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15 scraping robots → daily JSON → dedup → standardized CSV; 10 parent categories, 40 subcategories, 2,286 products, 88 days, prices in VND.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3.2  Data limitations and coverage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Confectionary: cold-started on 2 Feb 2026 (pre-Tết surge unobserved) — excluded from full-window temporal analyses.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Instant Food: 18-day gap (31 Jan – 18 Feb) overlapping the Tết window.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No formal Tết event study attempted — Tết is read descriptively through temporal stability checks.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Sparse-product filter (&lt; 7 days) removes 83 products (3.6%) → effective cross-sectional N ≈ 2,203.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Quantities sold are not observed — study describes price architecture, not demand response.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3.3  Variable definitions and descriptive statistics (Table 3.2)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Brand penetration ranges from ~7.5% in Fresh Produce to ~93% in Baby Products and Spices.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Promotion penetration is the primary promotional lever (0% Eggs &amp; Tofu → 36.1% Spices); discount depth is uniform (~12–19% when promoted).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Import concentrates in Fresh Produce (13.4%); health claims concentrate in Dairy (19.7%) and Baby Products (19.0%).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3.4  Pooled hedonic regression results (Table 3.3; Fig. 3.1)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Adj R² ≈ 0.64 in both specifications — near-identical fit indicates that promotions rescale but do not restructure the price surface.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is_premium +0.429*** (marked) / +0.436*** (final) — the dominant, protected premium (≈ 43–44% markup).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is_branded +0.022 / +0.011 — statistically insignificant; the key null finding.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is_high_recognition −0.255*** / −0.266*** — Household Giants priced below other branded products.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is_house_brand (WinEco) −0.046 (ns) / −0.266*** — dramatic shelf-to-checkout divergence.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ln_pack_size −0.384*** / −0.395*** — scale economies of ~3.8% per 10% pack-size increase.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3.5  Per-category heterogeneity (Table 3.4; Fig. 3.2)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High-confidence fits: Dry Food (R² 0.831), Baby Products (0.753), Dairy (0.688).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Middle band: Fresh Produce (0.539), Spices (0.528), Frozen (0.526).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Low fit: Confectionary (0.422), Processed Food (0.395), Instant Food (0.227 — format/flavor-driven, unmeasured).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Import premium: +1.004 in Fresh Produce (≈ doubles price) vs. −0.608 in Processed Food — extreme category heterogeneity.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Health-claim premium statistically significant only in Spices (+0.382).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3.6  Promotional erosion analysis — the dual-price payoff (Table 3.5; Fig. 3.3)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is_premium: −1.7% erosion → Stable.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is_branded: +50.6% erosion → Eroded (from a near-zero base).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is_high_recognition: +4.3% → Household Giant discount deepens at checkout.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is_import: +19.1% → Partial erosion.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is_house_brand (WinEco): +475.6% → Amplified; parity on shelf, deep discount at checkout.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3.7  Diagnostics and robustness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Multicollinearity: all VIF &lt; 2.0 despite the hierarchical brand encoding.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Heteroskedasticity: Breusch-Pagan rejects (p &lt; 0.001) — justifies cluster-robust SE.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Partial F-test on the 4-variable brand block: F = 58.02 — jointly significant even though is_branded alone is not.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Cook's distance: 86 high-influence products (4.2%); dropping them does not change any coefficient sign.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Temporal stability: three-month snapshots (Dec / Jan / Feb) — coefficients stable, confirming results are not a Tết artefact.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is_premium endogeneity acknowledged; mitigated by ordinal ranking and subcategory-specific thresholds; IV approach flagged for future work.</w:t>
      </w:r>
    </w:p>
    <w:p>
      <w:pPr>
        <w:pStyle w:val="Heading1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Chapter 4 — Discussion and Recommendations</w:t>
      </w:r>
    </w:p>
    <w:p>
      <w:pPr>
        <w:spacing w:after="40" w:before="40" w:line="260"/>
      </w:pPr>
      <w:r>
        <w:t xml:space="preserve">Interprets the empirical patterns through the theoretical frameworks of Chapter 1, states the limitations, and converts the findings into actionable recommendations for four audiences.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4.1  Discussion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Why price-tier is protected: Varian (1997) versioning — discounting the premium tier would collapse the signal that justifies its margin. The −1.7% erosion is a deliberate pricing discipline.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Why brand-name erodes: Household Giants function as traffic-driving anchors; Keller's (1993) awareness construct explains why familiar brands are useful as promotional vehicles even when their shelf premium is small.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WinEco (476% amplification): shelf parity avoids discount stigma while checkout discounts deliver the deepest effective savings — a sophisticated private-label playbook.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Import-origin heterogeneity aligns with Mergenthaler et al. (2009): fresh produce carries acute food-safety concerns; processed food is dominated by local brand equity.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Health claims behave as credence premiums — significant only where food-safety concerns are salient (Spices, Fresh Produce), resilient to promotion.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Pack-size economies (−3.8% per 10% increase) are among the most promotion-resistant savings — physical attributes are not promotional targets.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Tết 2026: no formal event study (data gaps in two Tết-sensitive categories); temporal stability across Dec/Jan/Feb snapshots indicates the pooled findings are not a seasonal artefact.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4.2  Limitations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Single-retailer external validity — results apply to Winmart's online channel, not the Vietnamese food retail sector as a whole.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NLP proxy quality — 310-keyword dictionary is imperfect; deserves manual-subsample validation.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Dynamic catalog and survivorship — products entering/exiting may introduce selection.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No transaction volumes — study describes price architecture, not consumer response.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Unweighted Jevons index — expenditure weights unavailable from scraped data; Törnqvist / Fisher left to future work.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is_premium partly defined from price — mechanical relationship mitigated but not fully eliminated; IV is the clean fix.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4.3  Recommendations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b/>
          <w:bCs/>
        </w:rPr>
        <w:t xml:space="preserve">For consumers: </w:t>
      </w:r>
      <w:r>
        <w:t xml:space="preserve">shop by price tier and unit price, not brand familiarity; compare checkout prices (especially for WinEco, where the sticker looks ordinary but the checkout is ~22 pp deeper).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b/>
          <w:bCs/>
        </w:rPr>
        <w:t xml:space="preserve">For businesses: </w:t>
      </w:r>
      <w:r>
        <w:t xml:space="preserve">premium positioning is promotion-resistant; Household Giants are promotional targets; private labels can follow WinEco's shelf-parity/deep-checkout playbook; import and health-claim investments should be category-selective.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b/>
          <w:bCs/>
        </w:rPr>
        <w:t xml:space="preserve">For public policy and consumer protection: </w:t>
      </w:r>
      <w:r>
        <w:t xml:space="preserve">penetration (not depth) is the primary promotional lever; dual-pricing transparency warrants broader study; unit-price shelf labels would give consumers a reliable, promotion-stable comparison tool.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b/>
          <w:bCs/>
        </w:rPr>
        <w:t xml:space="preserve">For future research: </w:t>
      </w:r>
      <w:r>
        <w:t xml:space="preserve">multi-retailer comparison, transaction-volume / scanner data, and IV-based identification to address is_premium endogeneity.</w:t>
      </w:r>
    </w:p>
    <w:p>
      <w:pPr>
        <w:pStyle w:val="Heading1"/>
        <w:spacing w:after="80" w:before="1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Conclusions</w:t>
      </w:r>
    </w:p>
    <w:p>
      <w:pPr>
        <w:spacing w:after="40" w:before="40" w:line="260"/>
      </w:pPr>
      <w:r>
        <w:t xml:space="preserve">Three principal findings and three methodological contributions close the thesis within an explicitly descriptive — not causal — interpretive scope.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Three principal findings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b/>
          <w:bCs/>
        </w:rPr>
        <w:t xml:space="preserve">1. Price-tier dominance: </w:t>
      </w:r>
      <w:r>
        <w:t xml:space="preserve">premium-tier positioning is the largest and most resilient source of attribute premiums (≈ 43–44% markup; −1.7% erosion).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b/>
          <w:bCs/>
        </w:rPr>
        <w:t xml:space="preserve">2. Selective promotional erosion: </w:t>
      </w:r>
      <w:r>
        <w:t xml:space="preserve">brand-name premiums erode by 50.6%; price-tier premiums survive intact; WinEco amplifies to 476%.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rPr>
          <w:b/>
          <w:bCs/>
        </w:rPr>
        <w:t xml:space="preserve">3. Category-specific credence &amp; physical attributes: </w:t>
      </w:r>
      <w:r>
        <w:t xml:space="preserve">import premium +100% in Fresh Produce vs. −61% in Processed Food; health claims significant only where safety concerns are salient; pack-size savings are large and promotion-resistant.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Three methodological contributions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First hedonic decomposition in Vietnamese online grocery using web-scraped daily data.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Dual-price design delivering the erosion metric as a direct measure of promotional intensity.</w:t>
      </w:r>
    </w:p>
    <w:p>
      <w:pPr>
        <w:pStyle w:val="ListParagraph"/>
        <w:numPr>
          <w:ilvl w:val="0"/>
          <w:numId w:val="2"/>
        </w:numPr>
        <w:spacing w:after="10" w:before="10" w:line="240"/>
      </w:pPr>
      <w:r>
        <w:t xml:space="preserve">Four-quadrant brand-positioning typology operationalising Keller × Aaker as observable regression features.</w:t>
      </w:r>
    </w:p>
    <w:p>
      <w:pPr>
        <w:pStyle w:val="Heading3"/>
        <w:spacing w:after="40" w:before="1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Interpretive scope</w:t>
      </w:r>
    </w:p>
    <w:p>
      <w:pPr>
        <w:spacing w:after="40" w:before="40" w:line="260"/>
      </w:pPr>
      <w:r>
        <w:t xml:space="preserve">The study describes the equilibrium price architecture of one retailer over one window; it does not identify causal mechanisms. Within that scope, it offers a detailed empirical portrait of how product attributes, brand positioning, and promotional pricing interact in a rapidly digitising food market.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8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60" w:before="140"/>
      <w:outlineLvl w:val="1"/>
    </w:pPr>
    <w:rPr>
      <w:rFonts w:ascii="Arial" w:cs="Arial" w:eastAsia="Arial" w:hAnsi="Arial"/>
      <w:b/>
      <w:bCs/>
      <w:color w:val="1F3864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40" w:before="100"/>
      <w:outlineLvl w:val="2"/>
    </w:pPr>
    <w:rPr>
      <w:rFonts w:ascii="Arial" w:cs="Arial" w:eastAsia="Arial" w:hAnsi="Arial"/>
      <w:b/>
      <w:bCs/>
      <w:i/>
      <w:iCs/>
      <w:color w:val="2E549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2026-04-23T03:59:41.247Z</dcterms:created>
  <dcterms:modified xsi:type="dcterms:W3CDTF">2026-04-23T03:59:41.247Z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