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12" w:before="20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600" w:after="0"/>
        <w:jc w:val="center"/>
      </w:pPr>
      <w:r>
        <w:rPr>
          <w:rFonts w:ascii="Times New Roman" w:cs="Times New Roman" w:eastAsia="Times New Roman" w:hAnsi="Times New Roman"/>
          <w:b/>
          <w:bCs/>
          <w:i w:val="false"/>
          <w:iCs w:val="false"/>
          <w:color w:val="000000"/>
          <w:sz w:val="36"/>
          <w:szCs w:val="36"/>
        </w:rPr>
        <w:t xml:space="preserve">HEDONIC PRICE DECOMPOSITION WITH PROMOTIONAL EROSION</w:t>
      </w:r>
    </w:p>
    <w:p>
      <w:pPr>
        <w:spacing w:line="312" w:before="200" w:after="0"/>
        <w:jc w:val="center"/>
      </w:pPr>
      <w:r>
        <w:rPr>
          <w:rFonts w:ascii="Times New Roman" w:cs="Times New Roman" w:eastAsia="Times New Roman" w:hAnsi="Times New Roman"/>
          <w:b/>
          <w:bCs/>
          <w:i w:val="false"/>
          <w:iCs w:val="false"/>
          <w:color w:val="000000"/>
          <w:sz w:val="30"/>
          <w:szCs w:val="30"/>
        </w:rPr>
        <w:t xml:space="preserve">Evidence from Vietnamese Online Grocery</w:t>
      </w:r>
    </w:p>
    <w:p>
      <w:pPr>
        <w:spacing w:line="312" w:before="4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200" w:after="0"/>
        <w:jc w:val="center"/>
      </w:pPr>
      <w:r>
        <w:rPr>
          <w:rFonts w:ascii="Times New Roman" w:cs="Times New Roman" w:eastAsia="Times New Roman" w:hAnsi="Times New Roman"/>
          <w:b/>
          <w:bCs/>
          <w:i w:val="false"/>
          <w:iCs w:val="false"/>
          <w:color w:val="000000"/>
          <w:sz w:val="28"/>
          <w:szCs w:val="28"/>
        </w:rPr>
        <w:t xml:space="preserve">DETAILED CHAPTER OUTLINE</w:t>
      </w:r>
    </w:p>
    <w:p>
      <w:pPr>
        <w:spacing w:line="312" w:before="100" w:after="0"/>
        <w:jc w:val="center"/>
      </w:pPr>
      <w:r>
        <w:rPr>
          <w:rFonts w:ascii="Times New Roman" w:cs="Times New Roman" w:eastAsia="Times New Roman" w:hAnsi="Times New Roman"/>
          <w:b w:val="false"/>
          <w:bCs w:val="false"/>
          <w:i/>
          <w:iCs/>
          <w:color w:val="000000"/>
          <w:sz w:val="24"/>
          <w:szCs w:val="24"/>
        </w:rPr>
        <w:t xml:space="preserve">Chapters 1–4 — Working Draft</w:t>
      </w:r>
    </w:p>
    <w:p>
      <w:pPr>
        <w:spacing w:line="312" w:before="8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120" w:after="0"/>
        <w:jc w:val="center"/>
      </w:pPr>
      <w:r>
        <w:rPr>
          <w:rFonts w:ascii="Times New Roman" w:cs="Times New Roman" w:eastAsia="Times New Roman" w:hAnsi="Times New Roman"/>
          <w:b w:val="false"/>
          <w:bCs w:val="false"/>
          <w:i/>
          <w:iCs/>
          <w:color w:val="666666"/>
          <w:sz w:val="22"/>
          <w:szCs w:val="22"/>
        </w:rPr>
        <w:t xml:space="preserve">Last updated: March 31, 2026</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1: INTRODUCTION</w:t>
      </w:r>
    </w:p>
    <w:p>
      <w:pPr>
        <w:pStyle w:val="Heading2"/>
        <w:spacing w:line="312" w:before="240" w:after="120"/>
        <w:jc w:val="left"/>
      </w:pPr>
      <w:r>
        <w:rPr>
          <w:rFonts w:ascii="Times New Roman" w:cs="Times New Roman" w:eastAsia="Times New Roman" w:hAnsi="Times New Roman"/>
          <w:b/>
          <w:bCs/>
          <w:sz w:val="26"/>
          <w:szCs w:val="26"/>
        </w:rPr>
        <w:t xml:space="preserve">1.1 Research subject and scope</w:t>
      </w:r>
    </w:p>
    <w:p>
      <w:pPr>
        <w:spacing w:line="312" w:before="100" w:after="60"/>
        <w:ind w:left="360"/>
        <w:jc w:val="both"/>
      </w:pPr>
      <w:r>
        <w:rPr>
          <w:rFonts w:ascii="Times New Roman" w:cs="Times New Roman" w:eastAsia="Times New Roman" w:hAnsi="Times New Roman"/>
          <w:b/>
          <w:bCs/>
          <w:color w:val="2E5090"/>
          <w:sz w:val="26"/>
          <w:szCs w:val="26"/>
        </w:rPr>
        <w:t xml:space="preserve">1.1.1  </w:t>
      </w:r>
      <w:r>
        <w:rPr>
          <w:rFonts w:ascii="Times New Roman" w:cs="Times New Roman" w:eastAsia="Times New Roman" w:hAnsi="Times New Roman"/>
          <w:sz w:val="26"/>
          <w:szCs w:val="26"/>
        </w:rPr>
        <w:t xml:space="preserve">Within a single subcategory on Winmart’s online platform, product prices vary 3–5x — a liter of fresh milk ranges from budget house-brand to imported premium. The economic question: what product attributes explain these price differences?</w:t>
      </w:r>
    </w:p>
    <w:p>
      <w:pPr>
        <w:spacing w:line="312" w:before="100" w:after="60"/>
        <w:ind w:left="360"/>
        <w:jc w:val="both"/>
      </w:pPr>
      <w:r>
        <w:rPr>
          <w:rFonts w:ascii="Times New Roman" w:cs="Times New Roman" w:eastAsia="Times New Roman" w:hAnsi="Times New Roman"/>
          <w:b/>
          <w:bCs/>
          <w:color w:val="2E5090"/>
          <w:sz w:val="26"/>
          <w:szCs w:val="26"/>
        </w:rPr>
        <w:t xml:space="preserve">1.1.2  </w:t>
      </w:r>
      <w:r>
        <w:rPr>
          <w:rFonts w:ascii="Times New Roman" w:cs="Times New Roman" w:eastAsia="Times New Roman" w:hAnsi="Times New Roman"/>
          <w:sz w:val="26"/>
          <w:szCs w:val="26"/>
        </w:rPr>
        <w:t xml:space="preserve">This thesis examines attribute-based price premiums in Vietnamese online grocery retail, using 88 days of web-scraped dual-price data (Dec 18, 2025 – Mar 15, 2026) from Winmart, Vietnam’s largest online grocery platform. The dataset covers 10 food categories and approximately 2,280 products.</w:t>
      </w:r>
    </w:p>
    <w:p>
      <w:pPr>
        <w:spacing w:line="312" w:before="100" w:after="60"/>
        <w:ind w:left="360"/>
        <w:jc w:val="both"/>
      </w:pPr>
      <w:r>
        <w:rPr>
          <w:rFonts w:ascii="Times New Roman" w:cs="Times New Roman" w:eastAsia="Times New Roman" w:hAnsi="Times New Roman"/>
          <w:b/>
          <w:bCs/>
          <w:color w:val="2E5090"/>
          <w:sz w:val="26"/>
          <w:szCs w:val="26"/>
        </w:rPr>
        <w:t xml:space="preserve">1.1.3  </w:t>
      </w:r>
      <w:r>
        <w:rPr>
          <w:rFonts w:ascii="Times New Roman" w:cs="Times New Roman" w:eastAsia="Times New Roman" w:hAnsi="Times New Roman"/>
          <w:sz w:val="26"/>
          <w:szCs w:val="26"/>
        </w:rPr>
        <w:t xml:space="preserve">An additional feature of the data: most products display two prices — a marked (sticker) price and a final (checkout) price after promotions. Promotion penetration varies from 93% (Dairy) to 12% (fresh produce). This dual-price structure creates an opportunity to examine whether attribute premiums observed in sticker prices survive at the point of sale. The 88-day data window spans Tet Nguyên Đán 2026 (February 17), capturing peak promotional activity — analytically useful for observing maximum promotional variance.</w:t>
      </w:r>
    </w:p>
    <w:p>
      <w:pPr>
        <w:spacing w:line="312" w:before="60" w:after="60"/>
        <w:ind w:left="360"/>
        <w:jc w:val="left"/>
      </w:pPr>
      <w:r>
        <w:rPr>
          <w:rFonts w:ascii="Times New Roman" w:cs="Times New Roman" w:eastAsia="Times New Roman" w:hAnsi="Times New Roman"/>
          <w:i/>
          <w:iCs/>
          <w:color w:val="CC0000"/>
          <w:sz w:val="22"/>
          <w:szCs w:val="22"/>
        </w:rPr>
        <w:t xml:space="preserve">[NOTE] Tet framing: feature (max promo variance), not limitation. Cross-sectional averaging dampens Tet noise. Subcategory FE absorbs category seasonality. 3-snapshot robustness done.</w:t>
      </w:r>
    </w:p>
    <w:p>
      <w:pPr>
        <w:spacing w:line="312" w:before="100" w:after="60"/>
        <w:ind w:left="360"/>
        <w:jc w:val="both"/>
      </w:pPr>
      <w:r>
        <w:rPr>
          <w:rFonts w:ascii="Times New Roman" w:cs="Times New Roman" w:eastAsia="Times New Roman" w:hAnsi="Times New Roman"/>
          <w:b/>
          <w:bCs/>
          <w:color w:val="2E5090"/>
          <w:sz w:val="26"/>
          <w:szCs w:val="26"/>
        </w:rPr>
        <w:t xml:space="preserve">1.1.4  </w:t>
      </w:r>
      <w:r>
        <w:rPr>
          <w:rFonts w:ascii="Times New Roman" w:cs="Times New Roman" w:eastAsia="Times New Roman" w:hAnsi="Times New Roman"/>
          <w:sz w:val="26"/>
          <w:szCs w:val="26"/>
        </w:rPr>
        <w:t xml:space="preserve">Vietnam’s online grocery sector is growing rapidly, yet there is almost no empirical evidence on how product attributes translate into price premiums in this channel.</w:t>
      </w:r>
    </w:p>
    <w:p>
      <w:pPr>
        <w:spacing w:line="312" w:before="60" w:after="60"/>
        <w:ind w:left="360"/>
        <w:jc w:val="left"/>
      </w:pPr>
      <w:r>
        <w:rPr>
          <w:rFonts w:ascii="Times New Roman" w:cs="Times New Roman" w:eastAsia="Times New Roman" w:hAnsi="Times New Roman"/>
          <w:i/>
          <w:iCs/>
          <w:color w:val="B85C00"/>
          <w:sz w:val="22"/>
          <w:szCs w:val="22"/>
        </w:rPr>
        <w:t xml:space="preserve">→ Having established what we study, §1.2 states why — the specific objectives.</w:t>
      </w:r>
    </w:p>
    <w:p>
      <w:pPr>
        <w:pStyle w:val="Heading2"/>
        <w:spacing w:line="312" w:before="240" w:after="120"/>
        <w:jc w:val="left"/>
      </w:pPr>
      <w:r>
        <w:rPr>
          <w:rFonts w:ascii="Times New Roman" w:cs="Times New Roman" w:eastAsia="Times New Roman" w:hAnsi="Times New Roman"/>
          <w:b/>
          <w:bCs/>
          <w:sz w:val="26"/>
          <w:szCs w:val="26"/>
        </w:rPr>
        <w:t xml:space="preserve">1.2 Research objectives</w:t>
      </w:r>
    </w:p>
    <w:p>
      <w:pPr>
        <w:spacing w:line="312" w:before="100" w:after="60"/>
        <w:ind w:left="360"/>
        <w:jc w:val="both"/>
      </w:pPr>
      <w:r>
        <w:rPr>
          <w:rFonts w:ascii="Times New Roman" w:cs="Times New Roman" w:eastAsia="Times New Roman" w:hAnsi="Times New Roman"/>
          <w:b/>
          <w:bCs/>
          <w:color w:val="2E5090"/>
          <w:sz w:val="26"/>
          <w:szCs w:val="26"/>
        </w:rPr>
        <w:t xml:space="preserve">1.2.1  </w:t>
      </w:r>
      <w:r>
        <w:rPr>
          <w:rFonts w:ascii="Times New Roman" w:cs="Times New Roman" w:eastAsia="Times New Roman" w:hAnsi="Times New Roman"/>
          <w:sz w:val="26"/>
          <w:szCs w:val="26"/>
        </w:rPr>
        <w:t xml:space="preserve">Primary objective: Identify which product attributes (brand positioning, import origin, health claims, pack size, freshness signals) generate price premiums in Vietnamese online grocery.</w:t>
      </w:r>
    </w:p>
    <w:p>
      <w:pPr>
        <w:spacing w:line="312" w:before="100" w:after="60"/>
        <w:ind w:left="360"/>
        <w:jc w:val="both"/>
      </w:pPr>
      <w:r>
        <w:rPr>
          <w:rFonts w:ascii="Times New Roman" w:cs="Times New Roman" w:eastAsia="Times New Roman" w:hAnsi="Times New Roman"/>
          <w:b/>
          <w:bCs/>
          <w:color w:val="2E5090"/>
          <w:sz w:val="26"/>
          <w:szCs w:val="26"/>
        </w:rPr>
        <w:t xml:space="preserve">1.2.2  </w:t>
      </w:r>
      <w:r>
        <w:rPr>
          <w:rFonts w:ascii="Times New Roman" w:cs="Times New Roman" w:eastAsia="Times New Roman" w:hAnsi="Times New Roman"/>
          <w:sz w:val="26"/>
          <w:szCs w:val="26"/>
        </w:rPr>
        <w:t xml:space="preserve">Secondary objective: Exploit the dual-price structure to examine whether promotional discounts erode those attribute premiums differentially at checkout.</w:t>
      </w:r>
    </w:p>
    <w:p>
      <w:pPr>
        <w:spacing w:line="312" w:before="60" w:after="60"/>
        <w:ind w:left="360"/>
        <w:jc w:val="left"/>
      </w:pPr>
      <w:r>
        <w:rPr>
          <w:rFonts w:ascii="Times New Roman" w:cs="Times New Roman" w:eastAsia="Times New Roman" w:hAnsi="Times New Roman"/>
          <w:i/>
          <w:iCs/>
          <w:color w:val="CC0000"/>
          <w:sz w:val="22"/>
          <w:szCs w:val="22"/>
        </w:rPr>
        <w:t xml:space="preserve">[NOTE] Use ‘examine’ not ‘identify causally.’ Promotional erosion is descriptive. Endogeneity acknowledged.</w:t>
      </w:r>
    </w:p>
    <w:p>
      <w:pPr>
        <w:spacing w:line="312" w:before="100" w:after="60"/>
        <w:ind w:left="360"/>
        <w:jc w:val="both"/>
      </w:pPr>
      <w:r>
        <w:rPr>
          <w:rFonts w:ascii="Times New Roman" w:cs="Times New Roman" w:eastAsia="Times New Roman" w:hAnsi="Times New Roman"/>
          <w:b/>
          <w:bCs/>
          <w:color w:val="2E5090"/>
          <w:sz w:val="26"/>
          <w:szCs w:val="26"/>
        </w:rPr>
        <w:t xml:space="preserve">1.2.3  </w:t>
      </w:r>
      <w:r>
        <w:rPr>
          <w:rFonts w:ascii="Times New Roman" w:cs="Times New Roman" w:eastAsia="Times New Roman" w:hAnsi="Times New Roman"/>
          <w:sz w:val="26"/>
          <w:szCs w:val="26"/>
        </w:rPr>
        <w:t xml:space="preserve">Tertiary objective: Examine how attribute premium structures vary across product categories.</w:t>
      </w:r>
    </w:p>
    <w:p>
      <w:pPr>
        <w:spacing w:line="312" w:before="60" w:after="60"/>
        <w:ind w:left="360"/>
        <w:jc w:val="left"/>
      </w:pPr>
      <w:r>
        <w:rPr>
          <w:rFonts w:ascii="Times New Roman" w:cs="Times New Roman" w:eastAsia="Times New Roman" w:hAnsi="Times New Roman"/>
          <w:i/>
          <w:iCs/>
          <w:color w:val="B85C00"/>
          <w:sz w:val="22"/>
          <w:szCs w:val="22"/>
        </w:rPr>
        <w:t xml:space="preserve">→ The objectives require a specific analytical approach — introduced next.</w:t>
      </w:r>
    </w:p>
    <w:p>
      <w:pPr>
        <w:pStyle w:val="Heading2"/>
        <w:spacing w:line="312" w:before="240" w:after="120"/>
        <w:jc w:val="left"/>
      </w:pPr>
      <w:r>
        <w:rPr>
          <w:rFonts w:ascii="Times New Roman" w:cs="Times New Roman" w:eastAsia="Times New Roman" w:hAnsi="Times New Roman"/>
          <w:b/>
          <w:bCs/>
          <w:sz w:val="26"/>
          <w:szCs w:val="26"/>
        </w:rPr>
        <w:t xml:space="preserve">1.3 Overview of research methods</w:t>
      </w:r>
    </w:p>
    <w:p>
      <w:pPr>
        <w:spacing w:line="312" w:before="100" w:after="60"/>
        <w:ind w:left="360"/>
        <w:jc w:val="both"/>
      </w:pPr>
      <w:r>
        <w:rPr>
          <w:rFonts w:ascii="Times New Roman" w:cs="Times New Roman" w:eastAsia="Times New Roman" w:hAnsi="Times New Roman"/>
          <w:b/>
          <w:bCs/>
          <w:color w:val="2E5090"/>
          <w:sz w:val="26"/>
          <w:szCs w:val="26"/>
        </w:rPr>
        <w:t xml:space="preserve">1.3.1  </w:t>
      </w:r>
      <w:r>
        <w:rPr>
          <w:rFonts w:ascii="Times New Roman" w:cs="Times New Roman" w:eastAsia="Times New Roman" w:hAnsi="Times New Roman"/>
          <w:sz w:val="26"/>
          <w:szCs w:val="26"/>
        </w:rPr>
        <w:t xml:space="preserve">Data collection: automated daily web scraping of Winmart’s online platform, yielding matched marked_price and final_price observations for each product on each day.</w:t>
      </w:r>
    </w:p>
    <w:p>
      <w:pPr>
        <w:spacing w:line="312" w:before="100" w:after="60"/>
        <w:ind w:left="360"/>
        <w:jc w:val="both"/>
      </w:pPr>
      <w:r>
        <w:rPr>
          <w:rFonts w:ascii="Times New Roman" w:cs="Times New Roman" w:eastAsia="Times New Roman" w:hAnsi="Times New Roman"/>
          <w:b/>
          <w:bCs/>
          <w:color w:val="2E5090"/>
          <w:sz w:val="26"/>
          <w:szCs w:val="26"/>
        </w:rPr>
        <w:t xml:space="preserve">1.3.2  </w:t>
      </w:r>
      <w:r>
        <w:rPr>
          <w:rFonts w:ascii="Times New Roman" w:cs="Times New Roman" w:eastAsia="Times New Roman" w:hAnsi="Times New Roman"/>
          <w:sz w:val="26"/>
          <w:szCs w:val="26"/>
        </w:rPr>
        <w:t xml:space="preserve">Feature extraction: NLP-based extraction of 9 product attributes from product names. Validated against manual coding on a 100-product subset (see §3.3).</w:t>
      </w:r>
    </w:p>
    <w:p>
      <w:pPr>
        <w:spacing w:line="312" w:before="100" w:after="60"/>
        <w:ind w:left="360"/>
        <w:jc w:val="both"/>
      </w:pPr>
      <w:r>
        <w:rPr>
          <w:rFonts w:ascii="Times New Roman" w:cs="Times New Roman" w:eastAsia="Times New Roman" w:hAnsi="Times New Roman"/>
          <w:b/>
          <w:bCs/>
          <w:color w:val="2E5090"/>
          <w:sz w:val="26"/>
          <w:szCs w:val="26"/>
        </w:rPr>
        <w:t xml:space="preserve">1.3.3  </w:t>
      </w:r>
      <w:r>
        <w:rPr>
          <w:rFonts w:ascii="Times New Roman" w:cs="Times New Roman" w:eastAsia="Times New Roman" w:hAnsi="Times New Roman"/>
          <w:sz w:val="26"/>
          <w:szCs w:val="26"/>
        </w:rPr>
        <w:t xml:space="preserve">Brand positioning classification: a 4-quadrant typology based on brand recognition × price tier, grounded in Keller (1993) and Aaker (1991).</w:t>
      </w:r>
    </w:p>
    <w:p>
      <w:pPr>
        <w:spacing w:line="312" w:before="100" w:after="60"/>
        <w:ind w:left="360"/>
        <w:jc w:val="both"/>
      </w:pPr>
      <w:r>
        <w:rPr>
          <w:rFonts w:ascii="Times New Roman" w:cs="Times New Roman" w:eastAsia="Times New Roman" w:hAnsi="Times New Roman"/>
          <w:b/>
          <w:bCs/>
          <w:color w:val="2E5090"/>
          <w:sz w:val="26"/>
          <w:szCs w:val="26"/>
        </w:rPr>
        <w:t xml:space="preserve">1.3.4  </w:t>
      </w:r>
      <w:r>
        <w:rPr>
          <w:rFonts w:ascii="Times New Roman" w:cs="Times New Roman" w:eastAsia="Times New Roman" w:hAnsi="Times New Roman"/>
          <w:sz w:val="26"/>
          <w:szCs w:val="26"/>
        </w:rPr>
        <w:t xml:space="preserve">Analytical framework: dual-price hedonic regression — pooled OLS with subcategory fixed effects and cluster-robust standard errors. Same specification estimated twice (marked price, then final price); coefficients compared.</w:t>
      </w:r>
    </w:p>
    <w:p>
      <w:pPr>
        <w:spacing w:line="312" w:before="100" w:after="60"/>
        <w:ind w:left="360"/>
        <w:jc w:val="both"/>
      </w:pPr>
      <w:r>
        <w:rPr>
          <w:rFonts w:ascii="Times New Roman" w:cs="Times New Roman" w:eastAsia="Times New Roman" w:hAnsi="Times New Roman"/>
          <w:b/>
          <w:bCs/>
          <w:color w:val="2E5090"/>
          <w:sz w:val="26"/>
          <w:szCs w:val="26"/>
        </w:rPr>
        <w:t xml:space="preserve">1.3.5  </w:t>
      </w:r>
      <w:r>
        <w:rPr>
          <w:rFonts w:ascii="Times New Roman" w:cs="Times New Roman" w:eastAsia="Times New Roman" w:hAnsi="Times New Roman"/>
          <w:sz w:val="26"/>
          <w:szCs w:val="26"/>
        </w:rPr>
        <w:t xml:space="preserve">Single-retailer design rationale: restricting to one retailer controls for platform-level pricing confounds. Deliberate design choice (elaborated in Chapter 3).</w:t>
      </w:r>
    </w:p>
    <w:p>
      <w:pPr>
        <w:spacing w:line="312" w:before="60" w:after="60"/>
        <w:ind w:left="360"/>
        <w:jc w:val="left"/>
      </w:pPr>
      <w:r>
        <w:rPr>
          <w:rFonts w:ascii="Times New Roman" w:cs="Times New Roman" w:eastAsia="Times New Roman" w:hAnsi="Times New Roman"/>
          <w:i/>
          <w:iCs/>
          <w:color w:val="B85C00"/>
          <w:sz w:val="22"/>
          <w:szCs w:val="22"/>
        </w:rPr>
        <w:t xml:space="preserve">→ Having described what, why, and how — §1.4 states what is new.</w:t>
      </w:r>
    </w:p>
    <w:p>
      <w:pPr>
        <w:pStyle w:val="Heading2"/>
        <w:spacing w:line="312" w:before="240" w:after="120"/>
        <w:jc w:val="left"/>
      </w:pPr>
      <w:r>
        <w:rPr>
          <w:rFonts w:ascii="Times New Roman" w:cs="Times New Roman" w:eastAsia="Times New Roman" w:hAnsi="Times New Roman"/>
          <w:b/>
          <w:bCs/>
          <w:sz w:val="26"/>
          <w:szCs w:val="26"/>
        </w:rPr>
        <w:t xml:space="preserve">1.4 Contribution and thesis structure</w:t>
      </w:r>
    </w:p>
    <w:p>
      <w:pPr>
        <w:spacing w:line="312" w:before="100" w:after="60"/>
        <w:ind w:left="360"/>
        <w:jc w:val="both"/>
      </w:pPr>
      <w:r>
        <w:rPr>
          <w:rFonts w:ascii="Times New Roman" w:cs="Times New Roman" w:eastAsia="Times New Roman" w:hAnsi="Times New Roman"/>
          <w:b/>
          <w:bCs/>
          <w:color w:val="2E5090"/>
          <w:sz w:val="26"/>
          <w:szCs w:val="26"/>
        </w:rPr>
        <w:t xml:space="preserve">1.4.1  </w:t>
      </w:r>
      <w:r>
        <w:rPr>
          <w:rFonts w:ascii="Times New Roman" w:cs="Times New Roman" w:eastAsia="Times New Roman" w:hAnsi="Times New Roman"/>
          <w:sz w:val="26"/>
          <w:szCs w:val="26"/>
        </w:rPr>
        <w:t xml:space="preserve">Contribution #1: First hedonic decomposition of product attribute premiums in Vietnamese online grocery retail. Framed as ‘the price architecture of Vietnam’s largest online grocery platform.’</w:t>
      </w:r>
    </w:p>
    <w:p>
      <w:pPr>
        <w:spacing w:line="312" w:before="100" w:after="60"/>
        <w:ind w:left="360"/>
        <w:jc w:val="both"/>
      </w:pPr>
      <w:r>
        <w:rPr>
          <w:rFonts w:ascii="Times New Roman" w:cs="Times New Roman" w:eastAsia="Times New Roman" w:hAnsi="Times New Roman"/>
          <w:b/>
          <w:bCs/>
          <w:color w:val="2E5090"/>
          <w:sz w:val="26"/>
          <w:szCs w:val="26"/>
        </w:rPr>
        <w:t xml:space="preserve">1.4.2  </w:t>
      </w:r>
      <w:r>
        <w:rPr>
          <w:rFonts w:ascii="Times New Roman" w:cs="Times New Roman" w:eastAsia="Times New Roman" w:hAnsi="Times New Roman"/>
          <w:sz w:val="26"/>
          <w:szCs w:val="26"/>
        </w:rPr>
        <w:t xml:space="preserve">Contribution #2: Novel dual-price design separating sticker-price premiums from checkout-price premiums.</w:t>
      </w:r>
    </w:p>
    <w:p>
      <w:pPr>
        <w:spacing w:line="312" w:before="100" w:after="60"/>
        <w:ind w:left="360"/>
        <w:jc w:val="both"/>
      </w:pPr>
      <w:r>
        <w:rPr>
          <w:rFonts w:ascii="Times New Roman" w:cs="Times New Roman" w:eastAsia="Times New Roman" w:hAnsi="Times New Roman"/>
          <w:b/>
          <w:bCs/>
          <w:color w:val="2E5090"/>
          <w:sz w:val="26"/>
          <w:szCs w:val="26"/>
        </w:rPr>
        <w:t xml:space="preserve">1.4.3  </w:t>
      </w:r>
      <w:r>
        <w:rPr>
          <w:rFonts w:ascii="Times New Roman" w:cs="Times New Roman" w:eastAsia="Times New Roman" w:hAnsi="Times New Roman"/>
          <w:sz w:val="26"/>
          <w:szCs w:val="26"/>
        </w:rPr>
        <w:t xml:space="preserve">Contribution #3: A 4-quadrant brand positioning typology operationalizing Keller’s (1993) brand knowledge dimensions.</w:t>
      </w:r>
    </w:p>
    <w:p>
      <w:pPr>
        <w:spacing w:line="312" w:before="100" w:after="60"/>
        <w:ind w:left="360"/>
        <w:jc w:val="both"/>
      </w:pPr>
      <w:r>
        <w:rPr>
          <w:rFonts w:ascii="Times New Roman" w:cs="Times New Roman" w:eastAsia="Times New Roman" w:hAnsi="Times New Roman"/>
          <w:b/>
          <w:bCs/>
          <w:color w:val="2E5090"/>
          <w:sz w:val="26"/>
          <w:szCs w:val="26"/>
        </w:rPr>
        <w:t xml:space="preserve">1.4.4  </w:t>
      </w:r>
      <w:r>
        <w:rPr>
          <w:rFonts w:ascii="Times New Roman" w:cs="Times New Roman" w:eastAsia="Times New Roman" w:hAnsi="Times New Roman"/>
          <w:sz w:val="26"/>
          <w:szCs w:val="26"/>
        </w:rPr>
        <w:t xml:space="preserve">Thesis structure: Ch 2 (lit review) → Ch 3 (data &amp; methods) → Ch 4 (results &amp; discussion) → Ch 5 (conclusion).</w:t>
      </w:r>
    </w:p>
    <w:p>
      <w:pPr>
        <w:spacing w:line="312" w:before="60" w:after="60"/>
        <w:ind w:left="360"/>
        <w:jc w:val="left"/>
      </w:pPr>
      <w:r>
        <w:rPr>
          <w:rFonts w:ascii="Times New Roman" w:cs="Times New Roman" w:eastAsia="Times New Roman" w:hAnsi="Times New Roman"/>
          <w:i/>
          <w:iCs/>
          <w:color w:val="B85C00"/>
          <w:sz w:val="22"/>
          <w:szCs w:val="22"/>
        </w:rPr>
        <w:t xml:space="preserve">→ Chapter 1 promises a gap. Chapter 2 demonstrates it. Chapter 3 fills it.</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2: LITERATURE REVIEW</w:t>
      </w:r>
    </w:p>
    <w:p>
      <w:pPr>
        <w:spacing w:line="312" w:before="120" w:after="0"/>
        <w:jc w:val="both"/>
      </w:pPr>
      <w:r>
        <w:rPr>
          <w:rFonts w:ascii="Times New Roman" w:cs="Times New Roman" w:eastAsia="Times New Roman" w:hAnsi="Times New Roman"/>
          <w:b/>
          <w:bCs/>
          <w:i w:val="false"/>
          <w:iCs w:val="false"/>
          <w:color w:val="000000"/>
          <w:sz w:val="26"/>
          <w:szCs w:val="26"/>
        </w:rPr>
        <w:t xml:space="preserve">Opening paragraph: </w:t>
      </w:r>
      <w:r>
        <w:rPr>
          <w:rFonts w:ascii="Times New Roman" w:cs="Times New Roman" w:eastAsia="Times New Roman" w:hAnsi="Times New Roman"/>
          <w:b w:val="false"/>
          <w:bCs w:val="false"/>
          <w:i w:val="false"/>
          <w:iCs w:val="false"/>
          <w:color w:val="000000"/>
          <w:sz w:val="26"/>
          <w:szCs w:val="26"/>
        </w:rPr>
        <w:t xml:space="preserve">Three research streams converge — hedonic pricing theory, brand equity and product differentiation, Vietnamese food market studies. §2.1 establishes theory. §2.2 reviews food empirics. §2.3 examines which attributes generate premiums. §2.4 validates online data. §2.5 identifies the gap.</w:t>
      </w:r>
    </w:p>
    <w:p>
      <w:pPr>
        <w:pStyle w:val="Heading2"/>
        <w:spacing w:line="312" w:before="240" w:after="120"/>
        <w:jc w:val="left"/>
      </w:pPr>
      <w:r>
        <w:rPr>
          <w:rFonts w:ascii="Times New Roman" w:cs="Times New Roman" w:eastAsia="Times New Roman" w:hAnsi="Times New Roman"/>
          <w:b/>
          <w:bCs/>
          <w:sz w:val="26"/>
          <w:szCs w:val="26"/>
        </w:rPr>
        <w:t xml:space="preserve">2.1 Hedonic Pricing Theory: Goods as Attribute Bundles</w:t>
      </w:r>
    </w:p>
    <w:p>
      <w:pPr>
        <w:spacing w:line="312" w:before="100" w:after="60"/>
        <w:ind w:left="360"/>
        <w:jc w:val="both"/>
      </w:pPr>
      <w:r>
        <w:rPr>
          <w:rFonts w:ascii="Times New Roman" w:cs="Times New Roman" w:eastAsia="Times New Roman" w:hAnsi="Times New Roman"/>
          <w:b/>
          <w:bCs/>
          <w:color w:val="2E5090"/>
          <w:sz w:val="26"/>
          <w:szCs w:val="26"/>
        </w:rPr>
        <w:t xml:space="preserve">2.1.1  </w:t>
      </w:r>
      <w:r>
        <w:rPr>
          <w:rFonts w:ascii="Times New Roman" w:cs="Times New Roman" w:eastAsia="Times New Roman" w:hAnsi="Times New Roman"/>
          <w:sz w:val="26"/>
          <w:szCs w:val="26"/>
        </w:rPr>
        <w:t xml:space="preserve">Lancaster (1966): consumers derive utility from characteristics, not goods. Theoretical basis for price decomposition.
</w:t>
      </w:r>
      <w:r>
        <w:rPr>
          <w:rFonts w:ascii="Times New Roman" w:cs="Times New Roman" w:eastAsia="Times New Roman" w:hAnsi="Times New Roman"/>
          <w:i/>
          <w:iCs/>
          <w:color w:val="666666"/>
          <w:sz w:val="22"/>
          <w:szCs w:val="22"/>
        </w:rPr>
        <w:t xml:space="preserve">Source: Lancaster (1966) ✔</w:t>
      </w:r>
    </w:p>
    <w:p>
      <w:pPr>
        <w:spacing w:line="312" w:before="100" w:after="60"/>
        <w:ind w:left="360"/>
        <w:jc w:val="both"/>
      </w:pPr>
      <w:r>
        <w:rPr>
          <w:rFonts w:ascii="Times New Roman" w:cs="Times New Roman" w:eastAsia="Times New Roman" w:hAnsi="Times New Roman"/>
          <w:b/>
          <w:bCs/>
          <w:color w:val="2E5090"/>
          <w:sz w:val="26"/>
          <w:szCs w:val="26"/>
        </w:rPr>
        <w:t xml:space="preserve">2.1.2  </w:t>
      </w:r>
      <w:r>
        <w:rPr>
          <w:rFonts w:ascii="Times New Roman" w:cs="Times New Roman" w:eastAsia="Times New Roman" w:hAnsi="Times New Roman"/>
          <w:sz w:val="26"/>
          <w:szCs w:val="26"/>
        </w:rPr>
        <w:t xml:space="preserve">Rosen (1974): equilibrium hedonic price function; implicit prices as partial derivatives.
</w:t>
      </w:r>
      <w:r>
        <w:rPr>
          <w:rFonts w:ascii="Times New Roman" w:cs="Times New Roman" w:eastAsia="Times New Roman" w:hAnsi="Times New Roman"/>
          <w:i/>
          <w:iCs/>
          <w:color w:val="666666"/>
          <w:sz w:val="22"/>
          <w:szCs w:val="22"/>
        </w:rPr>
        <w:t xml:space="preserve">Source: Rosen (1974) [NEED PDF]</w:t>
      </w:r>
    </w:p>
    <w:p>
      <w:pPr>
        <w:spacing w:line="312" w:before="100" w:after="60"/>
        <w:ind w:left="360"/>
        <w:jc w:val="both"/>
      </w:pPr>
      <w:r>
        <w:rPr>
          <w:rFonts w:ascii="Times New Roman" w:cs="Times New Roman" w:eastAsia="Times New Roman" w:hAnsi="Times New Roman"/>
          <w:b/>
          <w:bCs/>
          <w:color w:val="2E5090"/>
          <w:sz w:val="26"/>
          <w:szCs w:val="26"/>
        </w:rPr>
        <w:t xml:space="preserve">2.1.3  </w:t>
      </w:r>
      <w:r>
        <w:rPr>
          <w:rFonts w:ascii="Times New Roman" w:cs="Times New Roman" w:eastAsia="Times New Roman" w:hAnsi="Times New Roman"/>
          <w:sz w:val="26"/>
          <w:szCs w:val="26"/>
        </w:rPr>
        <w:t xml:space="preserve">Ekeland, Heckman &amp; Nesheim (2001): identification problem — first-stage hedonic = equilibrium, not pure demand.
</w:t>
      </w:r>
      <w:r>
        <w:rPr>
          <w:rFonts w:ascii="Times New Roman" w:cs="Times New Roman" w:eastAsia="Times New Roman" w:hAnsi="Times New Roman"/>
          <w:i/>
          <w:iCs/>
          <w:color w:val="666666"/>
          <w:sz w:val="22"/>
          <w:szCs w:val="22"/>
        </w:rPr>
        <w:t xml:space="preserve">Source: Ekeland et al. (2001) ✔</w:t>
      </w:r>
    </w:p>
    <w:p>
      <w:pPr>
        <w:spacing w:line="312" w:before="100" w:after="60"/>
        <w:ind w:left="360"/>
        <w:jc w:val="both"/>
      </w:pPr>
      <w:r>
        <w:rPr>
          <w:rFonts w:ascii="Times New Roman" w:cs="Times New Roman" w:eastAsia="Times New Roman" w:hAnsi="Times New Roman"/>
          <w:b/>
          <w:bCs/>
          <w:color w:val="2E5090"/>
          <w:sz w:val="26"/>
          <w:szCs w:val="26"/>
        </w:rPr>
        <w:t xml:space="preserve">2.1.4  </w:t>
      </w:r>
      <w:r>
        <w:rPr>
          <w:rFonts w:ascii="Times New Roman" w:cs="Times New Roman" w:eastAsia="Times New Roman" w:hAnsi="Times New Roman"/>
          <w:sz w:val="26"/>
          <w:szCs w:val="26"/>
        </w:rPr>
        <w:t xml:space="preserve">Lucas (1975): multiple valid interpretations. Single-retailer design mitigates identification.
</w:t>
      </w:r>
      <w:r>
        <w:rPr>
          <w:rFonts w:ascii="Times New Roman" w:cs="Times New Roman" w:eastAsia="Times New Roman" w:hAnsi="Times New Roman"/>
          <w:i/>
          <w:iCs/>
          <w:color w:val="666666"/>
          <w:sz w:val="22"/>
          <w:szCs w:val="22"/>
        </w:rPr>
        <w:t xml:space="preserve">Source: Lucas (1975) ✔</w:t>
      </w:r>
    </w:p>
    <w:p>
      <w:pPr>
        <w:spacing w:line="312" w:before="60" w:after="60"/>
        <w:ind w:left="360"/>
        <w:jc w:val="left"/>
      </w:pPr>
      <w:r>
        <w:rPr>
          <w:rFonts w:ascii="Times New Roman" w:cs="Times New Roman" w:eastAsia="Times New Roman" w:hAnsi="Times New Roman"/>
          <w:i/>
          <w:iCs/>
          <w:color w:val="B85C00"/>
          <w:sz w:val="22"/>
          <w:szCs w:val="22"/>
        </w:rPr>
        <w:t xml:space="preserve">→ Theory done. §2.2: does this work for food?</w:t>
      </w:r>
    </w:p>
    <w:p>
      <w:pPr>
        <w:pStyle w:val="Heading2"/>
        <w:spacing w:line="312" w:before="240" w:after="120"/>
        <w:jc w:val="left"/>
      </w:pPr>
      <w:r>
        <w:rPr>
          <w:rFonts w:ascii="Times New Roman" w:cs="Times New Roman" w:eastAsia="Times New Roman" w:hAnsi="Times New Roman"/>
          <w:b/>
          <w:bCs/>
          <w:sz w:val="26"/>
          <w:szCs w:val="26"/>
        </w:rPr>
        <w:t xml:space="preserve">2.2 Hedonic Methods in Food and Agricultural Markets</w:t>
      </w:r>
    </w:p>
    <w:p>
      <w:pPr>
        <w:spacing w:line="312" w:before="100" w:after="60"/>
        <w:ind w:left="360"/>
        <w:jc w:val="both"/>
      </w:pPr>
      <w:r>
        <w:rPr>
          <w:rFonts w:ascii="Times New Roman" w:cs="Times New Roman" w:eastAsia="Times New Roman" w:hAnsi="Times New Roman"/>
          <w:b/>
          <w:bCs/>
          <w:color w:val="2E5090"/>
          <w:sz w:val="26"/>
          <w:szCs w:val="26"/>
        </w:rPr>
        <w:t xml:space="preserve">2.2.1  </w:t>
      </w:r>
      <w:r>
        <w:rPr>
          <w:rFonts w:ascii="Times New Roman" w:cs="Times New Roman" w:eastAsia="Times New Roman" w:hAnsi="Times New Roman"/>
          <w:sz w:val="26"/>
          <w:szCs w:val="26"/>
        </w:rPr>
        <w:t xml:space="preserve">Costanigro &amp; McCluskey (2011): food hedonic methodology — log-linear spec, subcategory controls.
</w:t>
      </w:r>
      <w:r>
        <w:rPr>
          <w:rFonts w:ascii="Times New Roman" w:cs="Times New Roman" w:eastAsia="Times New Roman" w:hAnsi="Times New Roman"/>
          <w:i/>
          <w:iCs/>
          <w:color w:val="666666"/>
          <w:sz w:val="22"/>
          <w:szCs w:val="22"/>
        </w:rPr>
        <w:t xml:space="preserve">Source: Costanigro &amp; McCluskey (2011) ✔ (methodology, not theory)</w:t>
      </w:r>
    </w:p>
    <w:p>
      <w:pPr>
        <w:spacing w:line="312" w:before="100" w:after="60"/>
        <w:ind w:left="360"/>
        <w:jc w:val="both"/>
      </w:pPr>
      <w:r>
        <w:rPr>
          <w:rFonts w:ascii="Times New Roman" w:cs="Times New Roman" w:eastAsia="Times New Roman" w:hAnsi="Times New Roman"/>
          <w:b/>
          <w:bCs/>
          <w:color w:val="2E5090"/>
          <w:sz w:val="26"/>
          <w:szCs w:val="26"/>
        </w:rPr>
        <w:t xml:space="preserve">2.2.2  </w:t>
      </w:r>
      <w:r>
        <w:rPr>
          <w:rFonts w:ascii="Times New Roman" w:cs="Times New Roman" w:eastAsia="Times New Roman" w:hAnsi="Times New Roman"/>
          <w:sz w:val="26"/>
          <w:szCs w:val="26"/>
        </w:rPr>
        <w:t xml:space="preserve">Nelson (1970): search vs. experience goods distinction.
</w:t>
      </w:r>
      <w:r>
        <w:rPr>
          <w:rFonts w:ascii="Times New Roman" w:cs="Times New Roman" w:eastAsia="Times New Roman" w:hAnsi="Times New Roman"/>
          <w:i/>
          <w:iCs/>
          <w:color w:val="666666"/>
          <w:sz w:val="22"/>
          <w:szCs w:val="22"/>
        </w:rPr>
        <w:t xml:space="preserve">Source: Nelson (1970) ✔ PRIMARY</w:t>
      </w:r>
    </w:p>
    <w:p>
      <w:pPr>
        <w:spacing w:line="312" w:before="100" w:after="60"/>
        <w:ind w:left="360"/>
        <w:jc w:val="both"/>
      </w:pPr>
      <w:r>
        <w:rPr>
          <w:rFonts w:ascii="Times New Roman" w:cs="Times New Roman" w:eastAsia="Times New Roman" w:hAnsi="Times New Roman"/>
          <w:b/>
          <w:bCs/>
          <w:color w:val="2E5090"/>
          <w:sz w:val="26"/>
          <w:szCs w:val="26"/>
        </w:rPr>
        <w:t xml:space="preserve">2.2.3  </w:t>
      </w:r>
      <w:r>
        <w:rPr>
          <w:rFonts w:ascii="Times New Roman" w:cs="Times New Roman" w:eastAsia="Times New Roman" w:hAnsi="Times New Roman"/>
          <w:sz w:val="26"/>
          <w:szCs w:val="26"/>
        </w:rPr>
        <w:t xml:space="preserve">Darby &amp; Karni (1973): credence attributes — cannot verify even after purchase.
</w:t>
      </w:r>
      <w:r>
        <w:rPr>
          <w:rFonts w:ascii="Times New Roman" w:cs="Times New Roman" w:eastAsia="Times New Roman" w:hAnsi="Times New Roman"/>
          <w:i/>
          <w:iCs/>
          <w:color w:val="666666"/>
          <w:sz w:val="22"/>
          <w:szCs w:val="22"/>
        </w:rPr>
        <w:t xml:space="preserve">Source: Darby &amp; Karni (1973) ✔ PRIMARY</w:t>
      </w:r>
    </w:p>
    <w:p>
      <w:pPr>
        <w:spacing w:line="312" w:before="100" w:after="60"/>
        <w:ind w:left="360"/>
        <w:jc w:val="both"/>
      </w:pPr>
      <w:r>
        <w:rPr>
          <w:rFonts w:ascii="Times New Roman" w:cs="Times New Roman" w:eastAsia="Times New Roman" w:hAnsi="Times New Roman"/>
          <w:b/>
          <w:bCs/>
          <w:color w:val="2E5090"/>
          <w:sz w:val="26"/>
          <w:szCs w:val="26"/>
        </w:rPr>
        <w:t xml:space="preserve">2.2.4  </w:t>
      </w:r>
      <w:r>
        <w:rPr>
          <w:rFonts w:ascii="Times New Roman" w:cs="Times New Roman" w:eastAsia="Times New Roman" w:hAnsi="Times New Roman"/>
          <w:sz w:val="26"/>
          <w:szCs w:val="26"/>
        </w:rPr>
        <w:t xml:space="preserve">Malpezzi: applied review, functional form guidance, omitted variable concerns.
</w:t>
      </w:r>
      <w:r>
        <w:rPr>
          <w:rFonts w:ascii="Times New Roman" w:cs="Times New Roman" w:eastAsia="Times New Roman" w:hAnsi="Times New Roman"/>
          <w:i/>
          <w:iCs/>
          <w:color w:val="666666"/>
          <w:sz w:val="22"/>
          <w:szCs w:val="22"/>
        </w:rPr>
        <w:t xml:space="preserve">Source: Malpezzi ✔</w:t>
      </w:r>
    </w:p>
    <w:p>
      <w:pPr>
        <w:spacing w:line="312" w:before="100" w:after="60"/>
        <w:ind w:left="360"/>
        <w:jc w:val="both"/>
      </w:pPr>
      <w:r>
        <w:rPr>
          <w:rFonts w:ascii="Times New Roman" w:cs="Times New Roman" w:eastAsia="Times New Roman" w:hAnsi="Times New Roman"/>
          <w:b/>
          <w:bCs/>
          <w:color w:val="2E5090"/>
          <w:sz w:val="26"/>
          <w:szCs w:val="26"/>
        </w:rPr>
        <w:t xml:space="preserve">2.2.5  </w:t>
      </w:r>
      <w:r>
        <w:rPr>
          <w:rFonts w:ascii="Times New Roman" w:cs="Times New Roman" w:eastAsia="Times New Roman" w:hAnsi="Times New Roman"/>
          <w:sz w:val="26"/>
          <w:szCs w:val="26"/>
        </w:rPr>
        <w:t xml:space="preserve">Nerlove (1995) + Schamel (2006): wine hedonics — brand and origin premiums exist independently.
</w:t>
      </w:r>
      <w:r>
        <w:rPr>
          <w:rFonts w:ascii="Times New Roman" w:cs="Times New Roman" w:eastAsia="Times New Roman" w:hAnsi="Times New Roman"/>
          <w:i/>
          <w:iCs/>
          <w:color w:val="666666"/>
          <w:sz w:val="22"/>
          <w:szCs w:val="22"/>
        </w:rPr>
        <w:t xml:space="preserve">Source: Nerlove (1995) ✔ + Schamel (2006) ✔</w:t>
      </w:r>
    </w:p>
    <w:p>
      <w:pPr>
        <w:spacing w:line="312" w:before="100" w:after="60"/>
        <w:ind w:left="360"/>
        <w:jc w:val="both"/>
      </w:pPr>
      <w:r>
        <w:rPr>
          <w:rFonts w:ascii="Times New Roman" w:cs="Times New Roman" w:eastAsia="Times New Roman" w:hAnsi="Times New Roman"/>
          <w:b/>
          <w:bCs/>
          <w:color w:val="2E5090"/>
          <w:sz w:val="26"/>
          <w:szCs w:val="26"/>
        </w:rPr>
        <w:t xml:space="preserve">2.2.6  </w:t>
      </w:r>
      <w:r>
        <w:rPr>
          <w:rFonts w:ascii="Times New Roman" w:cs="Times New Roman" w:eastAsia="Times New Roman" w:hAnsi="Times New Roman"/>
          <w:sz w:val="26"/>
          <w:szCs w:val="26"/>
        </w:rPr>
        <w:t xml:space="preserve">Ballco &amp; Gracia (2020): market prices ≠ consumer WTP. Motivates dual-price design.
</w:t>
      </w:r>
      <w:r>
        <w:rPr>
          <w:rFonts w:ascii="Times New Roman" w:cs="Times New Roman" w:eastAsia="Times New Roman" w:hAnsi="Times New Roman"/>
          <w:i/>
          <w:iCs/>
          <w:color w:val="666666"/>
          <w:sz w:val="22"/>
          <w:szCs w:val="22"/>
        </w:rPr>
        <w:t xml:space="preserve">Source: Ballco &amp; Gracia (2020) ✔</w:t>
      </w:r>
    </w:p>
    <w:p>
      <w:pPr>
        <w:spacing w:line="312" w:before="100" w:after="60"/>
        <w:ind w:left="360"/>
        <w:jc w:val="both"/>
      </w:pPr>
      <w:r>
        <w:rPr>
          <w:rFonts w:ascii="Times New Roman" w:cs="Times New Roman" w:eastAsia="Times New Roman" w:hAnsi="Times New Roman"/>
          <w:b/>
          <w:bCs/>
          <w:color w:val="2E5090"/>
          <w:sz w:val="26"/>
          <w:szCs w:val="26"/>
        </w:rPr>
        <w:t xml:space="preserve">2.2.7  </w:t>
      </w:r>
      <w:r>
        <w:rPr>
          <w:rFonts w:ascii="Times New Roman" w:cs="Times New Roman" w:eastAsia="Times New Roman" w:hAnsi="Times New Roman"/>
          <w:sz w:val="26"/>
          <w:szCs w:val="26"/>
        </w:rPr>
        <w:t xml:space="preserve">Xuan (2021) + Lusk (2002): Vietnamese credence premiums + hypothetical bias.
</w:t>
      </w:r>
      <w:r>
        <w:rPr>
          <w:rFonts w:ascii="Times New Roman" w:cs="Times New Roman" w:eastAsia="Times New Roman" w:hAnsi="Times New Roman"/>
          <w:i/>
          <w:iCs/>
          <w:color w:val="666666"/>
          <w:sz w:val="22"/>
          <w:szCs w:val="22"/>
        </w:rPr>
        <w:t xml:space="preserve">Source: Xuan (2021) ✔ + Lusk (2002) ✔</w:t>
      </w:r>
    </w:p>
    <w:p>
      <w:pPr>
        <w:spacing w:line="312" w:before="100" w:after="60"/>
        <w:ind w:left="360"/>
        <w:jc w:val="both"/>
      </w:pPr>
      <w:r>
        <w:rPr>
          <w:rFonts w:ascii="Times New Roman" w:cs="Times New Roman" w:eastAsia="Times New Roman" w:hAnsi="Times New Roman"/>
          <w:b/>
          <w:bCs/>
          <w:color w:val="2E5090"/>
          <w:sz w:val="26"/>
          <w:szCs w:val="26"/>
        </w:rPr>
        <w:t xml:space="preserve">2.2.8  </w:t>
      </w:r>
      <w:r>
        <w:rPr>
          <w:rFonts w:ascii="Times New Roman" w:cs="Times New Roman" w:eastAsia="Times New Roman" w:hAnsi="Times New Roman"/>
          <w:sz w:val="26"/>
          <w:szCs w:val="26"/>
        </w:rPr>
        <w:t xml:space="preserve">GAP: all single-commodity. No multi-category grocery hedonic.</w:t>
      </w:r>
    </w:p>
    <w:p>
      <w:pPr>
        <w:spacing w:line="312" w:before="60" w:after="60"/>
        <w:ind w:left="360"/>
        <w:jc w:val="left"/>
      </w:pPr>
      <w:r>
        <w:rPr>
          <w:rFonts w:ascii="Times New Roman" w:cs="Times New Roman" w:eastAsia="Times New Roman" w:hAnsi="Times New Roman"/>
          <w:i/>
          <w:iCs/>
          <w:color w:val="B85C00"/>
          <w:sz w:val="22"/>
          <w:szCs w:val="22"/>
        </w:rPr>
        <w:t xml:space="preserve">→ §2.3: what attributes should generate premiums?</w:t>
      </w:r>
    </w:p>
    <w:p>
      <w:pPr>
        <w:pStyle w:val="Heading2"/>
        <w:spacing w:line="312" w:before="240" w:after="120"/>
        <w:jc w:val="left"/>
      </w:pPr>
      <w:r>
        <w:rPr>
          <w:rFonts w:ascii="Times New Roman" w:cs="Times New Roman" w:eastAsia="Times New Roman" w:hAnsi="Times New Roman"/>
          <w:b/>
          <w:bCs/>
          <w:sz w:val="26"/>
          <w:szCs w:val="26"/>
        </w:rPr>
        <w:t xml:space="preserve">2.3 Brand Equity, Product Differentiation, and Price Premiums</w:t>
      </w:r>
    </w:p>
    <w:p>
      <w:pPr>
        <w:spacing w:line="312" w:before="100" w:after="60"/>
        <w:ind w:left="360"/>
        <w:jc w:val="both"/>
      </w:pPr>
      <w:r>
        <w:rPr>
          <w:rFonts w:ascii="Times New Roman" w:cs="Times New Roman" w:eastAsia="Times New Roman" w:hAnsi="Times New Roman"/>
          <w:b/>
          <w:bCs/>
          <w:color w:val="2E5090"/>
          <w:sz w:val="26"/>
          <w:szCs w:val="26"/>
        </w:rPr>
        <w:t xml:space="preserve">2.3.1  </w:t>
      </w:r>
      <w:r>
        <w:rPr>
          <w:rFonts w:ascii="Times New Roman" w:cs="Times New Roman" w:eastAsia="Times New Roman" w:hAnsi="Times New Roman"/>
          <w:sz w:val="26"/>
          <w:szCs w:val="26"/>
        </w:rPr>
        <w:t xml:space="preserve">Keller (1993): CBBE = brand awareness + brand image. → recognition axis.
</w:t>
      </w:r>
      <w:r>
        <w:rPr>
          <w:rFonts w:ascii="Times New Roman" w:cs="Times New Roman" w:eastAsia="Times New Roman" w:hAnsi="Times New Roman"/>
          <w:i/>
          <w:iCs/>
          <w:color w:val="666666"/>
          <w:sz w:val="22"/>
          <w:szCs w:val="22"/>
        </w:rPr>
        <w:t xml:space="preserve">Source: Keller (1993) ✔ PRIMARY</w:t>
      </w:r>
    </w:p>
    <w:p>
      <w:pPr>
        <w:spacing w:line="312" w:before="100" w:after="60"/>
        <w:ind w:left="360"/>
        <w:jc w:val="both"/>
      </w:pPr>
      <w:r>
        <w:rPr>
          <w:rFonts w:ascii="Times New Roman" w:cs="Times New Roman" w:eastAsia="Times New Roman" w:hAnsi="Times New Roman"/>
          <w:b/>
          <w:bCs/>
          <w:color w:val="2E5090"/>
          <w:sz w:val="26"/>
          <w:szCs w:val="26"/>
        </w:rPr>
        <w:t xml:space="preserve">2.3.2  </w:t>
      </w:r>
      <w:r>
        <w:rPr>
          <w:rFonts w:ascii="Times New Roman" w:cs="Times New Roman" w:eastAsia="Times New Roman" w:hAnsi="Times New Roman"/>
          <w:sz w:val="26"/>
          <w:szCs w:val="26"/>
        </w:rPr>
        <w:t xml:space="preserve">Aaker (1991): perceived quality dimension. → price-tier axis.
</w:t>
      </w:r>
      <w:r>
        <w:rPr>
          <w:rFonts w:ascii="Times New Roman" w:cs="Times New Roman" w:eastAsia="Times New Roman" w:hAnsi="Times New Roman"/>
          <w:i/>
          <w:iCs/>
          <w:color w:val="666666"/>
          <w:sz w:val="22"/>
          <w:szCs w:val="22"/>
        </w:rPr>
        <w:t xml:space="preserve">Source: Aaker (1991) ✔ PRIMARY</w:t>
      </w:r>
    </w:p>
    <w:p>
      <w:pPr>
        <w:spacing w:line="312" w:before="100" w:after="60"/>
        <w:ind w:left="360"/>
        <w:jc w:val="both"/>
      </w:pPr>
      <w:r>
        <w:rPr>
          <w:rFonts w:ascii="Times New Roman" w:cs="Times New Roman" w:eastAsia="Times New Roman" w:hAnsi="Times New Roman"/>
          <w:b/>
          <w:bCs/>
          <w:color w:val="2E5090"/>
          <w:sz w:val="26"/>
          <w:szCs w:val="26"/>
        </w:rPr>
        <w:t xml:space="preserve">2.3.3  </w:t>
      </w:r>
      <w:r>
        <w:rPr>
          <w:rFonts w:ascii="Times New Roman" w:cs="Times New Roman" w:eastAsia="Times New Roman" w:hAnsi="Times New Roman"/>
          <w:sz w:val="26"/>
          <w:szCs w:val="26"/>
        </w:rPr>
        <w:t xml:space="preserve">Our 4-quadrant typology = Keller (awareness) × Aaker (perceived quality).
</w:t>
      </w:r>
      <w:r>
        <w:rPr>
          <w:rFonts w:ascii="Times New Roman" w:cs="Times New Roman" w:eastAsia="Times New Roman" w:hAnsi="Times New Roman"/>
          <w:i/>
          <w:iCs/>
          <w:color w:val="666666"/>
          <w:sz w:val="22"/>
          <w:szCs w:val="22"/>
        </w:rPr>
        <w:t xml:space="preserve">Source: Thesis operationalization</w:t>
      </w:r>
    </w:p>
    <w:p>
      <w:pPr>
        <w:spacing w:line="312" w:before="100" w:after="60"/>
        <w:ind w:left="360"/>
        <w:jc w:val="both"/>
      </w:pPr>
      <w:r>
        <w:rPr>
          <w:rFonts w:ascii="Times New Roman" w:cs="Times New Roman" w:eastAsia="Times New Roman" w:hAnsi="Times New Roman"/>
          <w:b/>
          <w:bCs/>
          <w:color w:val="2E5090"/>
          <w:sz w:val="26"/>
          <w:szCs w:val="26"/>
        </w:rPr>
        <w:t xml:space="preserve">2.3.4  </w:t>
      </w:r>
      <w:r>
        <w:rPr>
          <w:rFonts w:ascii="Times New Roman" w:cs="Times New Roman" w:eastAsia="Times New Roman" w:hAnsi="Times New Roman"/>
          <w:sz w:val="26"/>
          <w:szCs w:val="26"/>
        </w:rPr>
        <w:t xml:space="preserve">Kapferer (2008): brand identity prism — 6 facets of differentiation.
</w:t>
      </w:r>
      <w:r>
        <w:rPr>
          <w:rFonts w:ascii="Times New Roman" w:cs="Times New Roman" w:eastAsia="Times New Roman" w:hAnsi="Times New Roman"/>
          <w:i/>
          <w:iCs/>
          <w:color w:val="666666"/>
          <w:sz w:val="22"/>
          <w:szCs w:val="22"/>
        </w:rPr>
        <w:t xml:space="preserve">Source: Kapferer (2008) ✔</w:t>
      </w:r>
    </w:p>
    <w:p>
      <w:pPr>
        <w:spacing w:line="312" w:before="100" w:after="60"/>
        <w:ind w:left="360"/>
        <w:jc w:val="both"/>
      </w:pPr>
      <w:r>
        <w:rPr>
          <w:rFonts w:ascii="Times New Roman" w:cs="Times New Roman" w:eastAsia="Times New Roman" w:hAnsi="Times New Roman"/>
          <w:b/>
          <w:bCs/>
          <w:color w:val="2E5090"/>
          <w:sz w:val="26"/>
          <w:szCs w:val="26"/>
        </w:rPr>
        <w:t xml:space="preserve">2.3.5  </w:t>
      </w:r>
      <w:r>
        <w:rPr>
          <w:rFonts w:ascii="Times New Roman" w:cs="Times New Roman" w:eastAsia="Times New Roman" w:hAnsi="Times New Roman"/>
          <w:sz w:val="26"/>
          <w:szCs w:val="26"/>
        </w:rPr>
        <w:t xml:space="preserve">Schamel (2006): geographic origin = independent premium source. → import premium.
</w:t>
      </w:r>
      <w:r>
        <w:rPr>
          <w:rFonts w:ascii="Times New Roman" w:cs="Times New Roman" w:eastAsia="Times New Roman" w:hAnsi="Times New Roman"/>
          <w:i/>
          <w:iCs/>
          <w:color w:val="666666"/>
          <w:sz w:val="22"/>
          <w:szCs w:val="22"/>
        </w:rPr>
        <w:t xml:space="preserve">Source: Schamel (2006) ✔</w:t>
      </w:r>
    </w:p>
    <w:p>
      <w:pPr>
        <w:spacing w:line="312" w:before="100" w:after="60"/>
        <w:ind w:left="360"/>
        <w:jc w:val="both"/>
      </w:pPr>
      <w:r>
        <w:rPr>
          <w:rFonts w:ascii="Times New Roman" w:cs="Times New Roman" w:eastAsia="Times New Roman" w:hAnsi="Times New Roman"/>
          <w:b/>
          <w:bCs/>
          <w:color w:val="2E5090"/>
          <w:sz w:val="26"/>
          <w:szCs w:val="26"/>
        </w:rPr>
        <w:t xml:space="preserve">2.3.6  </w:t>
      </w:r>
      <w:r>
        <w:rPr>
          <w:rFonts w:ascii="Times New Roman" w:cs="Times New Roman" w:eastAsia="Times New Roman" w:hAnsi="Times New Roman"/>
          <w:sz w:val="26"/>
          <w:szCs w:val="26"/>
        </w:rPr>
        <w:t xml:space="preserve">Darby &amp; Karni (1973) applied: health claims = credence → resilient premiums.
</w:t>
      </w:r>
      <w:r>
        <w:rPr>
          <w:rFonts w:ascii="Times New Roman" w:cs="Times New Roman" w:eastAsia="Times New Roman" w:hAnsi="Times New Roman"/>
          <w:i/>
          <w:iCs/>
          <w:color w:val="666666"/>
          <w:sz w:val="22"/>
          <w:szCs w:val="22"/>
        </w:rPr>
        <w:t xml:space="preserve">Source: Darby &amp; Karni (1973) ✔</w:t>
      </w:r>
    </w:p>
    <w:p>
      <w:pPr>
        <w:spacing w:line="312" w:before="100" w:after="60"/>
        <w:ind w:left="360"/>
        <w:jc w:val="both"/>
      </w:pPr>
      <w:r>
        <w:rPr>
          <w:rFonts w:ascii="Times New Roman" w:cs="Times New Roman" w:eastAsia="Times New Roman" w:hAnsi="Times New Roman"/>
          <w:b/>
          <w:bCs/>
          <w:color w:val="2E5090"/>
          <w:sz w:val="26"/>
          <w:szCs w:val="26"/>
        </w:rPr>
        <w:t xml:space="preserve">2.3.7  </w:t>
      </w:r>
      <w:r>
        <w:rPr>
          <w:rFonts w:ascii="Times New Roman" w:cs="Times New Roman" w:eastAsia="Times New Roman" w:hAnsi="Times New Roman"/>
          <w:sz w:val="26"/>
          <w:szCs w:val="26"/>
        </w:rPr>
        <w:t xml:space="preserve">(Secondary) Varian (1997): versioning/quality discrimination. Promotional erosion = retailer strategy.
</w:t>
      </w:r>
      <w:r>
        <w:rPr>
          <w:rFonts w:ascii="Times New Roman" w:cs="Times New Roman" w:eastAsia="Times New Roman" w:hAnsi="Times New Roman"/>
          <w:i/>
          <w:iCs/>
          <w:color w:val="666666"/>
          <w:sz w:val="22"/>
          <w:szCs w:val="22"/>
        </w:rPr>
        <w:t xml:space="preserve">Source: Varian (1997) ✔</w:t>
      </w:r>
    </w:p>
    <w:p>
      <w:pPr>
        <w:spacing w:line="312" w:before="100" w:after="60"/>
        <w:ind w:left="360"/>
        <w:jc w:val="both"/>
      </w:pPr>
      <w:r>
        <w:rPr>
          <w:rFonts w:ascii="Times New Roman" w:cs="Times New Roman" w:eastAsia="Times New Roman" w:hAnsi="Times New Roman"/>
          <w:b/>
          <w:bCs/>
          <w:color w:val="2E5090"/>
          <w:sz w:val="26"/>
          <w:szCs w:val="26"/>
        </w:rPr>
        <w:t xml:space="preserve">2.3.8  </w:t>
      </w:r>
      <w:r>
        <w:rPr>
          <w:rFonts w:ascii="Times New Roman" w:cs="Times New Roman" w:eastAsia="Times New Roman" w:hAnsi="Times New Roman"/>
          <w:sz w:val="26"/>
          <w:szCs w:val="26"/>
        </w:rPr>
        <w:t xml:space="preserve">(Secondary) MacDonald (2000): counter-cyclical food pricing at demand peaks.
</w:t>
      </w:r>
      <w:r>
        <w:rPr>
          <w:rFonts w:ascii="Times New Roman" w:cs="Times New Roman" w:eastAsia="Times New Roman" w:hAnsi="Times New Roman"/>
          <w:i/>
          <w:iCs/>
          <w:color w:val="666666"/>
          <w:sz w:val="22"/>
          <w:szCs w:val="22"/>
        </w:rPr>
        <w:t xml:space="preserve">Source: MacDonald (2000) ✔</w:t>
      </w:r>
    </w:p>
    <w:p>
      <w:pPr>
        <w:spacing w:line="312" w:before="60" w:after="60"/>
        <w:ind w:left="360"/>
        <w:jc w:val="left"/>
      </w:pPr>
      <w:r>
        <w:rPr>
          <w:rFonts w:ascii="Times New Roman" w:cs="Times New Roman" w:eastAsia="Times New Roman" w:hAnsi="Times New Roman"/>
          <w:i/>
          <w:iCs/>
          <w:color w:val="B85C00"/>
          <w:sz w:val="22"/>
          <w:szCs w:val="22"/>
        </w:rPr>
        <w:t xml:space="preserve">→ §2.4: is online data valid?</w:t>
      </w:r>
    </w:p>
    <w:p>
      <w:pPr>
        <w:pStyle w:val="Heading2"/>
        <w:spacing w:line="312" w:before="240" w:after="120"/>
        <w:jc w:val="left"/>
      </w:pPr>
      <w:r>
        <w:rPr>
          <w:rFonts w:ascii="Times New Roman" w:cs="Times New Roman" w:eastAsia="Times New Roman" w:hAnsi="Times New Roman"/>
          <w:b/>
          <w:bCs/>
          <w:sz w:val="26"/>
          <w:szCs w:val="26"/>
        </w:rPr>
        <w:t xml:space="preserve">2.4 Online Retail Pricing and Web-Scraped Price Data</w:t>
      </w:r>
    </w:p>
    <w:p>
      <w:pPr>
        <w:spacing w:line="312" w:before="100" w:after="60"/>
        <w:ind w:left="360"/>
        <w:jc w:val="both"/>
      </w:pPr>
      <w:r>
        <w:rPr>
          <w:rFonts w:ascii="Times New Roman" w:cs="Times New Roman" w:eastAsia="Times New Roman" w:hAnsi="Times New Roman"/>
          <w:b/>
          <w:bCs/>
          <w:color w:val="2E5090"/>
          <w:sz w:val="26"/>
          <w:szCs w:val="26"/>
        </w:rPr>
        <w:t xml:space="preserve">2.4.1  </w:t>
      </w:r>
      <w:r>
        <w:rPr>
          <w:rFonts w:ascii="Times New Roman" w:cs="Times New Roman" w:eastAsia="Times New Roman" w:hAnsi="Times New Roman"/>
          <w:sz w:val="26"/>
          <w:szCs w:val="26"/>
        </w:rPr>
        <w:t xml:space="preserve">Cavallo (2017): online ≈ offline prices (72% identical).
</w:t>
      </w:r>
      <w:r>
        <w:rPr>
          <w:rFonts w:ascii="Times New Roman" w:cs="Times New Roman" w:eastAsia="Times New Roman" w:hAnsi="Times New Roman"/>
          <w:i/>
          <w:iCs/>
          <w:color w:val="666666"/>
          <w:sz w:val="22"/>
          <w:szCs w:val="22"/>
        </w:rPr>
        <w:t xml:space="preserve">Source: Cavallo (2017) ✔</w:t>
      </w:r>
    </w:p>
    <w:p>
      <w:pPr>
        <w:spacing w:line="312" w:before="100" w:after="60"/>
        <w:ind w:left="360"/>
        <w:jc w:val="both"/>
      </w:pPr>
      <w:r>
        <w:rPr>
          <w:rFonts w:ascii="Times New Roman" w:cs="Times New Roman" w:eastAsia="Times New Roman" w:hAnsi="Times New Roman"/>
          <w:b/>
          <w:bCs/>
          <w:color w:val="2E5090"/>
          <w:sz w:val="26"/>
          <w:szCs w:val="26"/>
        </w:rPr>
        <w:t xml:space="preserve">2.4.2  </w:t>
      </w:r>
      <w:r>
        <w:rPr>
          <w:rFonts w:ascii="Times New Roman" w:cs="Times New Roman" w:eastAsia="Times New Roman" w:hAnsi="Times New Roman"/>
          <w:sz w:val="26"/>
          <w:szCs w:val="26"/>
        </w:rPr>
        <w:t xml:space="preserve">Hulten (2002): daily data avoids temporal aggregation bias.
</w:t>
      </w:r>
      <w:r>
        <w:rPr>
          <w:rFonts w:ascii="Times New Roman" w:cs="Times New Roman" w:eastAsia="Times New Roman" w:hAnsi="Times New Roman"/>
          <w:i/>
          <w:iCs/>
          <w:color w:val="666666"/>
          <w:sz w:val="22"/>
          <w:szCs w:val="22"/>
        </w:rPr>
        <w:t xml:space="preserve">Source: Hulten (2002) ✔</w:t>
      </w:r>
    </w:p>
    <w:p>
      <w:pPr>
        <w:spacing w:line="312" w:before="100" w:after="60"/>
        <w:ind w:left="360"/>
        <w:jc w:val="both"/>
      </w:pPr>
      <w:r>
        <w:rPr>
          <w:rFonts w:ascii="Times New Roman" w:cs="Times New Roman" w:eastAsia="Times New Roman" w:hAnsi="Times New Roman"/>
          <w:b/>
          <w:bCs/>
          <w:color w:val="2E5090"/>
          <w:sz w:val="26"/>
          <w:szCs w:val="26"/>
        </w:rPr>
        <w:t xml:space="preserve">2.4.3  </w:t>
      </w:r>
      <w:r>
        <w:rPr>
          <w:rFonts w:ascii="Times New Roman" w:cs="Times New Roman" w:eastAsia="Times New Roman" w:hAnsi="Times New Roman"/>
          <w:sz w:val="26"/>
          <w:szCs w:val="26"/>
        </w:rPr>
        <w:t xml:space="preserve">Tran et al. (2025): Hanoi e-commerce adoption — price-aware shoppers.
</w:t>
      </w:r>
      <w:r>
        <w:rPr>
          <w:rFonts w:ascii="Times New Roman" w:cs="Times New Roman" w:eastAsia="Times New Roman" w:hAnsi="Times New Roman"/>
          <w:i/>
          <w:iCs/>
          <w:color w:val="666666"/>
          <w:sz w:val="22"/>
          <w:szCs w:val="22"/>
        </w:rPr>
        <w:t xml:space="preserve">Source: Tran et al. (2025) ✔</w:t>
      </w:r>
    </w:p>
    <w:p>
      <w:pPr>
        <w:spacing w:line="312" w:before="100" w:after="60"/>
        <w:ind w:left="360"/>
        <w:jc w:val="both"/>
      </w:pPr>
      <w:r>
        <w:rPr>
          <w:rFonts w:ascii="Times New Roman" w:cs="Times New Roman" w:eastAsia="Times New Roman" w:hAnsi="Times New Roman"/>
          <w:b/>
          <w:bCs/>
          <w:color w:val="2E5090"/>
          <w:sz w:val="26"/>
          <w:szCs w:val="26"/>
        </w:rPr>
        <w:t xml:space="preserve">2.4.4  </w:t>
      </w:r>
      <w:r>
        <w:rPr>
          <w:rFonts w:ascii="Times New Roman" w:cs="Times New Roman" w:eastAsia="Times New Roman" w:hAnsi="Times New Roman"/>
          <w:sz w:val="26"/>
          <w:szCs w:val="26"/>
        </w:rPr>
        <w:t xml:space="preserve">Singh et al. (2020): Vietnamese digital store perceptions — urban, mid-income base.
</w:t>
      </w:r>
      <w:r>
        <w:rPr>
          <w:rFonts w:ascii="Times New Roman" w:cs="Times New Roman" w:eastAsia="Times New Roman" w:hAnsi="Times New Roman"/>
          <w:i/>
          <w:iCs/>
          <w:color w:val="666666"/>
          <w:sz w:val="22"/>
          <w:szCs w:val="22"/>
        </w:rPr>
        <w:t xml:space="preserve">Source: Singh et al. (2020) ✔</w:t>
      </w:r>
    </w:p>
    <w:p>
      <w:pPr>
        <w:spacing w:line="312" w:before="100" w:after="60"/>
        <w:ind w:left="360"/>
        <w:jc w:val="both"/>
      </w:pPr>
      <w:r>
        <w:rPr>
          <w:rFonts w:ascii="Times New Roman" w:cs="Times New Roman" w:eastAsia="Times New Roman" w:hAnsi="Times New Roman"/>
          <w:b/>
          <w:bCs/>
          <w:color w:val="2E5090"/>
          <w:sz w:val="26"/>
          <w:szCs w:val="26"/>
        </w:rPr>
        <w:t xml:space="preserve">2.4.5  </w:t>
      </w:r>
      <w:r>
        <w:rPr>
          <w:rFonts w:ascii="Times New Roman" w:cs="Times New Roman" w:eastAsia="Times New Roman" w:hAnsi="Times New Roman"/>
          <w:sz w:val="26"/>
          <w:szCs w:val="26"/>
        </w:rPr>
        <w:t xml:space="preserve">Schipmann &amp; Qaim (2011): retailer format creates price variation → justifies single-retailer.
</w:t>
      </w:r>
      <w:r>
        <w:rPr>
          <w:rFonts w:ascii="Times New Roman" w:cs="Times New Roman" w:eastAsia="Times New Roman" w:hAnsi="Times New Roman"/>
          <w:i/>
          <w:iCs/>
          <w:color w:val="666666"/>
          <w:sz w:val="22"/>
          <w:szCs w:val="22"/>
        </w:rPr>
        <w:t xml:space="preserve">Source: Schipmann &amp; Qaim (2011) ✔</w:t>
      </w:r>
    </w:p>
    <w:p>
      <w:pPr>
        <w:spacing w:line="312" w:before="60" w:after="60"/>
        <w:ind w:left="360"/>
        <w:jc w:val="left"/>
      </w:pPr>
      <w:r>
        <w:rPr>
          <w:rFonts w:ascii="Times New Roman" w:cs="Times New Roman" w:eastAsia="Times New Roman" w:hAnsi="Times New Roman"/>
          <w:i/>
          <w:iCs/>
          <w:color w:val="B85C00"/>
          <w:sz w:val="22"/>
          <w:szCs w:val="22"/>
        </w:rPr>
        <w:t xml:space="preserve">→ §2.5: Vietnam context and the gap.</w:t>
      </w:r>
    </w:p>
    <w:p>
      <w:pPr>
        <w:pStyle w:val="Heading2"/>
        <w:spacing w:line="312" w:before="240" w:after="120"/>
        <w:jc w:val="left"/>
      </w:pPr>
      <w:r>
        <w:rPr>
          <w:rFonts w:ascii="Times New Roman" w:cs="Times New Roman" w:eastAsia="Times New Roman" w:hAnsi="Times New Roman"/>
          <w:b/>
          <w:bCs/>
          <w:sz w:val="26"/>
          <w:szCs w:val="26"/>
        </w:rPr>
        <w:t xml:space="preserve">2.5 Vietnamese Food Market Context and Research Gap</w:t>
      </w:r>
    </w:p>
    <w:p>
      <w:pPr>
        <w:spacing w:line="312" w:before="100" w:after="60"/>
        <w:ind w:left="360"/>
        <w:jc w:val="both"/>
      </w:pPr>
      <w:r>
        <w:rPr>
          <w:rFonts w:ascii="Times New Roman" w:cs="Times New Roman" w:eastAsia="Times New Roman" w:hAnsi="Times New Roman"/>
          <w:b/>
          <w:bCs/>
          <w:color w:val="2E5090"/>
          <w:sz w:val="26"/>
          <w:szCs w:val="26"/>
        </w:rPr>
        <w:t xml:space="preserve">2.5.1  </w:t>
      </w:r>
      <w:r>
        <w:rPr>
          <w:rFonts w:ascii="Times New Roman" w:cs="Times New Roman" w:eastAsia="Times New Roman" w:hAnsi="Times New Roman"/>
          <w:sz w:val="26"/>
          <w:szCs w:val="26"/>
        </w:rPr>
        <w:t xml:space="preserve">Mergenthaler et al. (2009): Vietnamese WTP for food safety (60% premiums).
</w:t>
      </w:r>
      <w:r>
        <w:rPr>
          <w:rFonts w:ascii="Times New Roman" w:cs="Times New Roman" w:eastAsia="Times New Roman" w:hAnsi="Times New Roman"/>
          <w:i/>
          <w:iCs/>
          <w:color w:val="666666"/>
          <w:sz w:val="22"/>
          <w:szCs w:val="22"/>
        </w:rPr>
        <w:t xml:space="preserve">Source: Mergenthaler et al. (2009) ✔</w:t>
      </w:r>
    </w:p>
    <w:p>
      <w:pPr>
        <w:spacing w:line="312" w:before="100" w:after="60"/>
        <w:ind w:left="360"/>
        <w:jc w:val="both"/>
      </w:pPr>
      <w:r>
        <w:rPr>
          <w:rFonts w:ascii="Times New Roman" w:cs="Times New Roman" w:eastAsia="Times New Roman" w:hAnsi="Times New Roman"/>
          <w:b/>
          <w:bCs/>
          <w:color w:val="2E5090"/>
          <w:sz w:val="26"/>
          <w:szCs w:val="26"/>
        </w:rPr>
        <w:t xml:space="preserve">2.5.2  </w:t>
      </w:r>
      <w:r>
        <w:rPr>
          <w:rFonts w:ascii="Times New Roman" w:cs="Times New Roman" w:eastAsia="Times New Roman" w:hAnsi="Times New Roman"/>
          <w:sz w:val="26"/>
          <w:szCs w:val="26"/>
        </w:rPr>
        <w:t xml:space="preserve">Bell et al. (2021): food values vary by category in peri-urban Hanoi.
</w:t>
      </w:r>
      <w:r>
        <w:rPr>
          <w:rFonts w:ascii="Times New Roman" w:cs="Times New Roman" w:eastAsia="Times New Roman" w:hAnsi="Times New Roman"/>
          <w:i/>
          <w:iCs/>
          <w:color w:val="666666"/>
          <w:sz w:val="22"/>
          <w:szCs w:val="22"/>
        </w:rPr>
        <w:t xml:space="preserve">Source: Bell et al. (2021) ✔</w:t>
      </w:r>
    </w:p>
    <w:p>
      <w:pPr>
        <w:spacing w:line="312" w:before="100" w:after="60"/>
        <w:ind w:left="360"/>
        <w:jc w:val="both"/>
      </w:pPr>
      <w:r>
        <w:rPr>
          <w:rFonts w:ascii="Times New Roman" w:cs="Times New Roman" w:eastAsia="Times New Roman" w:hAnsi="Times New Roman"/>
          <w:b/>
          <w:bCs/>
          <w:color w:val="2E5090"/>
          <w:sz w:val="26"/>
          <w:szCs w:val="26"/>
        </w:rPr>
        <w:t xml:space="preserve">2.5.3  </w:t>
      </w:r>
      <w:r>
        <w:rPr>
          <w:rFonts w:ascii="Times New Roman" w:cs="Times New Roman" w:eastAsia="Times New Roman" w:hAnsi="Times New Roman"/>
          <w:sz w:val="26"/>
          <w:szCs w:val="26"/>
        </w:rPr>
        <w:t xml:space="preserve">Nguyen et al. (2015): quality &gt; price in Vietnamese supermarket buying.
</w:t>
      </w:r>
      <w:r>
        <w:rPr>
          <w:rFonts w:ascii="Times New Roman" w:cs="Times New Roman" w:eastAsia="Times New Roman" w:hAnsi="Times New Roman"/>
          <w:i/>
          <w:iCs/>
          <w:color w:val="666666"/>
          <w:sz w:val="22"/>
          <w:szCs w:val="22"/>
        </w:rPr>
        <w:t xml:space="preserve">Source: Nguyen et al. (2015) ✔</w:t>
      </w:r>
    </w:p>
    <w:p>
      <w:pPr>
        <w:spacing w:line="312" w:before="100" w:after="60"/>
        <w:ind w:left="360"/>
        <w:jc w:val="both"/>
      </w:pPr>
      <w:r>
        <w:rPr>
          <w:rFonts w:ascii="Times New Roman" w:cs="Times New Roman" w:eastAsia="Times New Roman" w:hAnsi="Times New Roman"/>
          <w:b/>
          <w:bCs/>
          <w:color w:val="2E5090"/>
          <w:sz w:val="26"/>
          <w:szCs w:val="26"/>
        </w:rPr>
        <w:t xml:space="preserve">2.5.4  </w:t>
      </w:r>
      <w:r>
        <w:rPr>
          <w:rFonts w:ascii="Times New Roman" w:cs="Times New Roman" w:eastAsia="Times New Roman" w:hAnsi="Times New Roman"/>
          <w:sz w:val="26"/>
          <w:szCs w:val="26"/>
        </w:rPr>
        <w:t xml:space="preserve">Bairagi et al. (2020): structural shift toward differentiated products.
</w:t>
      </w:r>
      <w:r>
        <w:rPr>
          <w:rFonts w:ascii="Times New Roman" w:cs="Times New Roman" w:eastAsia="Times New Roman" w:hAnsi="Times New Roman"/>
          <w:i/>
          <w:iCs/>
          <w:color w:val="666666"/>
          <w:sz w:val="22"/>
          <w:szCs w:val="22"/>
        </w:rPr>
        <w:t xml:space="preserve">Source: Bairagi et al. (2020) ✔</w:t>
      </w:r>
    </w:p>
    <w:p>
      <w:pPr>
        <w:spacing w:line="312" w:before="100" w:after="60"/>
        <w:ind w:left="360"/>
        <w:jc w:val="both"/>
      </w:pPr>
      <w:r>
        <w:rPr>
          <w:rFonts w:ascii="Times New Roman" w:cs="Times New Roman" w:eastAsia="Times New Roman" w:hAnsi="Times New Roman"/>
          <w:b/>
          <w:bCs/>
          <w:color w:val="2E5090"/>
          <w:sz w:val="26"/>
          <w:szCs w:val="26"/>
        </w:rPr>
        <w:t xml:space="preserve">2.5.5  </w:t>
      </w:r>
      <w:r>
        <w:rPr>
          <w:rFonts w:ascii="Times New Roman" w:cs="Times New Roman" w:eastAsia="Times New Roman" w:hAnsi="Times New Roman"/>
          <w:sz w:val="26"/>
          <w:szCs w:val="26"/>
        </w:rPr>
        <w:t xml:space="preserve">GAP #1: No hedonic decomposition of Vietnamese grocery prices.</w:t>
      </w:r>
    </w:p>
    <w:p>
      <w:pPr>
        <w:spacing w:line="312" w:before="100" w:after="60"/>
        <w:ind w:left="360"/>
        <w:jc w:val="both"/>
      </w:pPr>
      <w:r>
        <w:rPr>
          <w:rFonts w:ascii="Times New Roman" w:cs="Times New Roman" w:eastAsia="Times New Roman" w:hAnsi="Times New Roman"/>
          <w:b/>
          <w:bCs/>
          <w:color w:val="2E5090"/>
          <w:sz w:val="26"/>
          <w:szCs w:val="26"/>
        </w:rPr>
        <w:t xml:space="preserve">2.5.6  </w:t>
      </w:r>
      <w:r>
        <w:rPr>
          <w:rFonts w:ascii="Times New Roman" w:cs="Times New Roman" w:eastAsia="Times New Roman" w:hAnsi="Times New Roman"/>
          <w:sz w:val="26"/>
          <w:szCs w:val="26"/>
        </w:rPr>
        <w:t xml:space="preserve">GAP #2: No multi-category food hedonic study.</w:t>
      </w:r>
    </w:p>
    <w:p>
      <w:pPr>
        <w:spacing w:line="312" w:before="100" w:after="60"/>
        <w:ind w:left="360"/>
        <w:jc w:val="both"/>
      </w:pPr>
      <w:r>
        <w:rPr>
          <w:rFonts w:ascii="Times New Roman" w:cs="Times New Roman" w:eastAsia="Times New Roman" w:hAnsi="Times New Roman"/>
          <w:b/>
          <w:bCs/>
          <w:color w:val="2E5090"/>
          <w:sz w:val="26"/>
          <w:szCs w:val="26"/>
        </w:rPr>
        <w:t xml:space="preserve">2.5.7  </w:t>
      </w:r>
      <w:r>
        <w:rPr>
          <w:rFonts w:ascii="Times New Roman" w:cs="Times New Roman" w:eastAsia="Times New Roman" w:hAnsi="Times New Roman"/>
          <w:sz w:val="26"/>
          <w:szCs w:val="26"/>
        </w:rPr>
        <w:t xml:space="preserve">GAP #3: No dual-price design in food hedonics.</w:t>
      </w:r>
    </w:p>
    <w:p>
      <w:pPr>
        <w:spacing w:line="312" w:before="100" w:after="60"/>
        <w:ind w:left="360"/>
        <w:jc w:val="both"/>
      </w:pPr>
      <w:r>
        <w:rPr>
          <w:rFonts w:ascii="Times New Roman" w:cs="Times New Roman" w:eastAsia="Times New Roman" w:hAnsi="Times New Roman"/>
          <w:b/>
          <w:bCs/>
          <w:color w:val="2E5090"/>
          <w:sz w:val="26"/>
          <w:szCs w:val="26"/>
        </w:rPr>
        <w:t xml:space="preserve">2.5.8  </w:t>
      </w:r>
      <w:r>
        <w:rPr>
          <w:rFonts w:ascii="Times New Roman" w:cs="Times New Roman" w:eastAsia="Times New Roman" w:hAnsi="Times New Roman"/>
          <w:sz w:val="26"/>
          <w:szCs w:val="26"/>
        </w:rPr>
        <w:t xml:space="preserve">Transition → Chapter 3: the gap is defined, the methodology follows.</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3: DATA AND METHODS</w:t>
      </w:r>
    </w:p>
    <w:p>
      <w:pPr>
        <w:pStyle w:val="Heading2"/>
        <w:spacing w:line="312" w:before="240" w:after="120"/>
        <w:jc w:val="left"/>
      </w:pPr>
      <w:r>
        <w:rPr>
          <w:rFonts w:ascii="Times New Roman" w:cs="Times New Roman" w:eastAsia="Times New Roman" w:hAnsi="Times New Roman"/>
          <w:b/>
          <w:bCs/>
          <w:sz w:val="26"/>
          <w:szCs w:val="26"/>
        </w:rPr>
        <w:t xml:space="preserve">3.1 Data Collection and Single-Retailer Design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Describe where the data comes from, how it was collected, what it covers, and justify the single-retailer design.</w:t>
      </w:r>
    </w:p>
    <w:p>
      <w:pPr>
        <w:spacing w:line="312" w:before="100" w:after="60"/>
        <w:ind w:left="360"/>
        <w:jc w:val="both"/>
      </w:pPr>
      <w:r>
        <w:rPr>
          <w:rFonts w:ascii="Times New Roman" w:cs="Times New Roman" w:eastAsia="Times New Roman" w:hAnsi="Times New Roman"/>
          <w:b/>
          <w:bCs/>
          <w:color w:val="2E5090"/>
          <w:sz w:val="26"/>
          <w:szCs w:val="26"/>
        </w:rPr>
        <w:t xml:space="preserve">3.1.1  </w:t>
      </w:r>
      <w:r>
        <w:rPr>
          <w:rFonts w:ascii="Times New Roman" w:cs="Times New Roman" w:eastAsia="Times New Roman" w:hAnsi="Times New Roman"/>
          <w:sz w:val="26"/>
          <w:szCs w:val="26"/>
        </w:rPr>
        <w:t xml:space="preserve">Data source: Winmart’s online grocery platform (WinMart.vn), operated by Masan Group — Vietnam’s largest modern grocery chain. Mid-market positioning in Vietnam’s modern trade segment.</w:t>
      </w:r>
    </w:p>
    <w:p>
      <w:pPr>
        <w:spacing w:line="312" w:before="100" w:after="60"/>
        <w:ind w:left="360"/>
        <w:jc w:val="both"/>
      </w:pPr>
      <w:r>
        <w:rPr>
          <w:rFonts w:ascii="Times New Roman" w:cs="Times New Roman" w:eastAsia="Times New Roman" w:hAnsi="Times New Roman"/>
          <w:b/>
          <w:bCs/>
          <w:color w:val="2E5090"/>
          <w:sz w:val="26"/>
          <w:szCs w:val="26"/>
        </w:rPr>
        <w:t xml:space="preserve">3.1.2  </w:t>
      </w:r>
      <w:r>
        <w:rPr>
          <w:rFonts w:ascii="Times New Roman" w:cs="Times New Roman" w:eastAsia="Times New Roman" w:hAnsi="Times New Roman"/>
          <w:sz w:val="26"/>
          <w:szCs w:val="26"/>
        </w:rPr>
        <w:t xml:space="preserve">Scraping infrastructure: 15 automated robots triggered daily via HTTP PUT calls, collecting product listings across 10 food category pages. Raw data saved as JSON per run, then deduplicated and converted to standardized CSV.</w:t>
      </w:r>
    </w:p>
    <w:p>
      <w:pPr>
        <w:spacing w:line="312" w:before="100" w:after="60"/>
        <w:ind w:left="360"/>
        <w:jc w:val="both"/>
      </w:pPr>
      <w:r>
        <w:rPr>
          <w:rFonts w:ascii="Times New Roman" w:cs="Times New Roman" w:eastAsia="Times New Roman" w:hAnsi="Times New Roman"/>
          <w:b/>
          <w:bCs/>
          <w:color w:val="2E5090"/>
          <w:sz w:val="26"/>
          <w:szCs w:val="26"/>
        </w:rPr>
        <w:t xml:space="preserve">3.1.3  </w:t>
      </w:r>
      <w:r>
        <w:rPr>
          <w:rFonts w:ascii="Times New Roman" w:cs="Times New Roman" w:eastAsia="Times New Roman" w:hAnsi="Times New Roman"/>
          <w:sz w:val="26"/>
          <w:szCs w:val="26"/>
        </w:rPr>
        <w:t xml:space="preserve">CSV schema per product per day: product_name, unit, final_price (checkout), marked_price (sticker), product_url, scrape_timestamp, run_id. Prices in VND.</w:t>
      </w:r>
    </w:p>
    <w:p>
      <w:pPr>
        <w:spacing w:line="312" w:before="100" w:after="60"/>
        <w:ind w:left="360"/>
        <w:jc w:val="both"/>
      </w:pPr>
      <w:r>
        <w:rPr>
          <w:rFonts w:ascii="Times New Roman" w:cs="Times New Roman" w:eastAsia="Times New Roman" w:hAnsi="Times New Roman"/>
          <w:b/>
          <w:bCs/>
          <w:color w:val="2E5090"/>
          <w:sz w:val="26"/>
          <w:szCs w:val="26"/>
        </w:rPr>
        <w:t xml:space="preserve">3.1.4  </w:t>
      </w:r>
      <w:r>
        <w:rPr>
          <w:rFonts w:ascii="Times New Roman" w:cs="Times New Roman" w:eastAsia="Times New Roman" w:hAnsi="Times New Roman"/>
          <w:sz w:val="26"/>
          <w:szCs w:val="26"/>
        </w:rPr>
        <w:t xml:space="preserve">Coverage: 10 parent categories, 40 subcategories, 2,286 unique products, 88 observation days (December 18, 2025 – mid-March 2026).</w:t>
      </w:r>
    </w:p>
    <w:p>
      <w:pPr>
        <w:spacing w:line="312" w:before="100" w:after="60"/>
        <w:ind w:left="360"/>
        <w:jc w:val="both"/>
      </w:pPr>
      <w:r>
        <w:rPr>
          <w:rFonts w:ascii="Times New Roman" w:cs="Times New Roman" w:eastAsia="Times New Roman" w:hAnsi="Times New Roman"/>
          <w:b/>
          <w:bCs/>
          <w:color w:val="2E5090"/>
          <w:sz w:val="26"/>
          <w:szCs w:val="26"/>
        </w:rPr>
        <w:t xml:space="preserve">3.1.5  </w:t>
      </w:r>
      <w:r>
        <w:rPr>
          <w:rFonts w:ascii="Times New Roman" w:cs="Times New Roman" w:eastAsia="Times New Roman" w:hAnsi="Times New Roman"/>
          <w:sz w:val="26"/>
          <w:szCs w:val="26"/>
        </w:rPr>
        <w:t xml:space="preserve">Dual-price structure: Winmart displays both a marked_price (original/sticker) and a final_price (after promotions). When marked_price &gt; final_price, the product is on promotion. This dual structure is the empirical basis for the erosion analysis.</w:t>
      </w:r>
    </w:p>
    <w:p>
      <w:pPr>
        <w:spacing w:line="312" w:before="100" w:after="60"/>
        <w:ind w:left="360"/>
        <w:jc w:val="both"/>
      </w:pPr>
      <w:r>
        <w:rPr>
          <w:rFonts w:ascii="Times New Roman" w:cs="Times New Roman" w:eastAsia="Times New Roman" w:hAnsi="Times New Roman"/>
          <w:b/>
          <w:bCs/>
          <w:color w:val="2E5090"/>
          <w:sz w:val="26"/>
          <w:szCs w:val="26"/>
        </w:rPr>
        <w:t xml:space="preserve">3.1.6  </w:t>
      </w:r>
      <w:r>
        <w:rPr>
          <w:rFonts w:ascii="Times New Roman" w:cs="Times New Roman" w:eastAsia="Times New Roman" w:hAnsi="Times New Roman"/>
          <w:sz w:val="26"/>
          <w:szCs w:val="26"/>
        </w:rPr>
        <w:t xml:space="preserve">Single-retailer design rationale: restricting to one platform controls for retailer-level pricing strategy, promotional calendar, and supply chain confounds. Schipmann &amp; Qaim (2011) document that retailer format creates systematic price variation — our design controls for exactly this. Deliberate analytical choice, not a data limitation (external validity addressed in §4.7).</w:t>
      </w:r>
    </w:p>
    <w:p>
      <w:pPr>
        <w:spacing w:line="312" w:before="60" w:after="60"/>
        <w:ind w:left="360"/>
        <w:jc w:val="left"/>
      </w:pPr>
      <w:r>
        <w:rPr>
          <w:rFonts w:ascii="Times New Roman" w:cs="Times New Roman" w:eastAsia="Times New Roman" w:hAnsi="Times New Roman"/>
          <w:i/>
          <w:iCs/>
          <w:color w:val="B85C00"/>
          <w:sz w:val="22"/>
          <w:szCs w:val="22"/>
        </w:rPr>
        <w:t xml:space="preserve">→ Data source described. §3.2 addresses known gaps and imperfections.</w:t>
      </w:r>
    </w:p>
    <w:p>
      <w:pPr>
        <w:pStyle w:val="Heading2"/>
        <w:spacing w:line="312" w:before="240" w:after="120"/>
        <w:jc w:val="left"/>
      </w:pPr>
      <w:r>
        <w:rPr>
          <w:rFonts w:ascii="Times New Roman" w:cs="Times New Roman" w:eastAsia="Times New Roman" w:hAnsi="Times New Roman"/>
          <w:b/>
          <w:bCs/>
          <w:sz w:val="26"/>
          <w:szCs w:val="26"/>
        </w:rPr>
        <w:t xml:space="preserve">3.2 Data Limitations and Coverage</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Full transparency about data gaps. Committee expects this. Anticipates the most likely objections.</w:t>
      </w:r>
    </w:p>
    <w:p>
      <w:pPr>
        <w:spacing w:line="312" w:before="100" w:after="60"/>
        <w:ind w:left="360"/>
        <w:jc w:val="both"/>
      </w:pPr>
      <w:r>
        <w:rPr>
          <w:rFonts w:ascii="Times New Roman" w:cs="Times New Roman" w:eastAsia="Times New Roman" w:hAnsi="Times New Roman"/>
          <w:b/>
          <w:bCs/>
          <w:color w:val="2E5090"/>
          <w:sz w:val="26"/>
          <w:szCs w:val="26"/>
        </w:rPr>
        <w:t xml:space="preserve">3.2.1  </w:t>
      </w:r>
      <w:r>
        <w:rPr>
          <w:rFonts w:ascii="Times New Roman" w:cs="Times New Roman" w:eastAsia="Times New Roman" w:hAnsi="Times New Roman"/>
          <w:sz w:val="26"/>
          <w:szCs w:val="26"/>
        </w:rPr>
        <w:t xml:space="preserve">Confectionary 46-day cold-start: Bánh Kỹo scraping began February 2, 2026, 46 days after other categories. Entire pre-Tết surge window unobserved. Excluded from temporal analyses; cross-sectional hedonic estimates valid (days_observed controls for observation length).</w:t>
      </w:r>
    </w:p>
    <w:p>
      <w:pPr>
        <w:spacing w:line="312" w:before="100" w:after="60"/>
        <w:ind w:left="360"/>
        <w:jc w:val="both"/>
      </w:pPr>
      <w:r>
        <w:rPr>
          <w:rFonts w:ascii="Times New Roman" w:cs="Times New Roman" w:eastAsia="Times New Roman" w:hAnsi="Times New Roman"/>
          <w:b/>
          <w:bCs/>
          <w:color w:val="2E5090"/>
          <w:sz w:val="26"/>
          <w:szCs w:val="26"/>
        </w:rPr>
        <w:t xml:space="preserve">3.2.2  </w:t>
      </w:r>
      <w:r>
        <w:rPr>
          <w:rFonts w:ascii="Times New Roman" w:cs="Times New Roman" w:eastAsia="Times New Roman" w:hAnsi="Times New Roman"/>
          <w:sz w:val="26"/>
          <w:szCs w:val="26"/>
        </w:rPr>
        <w:t xml:space="preserve">Instant_food 18-day Tết gap: continuous gap January 31 – February 18, 2026, spanning the entire Tết holiday (February 17). Instant noodles are a classic Tết stockpiling category — the missing window is exactly where a price spike would be expected. No Tết-period claims for this category.</w:t>
      </w:r>
    </w:p>
    <w:p>
      <w:pPr>
        <w:spacing w:line="312" w:before="100" w:after="60"/>
        <w:ind w:left="360"/>
        <w:jc w:val="both"/>
      </w:pPr>
      <w:r>
        <w:rPr>
          <w:rFonts w:ascii="Times New Roman" w:cs="Times New Roman" w:eastAsia="Times New Roman" w:hAnsi="Times New Roman"/>
          <w:b/>
          <w:bCs/>
          <w:color w:val="2E5090"/>
          <w:sz w:val="26"/>
          <w:szCs w:val="26"/>
        </w:rPr>
        <w:t xml:space="preserve">3.2.3  </w:t>
      </w:r>
      <w:r>
        <w:rPr>
          <w:rFonts w:ascii="Times New Roman" w:cs="Times New Roman" w:eastAsia="Times New Roman" w:hAnsi="Times New Roman"/>
          <w:sz w:val="26"/>
          <w:szCs w:val="26"/>
        </w:rPr>
        <w:t xml:space="preserve">No formal Tết event study: the two most Tết-sensitive categories both have incomplete data. A formal event study would exclude the categories where the effect is strongest. Tết is discussed as context in §4.6, not tested formally.</w:t>
      </w:r>
    </w:p>
    <w:p>
      <w:pPr>
        <w:spacing w:line="312" w:before="100" w:after="60"/>
        <w:ind w:left="360"/>
        <w:jc w:val="both"/>
      </w:pPr>
      <w:r>
        <w:rPr>
          <w:rFonts w:ascii="Times New Roman" w:cs="Times New Roman" w:eastAsia="Times New Roman" w:hAnsi="Times New Roman"/>
          <w:b/>
          <w:bCs/>
          <w:color w:val="2E5090"/>
          <w:sz w:val="26"/>
          <w:szCs w:val="26"/>
        </w:rPr>
        <w:t xml:space="preserve">3.2.4  </w:t>
      </w:r>
      <w:r>
        <w:rPr>
          <w:rFonts w:ascii="Times New Roman" w:cs="Times New Roman" w:eastAsia="Times New Roman" w:hAnsi="Times New Roman"/>
          <w:sz w:val="26"/>
          <w:szCs w:val="26"/>
        </w:rPr>
        <w:t xml:space="preserve">Dynamic product catalog: products enter and exit across dates. Sparse product filter (days_observed ≥ 7) removes 83 products (3.6%), yielding effective N ≈ 2,203. Cross-sectional design uses each product’s average price over observed days.</w:t>
      </w:r>
    </w:p>
    <w:p>
      <w:pPr>
        <w:spacing w:line="312" w:before="100" w:after="60"/>
        <w:ind w:left="360"/>
        <w:jc w:val="both"/>
      </w:pPr>
      <w:r>
        <w:rPr>
          <w:rFonts w:ascii="Times New Roman" w:cs="Times New Roman" w:eastAsia="Times New Roman" w:hAnsi="Times New Roman"/>
          <w:b/>
          <w:bCs/>
          <w:color w:val="2E5090"/>
          <w:sz w:val="26"/>
          <w:szCs w:val="26"/>
        </w:rPr>
        <w:t xml:space="preserve">3.2.5  </w:t>
      </w:r>
      <w:r>
        <w:rPr>
          <w:rFonts w:ascii="Times New Roman" w:cs="Times New Roman" w:eastAsia="Times New Roman" w:hAnsi="Times New Roman"/>
          <w:sz w:val="26"/>
          <w:szCs w:val="26"/>
        </w:rPr>
        <w:t xml:space="preserve">No transaction volumes: web scraping captures listed prices only, not quantities sold. Cannot compute sales-weighted indices or demand elasticities. Analysis describes the price architecture, not consumer purchasing responses.</w:t>
      </w:r>
    </w:p>
    <w:p>
      <w:pPr>
        <w:spacing w:line="312" w:before="60" w:after="60"/>
        <w:ind w:left="360"/>
        <w:jc w:val="left"/>
      </w:pPr>
      <w:r>
        <w:rPr>
          <w:rFonts w:ascii="Times New Roman" w:cs="Times New Roman" w:eastAsia="Times New Roman" w:hAnsi="Times New Roman"/>
          <w:i/>
          <w:iCs/>
          <w:color w:val="B85C00"/>
          <w:sz w:val="22"/>
          <w:szCs w:val="22"/>
        </w:rPr>
        <w:t xml:space="preserve">→ Limitations documented. §3.3 describes how product features are extracted from raw text.</w:t>
      </w:r>
    </w:p>
    <w:p>
      <w:pPr>
        <w:pStyle w:val="Heading2"/>
        <w:spacing w:line="312" w:before="240" w:after="120"/>
        <w:jc w:val="left"/>
      </w:pPr>
      <w:r>
        <w:rPr>
          <w:rFonts w:ascii="Times New Roman" w:cs="Times New Roman" w:eastAsia="Times New Roman" w:hAnsi="Times New Roman"/>
          <w:b/>
          <w:bCs/>
          <w:sz w:val="26"/>
          <w:szCs w:val="26"/>
        </w:rPr>
        <w:t xml:space="preserve">3.3 NLP Feature Extraction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Explain how structured attributes are extracted programmatically from Vietnamese product name strings.</w:t>
      </w:r>
    </w:p>
    <w:p>
      <w:pPr>
        <w:spacing w:line="312" w:before="100" w:after="60"/>
        <w:ind w:left="360"/>
        <w:jc w:val="both"/>
      </w:pPr>
      <w:r>
        <w:rPr>
          <w:rFonts w:ascii="Times New Roman" w:cs="Times New Roman" w:eastAsia="Times New Roman" w:hAnsi="Times New Roman"/>
          <w:b/>
          <w:bCs/>
          <w:color w:val="2E5090"/>
          <w:sz w:val="26"/>
          <w:szCs w:val="26"/>
        </w:rPr>
        <w:t xml:space="preserve">3.3.1  </w:t>
      </w:r>
      <w:r>
        <w:rPr>
          <w:rFonts w:ascii="Times New Roman" w:cs="Times New Roman" w:eastAsia="Times New Roman" w:hAnsi="Times New Roman"/>
          <w:sz w:val="26"/>
          <w:szCs w:val="26"/>
        </w:rPr>
        <w:t xml:space="preserve">Nine features extracted via substring matching, regex, and keyword dictionaries in src/nlp_features.py (865 lines, 310+ brand keywords). Text normalized (NFC, lowercase, diacritic-preserving) before pattern matching.</w:t>
      </w:r>
    </w:p>
    <w:p>
      <w:pPr>
        <w:spacing w:line="312" w:before="100" w:after="60"/>
        <w:ind w:left="360"/>
        <w:jc w:val="both"/>
      </w:pPr>
      <w:r>
        <w:rPr>
          <w:rFonts w:ascii="Times New Roman" w:cs="Times New Roman" w:eastAsia="Times New Roman" w:hAnsi="Times New Roman"/>
          <w:b/>
          <w:bCs/>
          <w:color w:val="2E5090"/>
          <w:sz w:val="26"/>
          <w:szCs w:val="26"/>
        </w:rPr>
        <w:t xml:space="preserve">3.3.2  </w:t>
      </w:r>
      <w:r>
        <w:rPr>
          <w:rFonts w:ascii="Times New Roman" w:cs="Times New Roman" w:eastAsia="Times New Roman" w:hAnsi="Times New Roman"/>
          <w:sz w:val="26"/>
          <w:szCs w:val="26"/>
        </w:rPr>
        <w:t xml:space="preserve">Brand identification (is_branded): substring match against curated list of ~200+ nationally distributed brands and spelling variants (Vinamilk, TH True Milk, Dutch Lady, Ajinomoto, etc.). Result: 1,581 branded (69.2%), 705 generic (30.8%).</w:t>
      </w:r>
    </w:p>
    <w:p>
      <w:pPr>
        <w:spacing w:line="312" w:before="100" w:after="60"/>
        <w:ind w:left="360"/>
        <w:jc w:val="both"/>
      </w:pPr>
      <w:r>
        <w:rPr>
          <w:rFonts w:ascii="Times New Roman" w:cs="Times New Roman" w:eastAsia="Times New Roman" w:hAnsi="Times New Roman"/>
          <w:b/>
          <w:bCs/>
          <w:color w:val="2E5090"/>
          <w:sz w:val="26"/>
          <w:szCs w:val="26"/>
        </w:rPr>
        <w:t xml:space="preserve">3.3.3  </w:t>
      </w:r>
      <w:r>
        <w:rPr>
          <w:rFonts w:ascii="Times New Roman" w:cs="Times New Roman" w:eastAsia="Times New Roman" w:hAnsi="Times New Roman"/>
          <w:sz w:val="26"/>
          <w:szCs w:val="26"/>
        </w:rPr>
        <w:t xml:space="preserve">Price-tier classification (is_premium): branded AND average price exceeds subcategory median. Within-subcategory relative measure, not absolute threshold. Result: 452 products (19.8%).</w:t>
      </w:r>
    </w:p>
    <w:p>
      <w:pPr>
        <w:spacing w:line="312" w:before="100" w:after="60"/>
        <w:ind w:left="360"/>
        <w:jc w:val="both"/>
      </w:pPr>
      <w:r>
        <w:rPr>
          <w:rFonts w:ascii="Times New Roman" w:cs="Times New Roman" w:eastAsia="Times New Roman" w:hAnsi="Times New Roman"/>
          <w:b/>
          <w:bCs/>
          <w:color w:val="2E5090"/>
          <w:sz w:val="26"/>
          <w:szCs w:val="26"/>
        </w:rPr>
        <w:t xml:space="preserve">3.3.4  </w:t>
      </w:r>
      <w:r>
        <w:rPr>
          <w:rFonts w:ascii="Times New Roman" w:cs="Times New Roman" w:eastAsia="Times New Roman" w:hAnsi="Times New Roman"/>
          <w:sz w:val="26"/>
          <w:szCs w:val="26"/>
        </w:rPr>
        <w:t xml:space="preserve">Brand recognition (is_high_recognition): curated subset of brands with confirmed national distribution and high consumer awareness. Captures the “Household Giant” dimension. Result: 709 products (31.0%).</w:t>
      </w:r>
    </w:p>
    <w:p>
      <w:pPr>
        <w:spacing w:line="312" w:before="100" w:after="60"/>
        <w:ind w:left="360"/>
        <w:jc w:val="both"/>
      </w:pPr>
      <w:r>
        <w:rPr>
          <w:rFonts w:ascii="Times New Roman" w:cs="Times New Roman" w:eastAsia="Times New Roman" w:hAnsi="Times New Roman"/>
          <w:b/>
          <w:bCs/>
          <w:color w:val="2E5090"/>
          <w:sz w:val="26"/>
          <w:szCs w:val="26"/>
        </w:rPr>
        <w:t xml:space="preserve">3.3.5  </w:t>
      </w:r>
      <w:r>
        <w:rPr>
          <w:rFonts w:ascii="Times New Roman" w:cs="Times New Roman" w:eastAsia="Times New Roman" w:hAnsi="Times New Roman"/>
          <w:sz w:val="26"/>
          <w:szCs w:val="26"/>
        </w:rPr>
        <w:t xml:space="preserve">Import origin (is_import): keyword detection for country names in Vietnamese (Nhật, Hàn, Úc, Mỹ, Thái) and import-signaling terms. Result: 98 products (4.3%). Concentrated in Rau-Củ-Trái Cây (13.4% of that category).</w:t>
      </w:r>
    </w:p>
    <w:p>
      <w:pPr>
        <w:spacing w:line="312" w:before="100" w:after="60"/>
        <w:ind w:left="360"/>
        <w:jc w:val="both"/>
      </w:pPr>
      <w:r>
        <w:rPr>
          <w:rFonts w:ascii="Times New Roman" w:cs="Times New Roman" w:eastAsia="Times New Roman" w:hAnsi="Times New Roman"/>
          <w:b/>
          <w:bCs/>
          <w:color w:val="2E5090"/>
          <w:sz w:val="26"/>
          <w:szCs w:val="26"/>
        </w:rPr>
        <w:t xml:space="preserve">3.3.6  </w:t>
      </w:r>
      <w:r>
        <w:rPr>
          <w:rFonts w:ascii="Times New Roman" w:cs="Times New Roman" w:eastAsia="Times New Roman" w:hAnsi="Times New Roman"/>
          <w:sz w:val="26"/>
          <w:szCs w:val="26"/>
        </w:rPr>
        <w:t xml:space="preserve">House brand (is_house_brand): WinEco and WinMart private-label products. Result: 21 products (0.9%). Small N but produces the most dramatic dual-price divergence in the dataset.</w:t>
      </w:r>
    </w:p>
    <w:p>
      <w:pPr>
        <w:spacing w:line="312" w:before="100" w:after="60"/>
        <w:ind w:left="360"/>
        <w:jc w:val="both"/>
      </w:pPr>
      <w:r>
        <w:rPr>
          <w:rFonts w:ascii="Times New Roman" w:cs="Times New Roman" w:eastAsia="Times New Roman" w:hAnsi="Times New Roman"/>
          <w:b/>
          <w:bCs/>
          <w:color w:val="2E5090"/>
          <w:sz w:val="26"/>
          <w:szCs w:val="26"/>
        </w:rPr>
        <w:t xml:space="preserve">3.3.7  </w:t>
      </w:r>
      <w:r>
        <w:rPr>
          <w:rFonts w:ascii="Times New Roman" w:cs="Times New Roman" w:eastAsia="Times New Roman" w:hAnsi="Times New Roman"/>
          <w:sz w:val="26"/>
          <w:szCs w:val="26"/>
        </w:rPr>
        <w:t xml:space="preserve">Health claims (has_health_claim): keywords for hữu cơ (organic), không đường (sugar-free), ít béo (low-fat), nguyên chất (pure). Result: 122 products (5.3%). Freshness claims (has_freshness_claim): tươi (fresh), sạch (clean). Result: 154 products (6.7%).</w:t>
      </w:r>
    </w:p>
    <w:p>
      <w:pPr>
        <w:spacing w:line="312" w:before="100" w:after="60"/>
        <w:ind w:left="360"/>
        <w:jc w:val="both"/>
      </w:pPr>
      <w:r>
        <w:rPr>
          <w:rFonts w:ascii="Times New Roman" w:cs="Times New Roman" w:eastAsia="Times New Roman" w:hAnsi="Times New Roman"/>
          <w:b/>
          <w:bCs/>
          <w:color w:val="2E5090"/>
          <w:sz w:val="26"/>
          <w:szCs w:val="26"/>
        </w:rPr>
        <w:t xml:space="preserve">3.3.8  </w:t>
      </w:r>
      <w:r>
        <w:rPr>
          <w:rFonts w:ascii="Times New Roman" w:cs="Times New Roman" w:eastAsia="Times New Roman" w:hAnsi="Times New Roman"/>
          <w:sz w:val="26"/>
          <w:szCs w:val="26"/>
        </w:rPr>
        <w:t xml:space="preserve">Pack size (ln_pack_size): regex extraction of weight (grams) and volume (milliliters) from product names, log-transformed. Pack count: multi-pack detection. Both capture economies of scale in unit pricing.</w:t>
      </w:r>
    </w:p>
    <w:p>
      <w:pPr>
        <w:spacing w:line="312" w:before="100" w:after="60"/>
        <w:ind w:left="360"/>
        <w:jc w:val="both"/>
      </w:pPr>
      <w:r>
        <w:rPr>
          <w:rFonts w:ascii="Times New Roman" w:cs="Times New Roman" w:eastAsia="Times New Roman" w:hAnsi="Times New Roman"/>
          <w:b/>
          <w:bCs/>
          <w:color w:val="2E5090"/>
          <w:sz w:val="26"/>
          <w:szCs w:val="26"/>
        </w:rPr>
        <w:t xml:space="preserve">3.3.9  </w:t>
      </w:r>
      <w:r>
        <w:rPr>
          <w:rFonts w:ascii="Times New Roman" w:cs="Times New Roman" w:eastAsia="Times New Roman" w:hAnsi="Times New Roman"/>
          <w:sz w:val="26"/>
          <w:szCs w:val="26"/>
        </w:rPr>
        <w:t xml:space="preserve">Name length: word count proxy for product complexity/information density.</w:t>
      </w:r>
    </w:p>
    <w:p>
      <w:pPr>
        <w:spacing w:line="312" w:before="60" w:after="60"/>
        <w:ind w:left="360"/>
        <w:jc w:val="left"/>
      </w:pPr>
      <w:r>
        <w:rPr>
          <w:rFonts w:ascii="Times New Roman" w:cs="Times New Roman" w:eastAsia="Times New Roman" w:hAnsi="Times New Roman"/>
          <w:i/>
          <w:iCs/>
          <w:color w:val="B85C00"/>
          <w:sz w:val="22"/>
          <w:szCs w:val="22"/>
        </w:rPr>
        <w:t xml:space="preserve">→ Features extracted. §3.4 organizes the brand features into a theoretically grounded typology.</w:t>
      </w:r>
    </w:p>
    <w:p>
      <w:pPr>
        <w:pStyle w:val="Heading2"/>
        <w:spacing w:line="312" w:before="240" w:after="120"/>
        <w:jc w:val="left"/>
      </w:pPr>
      <w:r>
        <w:rPr>
          <w:rFonts w:ascii="Times New Roman" w:cs="Times New Roman" w:eastAsia="Times New Roman" w:hAnsi="Times New Roman"/>
          <w:b/>
          <w:bCs/>
          <w:sz w:val="26"/>
          <w:szCs w:val="26"/>
        </w:rPr>
        <w:t xml:space="preserve">3.4 Brand Positioning Typology and Dummy Hierarchy</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The 4-quadrant classification and hierarchical encoding. Critical for reading the regression tables correctly.</w:t>
      </w:r>
    </w:p>
    <w:p>
      <w:pPr>
        <w:spacing w:line="312" w:before="100" w:after="60"/>
        <w:ind w:left="360"/>
        <w:jc w:val="both"/>
      </w:pPr>
      <w:r>
        <w:rPr>
          <w:rFonts w:ascii="Times New Roman" w:cs="Times New Roman" w:eastAsia="Times New Roman" w:hAnsi="Times New Roman"/>
          <w:b/>
          <w:bCs/>
          <w:color w:val="2E5090"/>
          <w:sz w:val="26"/>
          <w:szCs w:val="26"/>
        </w:rPr>
        <w:t xml:space="preserve">3.4.1  </w:t>
      </w:r>
      <w:r>
        <w:rPr>
          <w:rFonts w:ascii="Times New Roman" w:cs="Times New Roman" w:eastAsia="Times New Roman" w:hAnsi="Times New Roman"/>
          <w:sz w:val="26"/>
          <w:szCs w:val="26"/>
        </w:rPr>
        <w:t xml:space="preserve">2×2 classification on two axes: brand recognition (high/low) × price tier (premium/non-premium). Five groups: Generic (n=705), Local &amp; Value (n=564), Household Giant (n=565), Niche Professional (n=308), Prestige Leader (n=144).</w:t>
      </w:r>
    </w:p>
    <w:p>
      <w:pPr>
        <w:spacing w:line="312" w:before="100" w:after="60"/>
        <w:ind w:left="360"/>
        <w:jc w:val="both"/>
      </w:pPr>
      <w:r>
        <w:rPr>
          <w:rFonts w:ascii="Times New Roman" w:cs="Times New Roman" w:eastAsia="Times New Roman" w:hAnsi="Times New Roman"/>
          <w:b/>
          <w:bCs/>
          <w:color w:val="2E5090"/>
          <w:sz w:val="26"/>
          <w:szCs w:val="26"/>
        </w:rPr>
        <w:t xml:space="preserve">3.4.2  </w:t>
      </w:r>
      <w:r>
        <w:rPr>
          <w:rFonts w:ascii="Times New Roman" w:cs="Times New Roman" w:eastAsia="Times New Roman" w:hAnsi="Times New Roman"/>
          <w:sz w:val="26"/>
          <w:szCs w:val="26"/>
        </w:rPr>
        <w:t xml:space="preserve">Theoretical grounding: recognition axis anchored in Keller (1993) brand awareness; price-tier axis in Aaker (1991) perceived quality dimension. The 4-quadrant matrix is the empirical operationalization of these two constructs.</w:t>
      </w:r>
    </w:p>
    <w:p>
      <w:pPr>
        <w:spacing w:line="312" w:before="100" w:after="60"/>
        <w:ind w:left="360"/>
        <w:jc w:val="both"/>
      </w:pPr>
      <w:r>
        <w:rPr>
          <w:rFonts w:ascii="Times New Roman" w:cs="Times New Roman" w:eastAsia="Times New Roman" w:hAnsi="Times New Roman"/>
          <w:b/>
          <w:bCs/>
          <w:color w:val="2E5090"/>
          <w:sz w:val="26"/>
          <w:szCs w:val="26"/>
        </w:rPr>
        <w:t xml:space="preserve">3.4.3  </w:t>
      </w:r>
      <w:r>
        <w:rPr>
          <w:rFonts w:ascii="Times New Roman" w:cs="Times New Roman" w:eastAsia="Times New Roman" w:hAnsi="Times New Roman"/>
          <w:sz w:val="26"/>
          <w:szCs w:val="26"/>
        </w:rPr>
        <w:t xml:space="preserve">Hierarchical dummy encoding: is_premium = 1 implies is_branded = 1; is_high_recognition = 1 implies is_branded = 1. Coefficients are incremental: Local &amp; Value premium = β(branded); Niche Professional = β(branded) + β(premium); Household Giant = β(branded) + β(high_recog); Prestige Leader = β(branded) + β(premium) + β(high_recog).</w:t>
      </w:r>
    </w:p>
    <w:p>
      <w:pPr>
        <w:spacing w:line="312" w:before="100" w:after="60"/>
        <w:ind w:left="360"/>
        <w:jc w:val="both"/>
      </w:pPr>
      <w:r>
        <w:rPr>
          <w:rFonts w:ascii="Times New Roman" w:cs="Times New Roman" w:eastAsia="Times New Roman" w:hAnsi="Times New Roman"/>
          <w:b/>
          <w:bCs/>
          <w:color w:val="2E5090"/>
          <w:sz w:val="26"/>
          <w:szCs w:val="26"/>
        </w:rPr>
        <w:t xml:space="preserve">3.4.4  </w:t>
      </w:r>
      <w:r>
        <w:rPr>
          <w:rFonts w:ascii="Times New Roman" w:cs="Times New Roman" w:eastAsia="Times New Roman" w:hAnsi="Times New Roman"/>
          <w:sz w:val="26"/>
          <w:szCs w:val="26"/>
        </w:rPr>
        <w:t xml:space="preserve">This encoding separates three conceptually distinct questions: does any brand name generate a premium? does premium positioning add to it? does high recognition add to it? A single branded/unbranded dummy cannot answer these.</w:t>
      </w:r>
    </w:p>
    <w:p>
      <w:pPr>
        <w:spacing w:line="312" w:before="60" w:after="60"/>
        <w:ind w:left="360"/>
        <w:jc w:val="left"/>
      </w:pPr>
      <w:r>
        <w:rPr>
          <w:rFonts w:ascii="Times New Roman" w:cs="Times New Roman" w:eastAsia="Times New Roman" w:hAnsi="Times New Roman"/>
          <w:i/>
          <w:iCs/>
          <w:color w:val="B85C00"/>
          <w:sz w:val="22"/>
          <w:szCs w:val="22"/>
        </w:rPr>
        <w:t xml:space="preserve">→ Typology defined. §3.5 specifies the hedonic regression model.</w:t>
      </w:r>
    </w:p>
    <w:p>
      <w:pPr>
        <w:pStyle w:val="Heading2"/>
        <w:spacing w:line="312" w:before="240" w:after="120"/>
        <w:jc w:val="left"/>
      </w:pPr>
      <w:r>
        <w:rPr>
          <w:rFonts w:ascii="Times New Roman" w:cs="Times New Roman" w:eastAsia="Times New Roman" w:hAnsi="Times New Roman"/>
          <w:b/>
          <w:bCs/>
          <w:sz w:val="26"/>
          <w:szCs w:val="26"/>
        </w:rPr>
        <w:t xml:space="preserve">3.5 Hedonic Specification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Present the formal model. Precise enough for replication.</w:t>
      </w:r>
    </w:p>
    <w:p>
      <w:pPr>
        <w:spacing w:line="312" w:before="100" w:after="60"/>
        <w:ind w:left="360"/>
        <w:jc w:val="both"/>
      </w:pPr>
      <w:r>
        <w:rPr>
          <w:rFonts w:ascii="Times New Roman" w:cs="Times New Roman" w:eastAsia="Times New Roman" w:hAnsi="Times New Roman"/>
          <w:b/>
          <w:bCs/>
          <w:color w:val="2E5090"/>
          <w:sz w:val="26"/>
          <w:szCs w:val="26"/>
        </w:rPr>
        <w:t xml:space="preserve">3.5.1  </w:t>
      </w:r>
      <w:r>
        <w:rPr>
          <w:rFonts w:ascii="Times New Roman" w:cs="Times New Roman" w:eastAsia="Times New Roman" w:hAnsi="Times New Roman"/>
          <w:sz w:val="26"/>
          <w:szCs w:val="26"/>
        </w:rPr>
        <w:t xml:space="preserve">Dependent variable: ln(price_per_100g) or ln(price_per_100ml) — log price per standardized unit. Removes mechanical pack-size effects; coefficients = percentage premiums.</w:t>
      </w:r>
    </w:p>
    <w:p>
      <w:pPr>
        <w:spacing w:line="312" w:before="100" w:after="60"/>
        <w:ind w:left="360"/>
        <w:jc w:val="both"/>
      </w:pPr>
      <w:r>
        <w:rPr>
          <w:rFonts w:ascii="Times New Roman" w:cs="Times New Roman" w:eastAsia="Times New Roman" w:hAnsi="Times New Roman"/>
          <w:b/>
          <w:bCs/>
          <w:color w:val="2E5090"/>
          <w:sz w:val="26"/>
          <w:szCs w:val="26"/>
        </w:rPr>
        <w:t xml:space="preserve">3.5.2  </w:t>
      </w:r>
      <w:r>
        <w:rPr>
          <w:rFonts w:ascii="Times New Roman" w:cs="Times New Roman" w:eastAsia="Times New Roman" w:hAnsi="Times New Roman"/>
          <w:sz w:val="26"/>
          <w:szCs w:val="26"/>
        </w:rPr>
        <w:t xml:space="preserve">Model: ln(P/unit) = α + β₁·is_branded + β₂·is_premium + β₃·is_high_recognition + β₄·is_import + β₅·is_house_brand + β₆·ln(pack_size) + β₇·pack_count + β₈·has_health_claim + β₉·has_freshness_claim + β₁₀·name_length + γ·subcategory_FE + ε. Ten regressors + 40 subcategory fixed effects.</w:t>
      </w:r>
    </w:p>
    <w:p>
      <w:pPr>
        <w:spacing w:line="312" w:before="100" w:after="60"/>
        <w:ind w:left="360"/>
        <w:jc w:val="both"/>
      </w:pPr>
      <w:r>
        <w:rPr>
          <w:rFonts w:ascii="Times New Roman" w:cs="Times New Roman" w:eastAsia="Times New Roman" w:hAnsi="Times New Roman"/>
          <w:b/>
          <w:bCs/>
          <w:color w:val="2E5090"/>
          <w:sz w:val="26"/>
          <w:szCs w:val="26"/>
        </w:rPr>
        <w:t xml:space="preserve">3.5.3  </w:t>
      </w:r>
      <w:r>
        <w:rPr>
          <w:rFonts w:ascii="Times New Roman" w:cs="Times New Roman" w:eastAsia="Times New Roman" w:hAnsi="Times New Roman"/>
          <w:sz w:val="26"/>
          <w:szCs w:val="26"/>
        </w:rPr>
        <w:t xml:space="preserve">Log-linear specification is standard in hedonic price analysis (Malpezzi 2002; Costanigro &amp; McCluskey 2011), following Rosen’s (1974) characterization of the hedonic price function.</w:t>
      </w:r>
    </w:p>
    <w:p>
      <w:pPr>
        <w:spacing w:line="312" w:before="100" w:after="60"/>
        <w:ind w:left="360"/>
        <w:jc w:val="both"/>
      </w:pPr>
      <w:r>
        <w:rPr>
          <w:rFonts w:ascii="Times New Roman" w:cs="Times New Roman" w:eastAsia="Times New Roman" w:hAnsi="Times New Roman"/>
          <w:b/>
          <w:bCs/>
          <w:color w:val="2E5090"/>
          <w:sz w:val="26"/>
          <w:szCs w:val="26"/>
        </w:rPr>
        <w:t xml:space="preserve">3.5.4  </w:t>
      </w:r>
      <w:r>
        <w:rPr>
          <w:rFonts w:ascii="Times New Roman" w:cs="Times New Roman" w:eastAsia="Times New Roman" w:hAnsi="Times New Roman"/>
          <w:sz w:val="26"/>
          <w:szCs w:val="26"/>
        </w:rPr>
        <w:t xml:space="preserve">Estimation: pooled OLS with cluster-robust SE, clustered by subcategory (40 clusters). Justified by: (1) Breusch-Pagan test rejects homoskedasticity (p &lt; 0.01); (2) within-subcategory correlation from shared pricing factors.</w:t>
      </w:r>
    </w:p>
    <w:p>
      <w:pPr>
        <w:spacing w:line="312" w:before="100" w:after="60"/>
        <w:ind w:left="360"/>
        <w:jc w:val="both"/>
      </w:pPr>
      <w:r>
        <w:rPr>
          <w:rFonts w:ascii="Times New Roman" w:cs="Times New Roman" w:eastAsia="Times New Roman" w:hAnsi="Times New Roman"/>
          <w:b/>
          <w:bCs/>
          <w:color w:val="2E5090"/>
          <w:sz w:val="26"/>
          <w:szCs w:val="26"/>
        </w:rPr>
        <w:t xml:space="preserve">3.5.5  </w:t>
      </w:r>
      <w:r>
        <w:rPr>
          <w:rFonts w:ascii="Times New Roman" w:cs="Times New Roman" w:eastAsia="Times New Roman" w:hAnsi="Times New Roman"/>
          <w:sz w:val="26"/>
          <w:szCs w:val="26"/>
        </w:rPr>
        <w:t xml:space="preserve">Effective sample: N ≈ 2,203 after sparse product filter (days_observed ≥ 7) and KG-sold produce unit normalization recovery (~100 fresh produce products).</w:t>
      </w:r>
    </w:p>
    <w:p>
      <w:pPr>
        <w:spacing w:line="312" w:before="60" w:after="60"/>
        <w:ind w:left="360"/>
        <w:jc w:val="left"/>
      </w:pPr>
      <w:r>
        <w:rPr>
          <w:rFonts w:ascii="Times New Roman" w:cs="Times New Roman" w:eastAsia="Times New Roman" w:hAnsi="Times New Roman"/>
          <w:i/>
          <w:iCs/>
          <w:color w:val="B85C00"/>
          <w:sz w:val="22"/>
          <w:szCs w:val="22"/>
        </w:rPr>
        <w:t xml:space="preserve">→ Model specified. §3.6 describes the dual-price design connecting the spec to the erosion analysis.</w:t>
      </w:r>
    </w:p>
    <w:p>
      <w:pPr>
        <w:pStyle w:val="Heading2"/>
        <w:spacing w:line="312" w:before="240" w:after="120"/>
        <w:jc w:val="left"/>
      </w:pPr>
      <w:r>
        <w:rPr>
          <w:rFonts w:ascii="Times New Roman" w:cs="Times New Roman" w:eastAsia="Times New Roman" w:hAnsi="Times New Roman"/>
          <w:b/>
          <w:bCs/>
          <w:sz w:val="26"/>
          <w:szCs w:val="26"/>
        </w:rPr>
        <w:t xml:space="preserve">3.6 Dual-Price Design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The core methodological innovation — running the same spec twice with different DVs. Descriptive, not causal.</w:t>
      </w:r>
    </w:p>
    <w:p>
      <w:pPr>
        <w:spacing w:line="312" w:before="100" w:after="60"/>
        <w:ind w:left="360"/>
        <w:jc w:val="both"/>
      </w:pPr>
      <w:r>
        <w:rPr>
          <w:rFonts w:ascii="Times New Roman" w:cs="Times New Roman" w:eastAsia="Times New Roman" w:hAnsi="Times New Roman"/>
          <w:b/>
          <w:bCs/>
          <w:color w:val="2E5090"/>
          <w:sz w:val="26"/>
          <w:szCs w:val="26"/>
        </w:rPr>
        <w:t xml:space="preserve">3.6.1  </w:t>
      </w:r>
      <w:r>
        <w:rPr>
          <w:rFonts w:ascii="Times New Roman" w:cs="Times New Roman" w:eastAsia="Times New Roman" w:hAnsi="Times New Roman"/>
          <w:sz w:val="26"/>
          <w:szCs w:val="26"/>
        </w:rPr>
        <w:t xml:space="preserve">Same specification estimated twice: Specification A uses ln(marked_price/unit) as DV (sticker premiums). Specification B uses ln(final_price/unit) (checkout premiums). Directly comparable coefficients.</w:t>
      </w:r>
    </w:p>
    <w:p>
      <w:pPr>
        <w:spacing w:line="312" w:before="100" w:after="60"/>
        <w:ind w:left="360"/>
        <w:jc w:val="both"/>
      </w:pPr>
      <w:r>
        <w:rPr>
          <w:rFonts w:ascii="Times New Roman" w:cs="Times New Roman" w:eastAsia="Times New Roman" w:hAnsi="Times New Roman"/>
          <w:b/>
          <w:bCs/>
          <w:color w:val="2E5090"/>
          <w:sz w:val="26"/>
          <w:szCs w:val="26"/>
        </w:rPr>
        <w:t xml:space="preserve">3.6.2  </w:t>
      </w:r>
      <w:r>
        <w:rPr>
          <w:rFonts w:ascii="Times New Roman" w:cs="Times New Roman" w:eastAsia="Times New Roman" w:hAnsi="Times New Roman"/>
          <w:sz w:val="26"/>
          <w:szCs w:val="26"/>
        </w:rPr>
        <w:t xml:space="preserve">Interpretation: if β shrinks from A → B, promotions erode that attribute’s premium. If stable, premium survives. If β grows, promotions amplify the advantage.</w:t>
      </w:r>
    </w:p>
    <w:p>
      <w:pPr>
        <w:spacing w:line="312" w:before="100" w:after="60"/>
        <w:ind w:left="360"/>
        <w:jc w:val="both"/>
      </w:pPr>
      <w:r>
        <w:rPr>
          <w:rFonts w:ascii="Times New Roman" w:cs="Times New Roman" w:eastAsia="Times New Roman" w:hAnsi="Times New Roman"/>
          <w:b/>
          <w:bCs/>
          <w:color w:val="2E5090"/>
          <w:sz w:val="26"/>
          <w:szCs w:val="26"/>
        </w:rPr>
        <w:t xml:space="preserve">3.6.3  </w:t>
      </w:r>
      <w:r>
        <w:rPr>
          <w:rFonts w:ascii="Times New Roman" w:cs="Times New Roman" w:eastAsia="Times New Roman" w:hAnsi="Times New Roman"/>
          <w:sz w:val="26"/>
          <w:szCs w:val="26"/>
        </w:rPr>
        <w:t xml:space="preserve">Erosion metric: pct_erosion = (β_marked − β_final) / β_marked × 100. Positive = premium shrinks at checkout. Negative = premium grows.</w:t>
      </w:r>
    </w:p>
    <w:p>
      <w:pPr>
        <w:spacing w:line="312" w:before="100" w:after="60"/>
        <w:ind w:left="360"/>
        <w:jc w:val="both"/>
      </w:pPr>
      <w:r>
        <w:rPr>
          <w:rFonts w:ascii="Times New Roman" w:cs="Times New Roman" w:eastAsia="Times New Roman" w:hAnsi="Times New Roman"/>
          <w:b/>
          <w:bCs/>
          <w:color w:val="2E5090"/>
          <w:sz w:val="26"/>
          <w:szCs w:val="26"/>
        </w:rPr>
        <w:t xml:space="preserve">3.6.4  </w:t>
      </w:r>
      <w:r>
        <w:rPr>
          <w:rFonts w:ascii="Times New Roman" w:cs="Times New Roman" w:eastAsia="Times New Roman" w:hAnsi="Times New Roman"/>
          <w:sz w:val="26"/>
          <w:szCs w:val="26"/>
        </w:rPr>
        <w:t xml:space="preserve">Framing: descriptive, not causal. Documents the price architecture at two stages of the pricing pipeline. Per Varian (1997), differential discounting is itself a strategic retailer choice — observing it is documenting the retailer’s revealed pricing logic.</w:t>
      </w:r>
    </w:p>
    <w:p>
      <w:pPr>
        <w:spacing w:line="312" w:before="60" w:after="60"/>
        <w:ind w:left="360"/>
        <w:jc w:val="left"/>
      </w:pPr>
      <w:r>
        <w:rPr>
          <w:rFonts w:ascii="Times New Roman" w:cs="Times New Roman" w:eastAsia="Times New Roman" w:hAnsi="Times New Roman"/>
          <w:i/>
          <w:iCs/>
          <w:color w:val="B85C00"/>
          <w:sz w:val="22"/>
          <w:szCs w:val="22"/>
        </w:rPr>
        <w:t xml:space="preserve">→ → Chapter 4: apply the specification to the data.</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4: RESULTS AND DISCUSSION</w:t>
      </w:r>
    </w:p>
    <w:p>
      <w:pPr>
        <w:pStyle w:val="Heading2"/>
        <w:spacing w:line="312" w:before="240" w:after="120"/>
        <w:jc w:val="left"/>
      </w:pPr>
      <w:r>
        <w:rPr>
          <w:rFonts w:ascii="Times New Roman" w:cs="Times New Roman" w:eastAsia="Times New Roman" w:hAnsi="Times New Roman"/>
          <w:b/>
          <w:bCs/>
          <w:sz w:val="26"/>
          <w:szCs w:val="26"/>
        </w:rPr>
        <w:t xml:space="preserve">4.1 Descriptive Statistics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Set the empirical landscape before regression. Reader should understand cross-category variation.</w:t>
      </w:r>
    </w:p>
    <w:p>
      <w:pPr>
        <w:spacing w:line="312" w:before="60" w:after="60"/>
        <w:ind w:left="360"/>
        <w:jc w:val="left"/>
      </w:pPr>
      <w:r>
        <w:rPr>
          <w:rFonts w:ascii="Times New Roman" w:cs="Times New Roman" w:eastAsia="Times New Roman" w:hAnsi="Times New Roman"/>
          <w:i/>
          <w:iCs/>
          <w:color w:val="006600"/>
          <w:sz w:val="22"/>
          <w:szCs w:val="22"/>
        </w:rPr>
        <w:t xml:space="preserve">[TABLE 1] thesis_table1_descriptive.csv — 10 categories, columns: n, avg prices, promo rate, discount depth, brand/import/health shares.</w:t>
      </w:r>
    </w:p>
    <w:p>
      <w:pPr>
        <w:spacing w:line="312" w:before="100" w:after="60"/>
        <w:ind w:left="360"/>
        <w:jc w:val="both"/>
      </w:pPr>
      <w:r>
        <w:rPr>
          <w:rFonts w:ascii="Times New Roman" w:cs="Times New Roman" w:eastAsia="Times New Roman" w:hAnsi="Times New Roman"/>
          <w:b/>
          <w:bCs/>
          <w:color w:val="2E5090"/>
          <w:sz w:val="26"/>
          <w:szCs w:val="26"/>
        </w:rPr>
        <w:t xml:space="preserve">4.1.1  </w:t>
      </w:r>
      <w:r>
        <w:rPr>
          <w:rFonts w:ascii="Times New Roman" w:cs="Times New Roman" w:eastAsia="Times New Roman" w:hAnsi="Times New Roman"/>
          <w:sz w:val="26"/>
          <w:szCs w:val="26"/>
        </w:rPr>
        <w:t xml:space="preserve">Scale: 2,286 products across 10 categories and 40 subcategories. Largest: Bánh Kỹo (n=583). Smallest: Trứng-Đậu Hũ (n=24). Average prices range from 38,308 VND (Eggs) to 141,978 VND (Baby Products).</w:t>
      </w:r>
    </w:p>
    <w:p>
      <w:pPr>
        <w:spacing w:line="312" w:before="100" w:after="60"/>
        <w:ind w:left="360"/>
        <w:jc w:val="both"/>
      </w:pPr>
      <w:r>
        <w:rPr>
          <w:rFonts w:ascii="Times New Roman" w:cs="Times New Roman" w:eastAsia="Times New Roman" w:hAnsi="Times New Roman"/>
          <w:b/>
          <w:bCs/>
          <w:color w:val="2E5090"/>
          <w:sz w:val="26"/>
          <w:szCs w:val="26"/>
        </w:rPr>
        <w:t xml:space="preserve">4.1.2  </w:t>
      </w:r>
      <w:r>
        <w:rPr>
          <w:rFonts w:ascii="Times New Roman" w:cs="Times New Roman" w:eastAsia="Times New Roman" w:hAnsi="Times New Roman"/>
          <w:sz w:val="26"/>
          <w:szCs w:val="26"/>
        </w:rPr>
        <w:t xml:space="preserve">Promotion penetration varies dramatically: Gia Vị 36.1%, Sữa Tươi 32.3%, Chăm Sóc Bé 29.4% at the high end; Trứng-Đậu Hũ 0.0%, Đông Lạnh 9.3% at the low end. A 36-point spread.</w:t>
      </w:r>
    </w:p>
    <w:p>
      <w:pPr>
        <w:spacing w:line="312" w:before="100" w:after="60"/>
        <w:ind w:left="360"/>
        <w:jc w:val="both"/>
      </w:pPr>
      <w:r>
        <w:rPr>
          <w:rFonts w:ascii="Times New Roman" w:cs="Times New Roman" w:eastAsia="Times New Roman" w:hAnsi="Times New Roman"/>
          <w:b/>
          <w:bCs/>
          <w:color w:val="2E5090"/>
          <w:sz w:val="26"/>
          <w:szCs w:val="26"/>
        </w:rPr>
        <w:t xml:space="preserve">4.1.3  </w:t>
      </w:r>
      <w:r>
        <w:rPr>
          <w:rFonts w:ascii="Times New Roman" w:cs="Times New Roman" w:eastAsia="Times New Roman" w:hAnsi="Times New Roman"/>
          <w:sz w:val="26"/>
          <w:szCs w:val="26"/>
        </w:rPr>
        <w:t xml:space="preserve">Discount depth when promoted: tight range of 12.6% (Sữa Tươi) to 19.1% (Bánh Kỹo), despite huge penetration variation. Implies the promotional lever is penetration (how many products to discount), not depth (how much).</w:t>
      </w:r>
    </w:p>
    <w:p>
      <w:pPr>
        <w:spacing w:line="312" w:before="100" w:after="60"/>
        <w:ind w:left="360"/>
        <w:jc w:val="both"/>
      </w:pPr>
      <w:r>
        <w:rPr>
          <w:rFonts w:ascii="Times New Roman" w:cs="Times New Roman" w:eastAsia="Times New Roman" w:hAnsi="Times New Roman"/>
          <w:b/>
          <w:bCs/>
          <w:color w:val="2E5090"/>
          <w:sz w:val="26"/>
          <w:szCs w:val="26"/>
        </w:rPr>
        <w:t xml:space="preserve">4.1.4  </w:t>
      </w:r>
      <w:r>
        <w:rPr>
          <w:rFonts w:ascii="Times New Roman" w:cs="Times New Roman" w:eastAsia="Times New Roman" w:hAnsi="Times New Roman"/>
          <w:sz w:val="26"/>
          <w:szCs w:val="26"/>
        </w:rPr>
        <w:t xml:space="preserve">Brand presence near-universal in some categories: Chăm Sóc Bé 93.1%, Gia Vị 92.7%, Sữa Tươi 89.0%. Very low in Rau-Củ-Trái Cây (7.5%) — fresh produce sold largely without brand identifiers.</w:t>
      </w:r>
    </w:p>
    <w:p>
      <w:pPr>
        <w:spacing w:line="312" w:before="100" w:after="60"/>
        <w:ind w:left="360"/>
        <w:jc w:val="both"/>
      </w:pPr>
      <w:r>
        <w:rPr>
          <w:rFonts w:ascii="Times New Roman" w:cs="Times New Roman" w:eastAsia="Times New Roman" w:hAnsi="Times New Roman"/>
          <w:b/>
          <w:bCs/>
          <w:color w:val="2E5090"/>
          <w:sz w:val="26"/>
          <w:szCs w:val="26"/>
        </w:rPr>
        <w:t xml:space="preserve">4.1.5  </w:t>
      </w:r>
      <w:r>
        <w:rPr>
          <w:rFonts w:ascii="Times New Roman" w:cs="Times New Roman" w:eastAsia="Times New Roman" w:hAnsi="Times New Roman"/>
          <w:sz w:val="26"/>
          <w:szCs w:val="26"/>
        </w:rPr>
        <w:t xml:space="preserve">Import share concentrated in Rau-Củ-Trái Cây (13.4%) and Đông Lạnh (5.8%); near zero elsewhere. Health claims concentrated in Sữa Tươi (19.7%) and Chăm Sóc Bé (19.0%).</w:t>
      </w:r>
    </w:p>
    <w:p>
      <w:pPr>
        <w:spacing w:line="312" w:before="60" w:after="60"/>
        <w:ind w:left="360"/>
        <w:jc w:val="left"/>
      </w:pPr>
      <w:r>
        <w:rPr>
          <w:rFonts w:ascii="Times New Roman" w:cs="Times New Roman" w:eastAsia="Times New Roman" w:hAnsi="Times New Roman"/>
          <w:i/>
          <w:iCs/>
          <w:color w:val="B85C00"/>
          <w:sz w:val="22"/>
          <w:szCs w:val="22"/>
        </w:rPr>
        <w:t xml:space="preserve">→ Descriptives complete. §4.2 presents the main pooled regression.</w:t>
      </w:r>
    </w:p>
    <w:p>
      <w:pPr>
        <w:pStyle w:val="Heading2"/>
        <w:spacing w:line="312" w:before="240" w:after="120"/>
        <w:jc w:val="left"/>
      </w:pPr>
      <w:r>
        <w:rPr>
          <w:rFonts w:ascii="Times New Roman" w:cs="Times New Roman" w:eastAsia="Times New Roman" w:hAnsi="Times New Roman"/>
          <w:b/>
          <w:bCs/>
          <w:sz w:val="26"/>
          <w:szCs w:val="26"/>
        </w:rPr>
        <w:t xml:space="preserve">4.2 Pooled Hedonic Regression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Main results — marked vs. final side-by-side. Walk through each coefficient.</w:t>
      </w:r>
    </w:p>
    <w:p>
      <w:pPr>
        <w:spacing w:line="312" w:before="60" w:after="60"/>
        <w:ind w:left="360"/>
        <w:jc w:val="left"/>
      </w:pPr>
      <w:r>
        <w:rPr>
          <w:rFonts w:ascii="Times New Roman" w:cs="Times New Roman" w:eastAsia="Times New Roman" w:hAnsi="Times New Roman"/>
          <w:i/>
          <w:iCs/>
          <w:color w:val="006600"/>
          <w:sz w:val="22"/>
          <w:szCs w:val="22"/>
        </w:rPr>
        <w:t xml:space="preserve">[TABLE 2] thesis_table2_pooled_regression.csv — marked vs. final. [FIGURE 2] thesis_fig2_forest_plot.png.</w:t>
      </w:r>
    </w:p>
    <w:p>
      <w:pPr>
        <w:spacing w:line="312" w:before="100" w:after="60"/>
        <w:ind w:left="360"/>
        <w:jc w:val="both"/>
      </w:pPr>
      <w:r>
        <w:rPr>
          <w:rFonts w:ascii="Times New Roman" w:cs="Times New Roman" w:eastAsia="Times New Roman" w:hAnsi="Times New Roman"/>
          <w:b/>
          <w:bCs/>
          <w:color w:val="2E5090"/>
          <w:sz w:val="26"/>
          <w:szCs w:val="26"/>
        </w:rPr>
        <w:t xml:space="preserve">4.2.1  </w:t>
      </w:r>
      <w:r>
        <w:rPr>
          <w:rFonts w:ascii="Times New Roman" w:cs="Times New Roman" w:eastAsia="Times New Roman" w:hAnsi="Times New Roman"/>
          <w:sz w:val="26"/>
          <w:szCs w:val="26"/>
        </w:rPr>
        <w:t xml:space="preserve">Model fit: Adj R² = 0.639 (marked), 0.642 (final). Ten features + 40 subcategory FE explain ~64% of log-price variation. Strong for a cross-sectional food hedonic across 10 heterogeneous categories.</w:t>
      </w:r>
    </w:p>
    <w:p>
      <w:pPr>
        <w:spacing w:line="312" w:before="100" w:after="60"/>
        <w:ind w:left="360"/>
        <w:jc w:val="both"/>
      </w:pPr>
      <w:r>
        <w:rPr>
          <w:rFonts w:ascii="Times New Roman" w:cs="Times New Roman" w:eastAsia="Times New Roman" w:hAnsi="Times New Roman"/>
          <w:b/>
          <w:bCs/>
          <w:color w:val="2E5090"/>
          <w:sz w:val="26"/>
          <w:szCs w:val="26"/>
        </w:rPr>
        <w:t xml:space="preserve">4.2.2  </w:t>
      </w:r>
      <w:r>
        <w:rPr>
          <w:rFonts w:ascii="Times New Roman" w:cs="Times New Roman" w:eastAsia="Times New Roman" w:hAnsi="Times New Roman"/>
          <w:sz w:val="26"/>
          <w:szCs w:val="26"/>
        </w:rPr>
        <w:t xml:space="preserve">Price-tier premium (is_premium): β = +0.429*** (marked), +0.436*** (final). THE dominant attribute premium — 43–44% markup, virtually stable across both price measures (erosion = −1.7%).</w:t>
      </w:r>
    </w:p>
    <w:p>
      <w:pPr>
        <w:spacing w:line="312" w:before="100" w:after="60"/>
        <w:ind w:left="360"/>
        <w:jc w:val="both"/>
      </w:pPr>
      <w:r>
        <w:rPr>
          <w:rFonts w:ascii="Times New Roman" w:cs="Times New Roman" w:eastAsia="Times New Roman" w:hAnsi="Times New Roman"/>
          <w:b/>
          <w:bCs/>
          <w:color w:val="2E5090"/>
          <w:sz w:val="26"/>
          <w:szCs w:val="26"/>
        </w:rPr>
        <w:t xml:space="preserve">4.2.3  </w:t>
      </w:r>
      <w:r>
        <w:rPr>
          <w:rFonts w:ascii="Times New Roman" w:cs="Times New Roman" w:eastAsia="Times New Roman" w:hAnsi="Times New Roman"/>
          <w:sz w:val="26"/>
          <w:szCs w:val="26"/>
        </w:rPr>
        <w:t xml:space="preserve">High-recognition discount (is_high_recognition): β = −0.255*** (marked), −0.266*** (final). Household Giants are cheaper than other branded products. Likely reflects scale economies or heavier promotional activity.</w:t>
      </w:r>
    </w:p>
    <w:p>
      <w:pPr>
        <w:spacing w:line="312" w:before="100" w:after="60"/>
        <w:ind w:left="360"/>
        <w:jc w:val="both"/>
      </w:pPr>
      <w:r>
        <w:rPr>
          <w:rFonts w:ascii="Times New Roman" w:cs="Times New Roman" w:eastAsia="Times New Roman" w:hAnsi="Times New Roman"/>
          <w:b/>
          <w:bCs/>
          <w:color w:val="2E5090"/>
          <w:sz w:val="26"/>
          <w:szCs w:val="26"/>
        </w:rPr>
        <w:t xml:space="preserve">4.2.4  </w:t>
      </w:r>
      <w:r>
        <w:rPr>
          <w:rFonts w:ascii="Times New Roman" w:cs="Times New Roman" w:eastAsia="Times New Roman" w:hAnsi="Times New Roman"/>
          <w:sz w:val="26"/>
          <w:szCs w:val="26"/>
        </w:rPr>
        <w:t xml:space="preserve">Brand-name signal (is_branded): β = +0.022 (marked), +0.011 (final), both statistically insignificant (SE ≈ 0.077). Brand name alone carries essentially zero premium. Key null finding.</w:t>
      </w:r>
    </w:p>
    <w:p>
      <w:pPr>
        <w:spacing w:line="312" w:before="100" w:after="60"/>
        <w:ind w:left="360"/>
        <w:jc w:val="both"/>
      </w:pPr>
      <w:r>
        <w:rPr>
          <w:rFonts w:ascii="Times New Roman" w:cs="Times New Roman" w:eastAsia="Times New Roman" w:hAnsi="Times New Roman"/>
          <w:b/>
          <w:bCs/>
          <w:color w:val="2E5090"/>
          <w:sz w:val="26"/>
          <w:szCs w:val="26"/>
        </w:rPr>
        <w:t xml:space="preserve">4.2.5  </w:t>
      </w:r>
      <w:r>
        <w:rPr>
          <w:rFonts w:ascii="Times New Roman" w:cs="Times New Roman" w:eastAsia="Times New Roman" w:hAnsi="Times New Roman"/>
          <w:sz w:val="26"/>
          <w:szCs w:val="26"/>
        </w:rPr>
        <w:t xml:space="preserve">Import premium (is_import): β = +0.144 (marked), +0.117 (final), positive but not significant (SE ≈ 0.21, small sample of 98 products). Economically sensible direction but imprecise.</w:t>
      </w:r>
    </w:p>
    <w:p>
      <w:pPr>
        <w:spacing w:line="312" w:before="100" w:after="60"/>
        <w:ind w:left="360"/>
        <w:jc w:val="both"/>
      </w:pPr>
      <w:r>
        <w:rPr>
          <w:rFonts w:ascii="Times New Roman" w:cs="Times New Roman" w:eastAsia="Times New Roman" w:hAnsi="Times New Roman"/>
          <w:b/>
          <w:bCs/>
          <w:color w:val="2E5090"/>
          <w:sz w:val="26"/>
          <w:szCs w:val="26"/>
        </w:rPr>
        <w:t xml:space="preserve">4.2.6  </w:t>
      </w:r>
      <w:r>
        <w:rPr>
          <w:rFonts w:ascii="Times New Roman" w:cs="Times New Roman" w:eastAsia="Times New Roman" w:hAnsi="Times New Roman"/>
          <w:sz w:val="26"/>
          <w:szCs w:val="26"/>
        </w:rPr>
        <w:t xml:space="preserve">House brand WinEco (is_house_brand): β = −0.046 (marked, n.s.) vs. −0.266*** (final). Sticker-price near-parity but massive checkout discount. Most dramatic dual-price divergence in the dataset.</w:t>
      </w:r>
    </w:p>
    <w:p>
      <w:pPr>
        <w:spacing w:line="312" w:before="100" w:after="60"/>
        <w:ind w:left="360"/>
        <w:jc w:val="both"/>
      </w:pPr>
      <w:r>
        <w:rPr>
          <w:rFonts w:ascii="Times New Roman" w:cs="Times New Roman" w:eastAsia="Times New Roman" w:hAnsi="Times New Roman"/>
          <w:b/>
          <w:bCs/>
          <w:color w:val="2E5090"/>
          <w:sz w:val="26"/>
          <w:szCs w:val="26"/>
        </w:rPr>
        <w:t xml:space="preserve">4.2.7  </w:t>
      </w:r>
      <w:r>
        <w:rPr>
          <w:rFonts w:ascii="Times New Roman" w:cs="Times New Roman" w:eastAsia="Times New Roman" w:hAnsi="Times New Roman"/>
          <w:sz w:val="26"/>
          <w:szCs w:val="26"/>
        </w:rPr>
        <w:t xml:space="preserve">Pack-size discount (ln_pack_size): β = −0.384*** (marked), −0.395*** (final). Strong economies of scale. Health and freshness claims not significant in pooled model — their effects are category-specific (see §4.3).</w:t>
      </w:r>
    </w:p>
    <w:p>
      <w:pPr>
        <w:spacing w:line="312" w:before="60" w:after="60"/>
        <w:ind w:left="360"/>
        <w:jc w:val="left"/>
      </w:pPr>
      <w:r>
        <w:rPr>
          <w:rFonts w:ascii="Times New Roman" w:cs="Times New Roman" w:eastAsia="Times New Roman" w:hAnsi="Times New Roman"/>
          <w:i/>
          <w:iCs/>
          <w:color w:val="CC0000"/>
          <w:sz w:val="22"/>
          <w:szCs w:val="22"/>
        </w:rPr>
        <w:t xml:space="preserve">[DEFENSE NOTE] Core interpretation: “The brand-name signal alone does not generate a statistically significant premium. Price premiums are driven by the price-tier positioning.” Do NOT say “there is a brand premium of X%.”</w:t>
      </w:r>
    </w:p>
    <w:p>
      <w:pPr>
        <w:spacing w:line="312" w:before="60" w:after="60"/>
        <w:ind w:left="360"/>
        <w:jc w:val="left"/>
      </w:pPr>
      <w:r>
        <w:rPr>
          <w:rFonts w:ascii="Times New Roman" w:cs="Times New Roman" w:eastAsia="Times New Roman" w:hAnsi="Times New Roman"/>
          <w:i/>
          <w:iCs/>
          <w:color w:val="B85C00"/>
          <w:sz w:val="22"/>
          <w:szCs w:val="22"/>
        </w:rPr>
        <w:t xml:space="preserve">→ Pooled results presented. §4.3 breaks down by category.</w:t>
      </w:r>
    </w:p>
    <w:p>
      <w:pPr>
        <w:pStyle w:val="Heading2"/>
        <w:spacing w:line="312" w:before="240" w:after="120"/>
        <w:jc w:val="left"/>
      </w:pPr>
      <w:r>
        <w:rPr>
          <w:rFonts w:ascii="Times New Roman" w:cs="Times New Roman" w:eastAsia="Times New Roman" w:hAnsi="Times New Roman"/>
          <w:b/>
          <w:bCs/>
          <w:sz w:val="26"/>
          <w:szCs w:val="26"/>
        </w:rPr>
        <w:t xml:space="preserve">4.3 Per-Category Heterogeneity</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Pooled coefficients mask systematic variation. The hedonic price function differs by food category.</w:t>
      </w:r>
    </w:p>
    <w:p>
      <w:pPr>
        <w:spacing w:line="312" w:before="60" w:after="60"/>
        <w:ind w:left="360"/>
        <w:jc w:val="left"/>
      </w:pPr>
      <w:r>
        <w:rPr>
          <w:rFonts w:ascii="Times New Roman" w:cs="Times New Roman" w:eastAsia="Times New Roman" w:hAnsi="Times New Roman"/>
          <w:i/>
          <w:iCs/>
          <w:color w:val="006600"/>
          <w:sz w:val="22"/>
          <w:szCs w:val="22"/>
        </w:rPr>
        <w:t xml:space="preserve">[TABLE 3] thesis_table3_category_regression.csv — per-category coefficients and R².</w:t>
      </w:r>
    </w:p>
    <w:p>
      <w:pPr>
        <w:spacing w:line="312" w:before="100" w:after="60"/>
        <w:ind w:left="360"/>
        <w:jc w:val="both"/>
      </w:pPr>
      <w:r>
        <w:rPr>
          <w:rFonts w:ascii="Times New Roman" w:cs="Times New Roman" w:eastAsia="Times New Roman" w:hAnsi="Times New Roman"/>
          <w:b/>
          <w:bCs/>
          <w:color w:val="2E5090"/>
          <w:sz w:val="26"/>
          <w:szCs w:val="26"/>
        </w:rPr>
        <w:t xml:space="preserve">4.3.1  </w:t>
      </w:r>
      <w:r>
        <w:rPr>
          <w:rFonts w:ascii="Times New Roman" w:cs="Times New Roman" w:eastAsia="Times New Roman" w:hAnsi="Times New Roman"/>
          <w:sz w:val="26"/>
          <w:szCs w:val="26"/>
        </w:rPr>
        <w:t xml:space="preserve">Model fit varies: R² from 0.227 (Mì — Instant Food) to 0.831 (Thực Phẩm Khô — Dry Food). Hedonic model explains more in categories with homogeneous product structures.</w:t>
      </w:r>
    </w:p>
    <w:p>
      <w:pPr>
        <w:spacing w:line="312" w:before="100" w:after="60"/>
        <w:ind w:left="360"/>
        <w:jc w:val="both"/>
      </w:pPr>
      <w:r>
        <w:rPr>
          <w:rFonts w:ascii="Times New Roman" w:cs="Times New Roman" w:eastAsia="Times New Roman" w:hAnsi="Times New Roman"/>
          <w:b/>
          <w:bCs/>
          <w:color w:val="2E5090"/>
          <w:sz w:val="26"/>
          <w:szCs w:val="26"/>
        </w:rPr>
        <w:t xml:space="preserve">4.3.2  </w:t>
      </w:r>
      <w:r>
        <w:rPr>
          <w:rFonts w:ascii="Times New Roman" w:cs="Times New Roman" w:eastAsia="Times New Roman" w:hAnsi="Times New Roman"/>
          <w:sz w:val="26"/>
          <w:szCs w:val="26"/>
        </w:rPr>
        <w:t xml:space="preserve">Price-tier premium significant in ~6/10 categories. Strongest: Gia Vị (+71.0%***), Sữa Tươi (+50.3%***), Thực Phẩm Chế Biến (+50.1%**). Insignificant in Rau-Củ-Trái Cây (+6.4%, n.s.) — premium positioning doesn’t command a premium in fresh produce.</w:t>
      </w:r>
    </w:p>
    <w:p>
      <w:pPr>
        <w:spacing w:line="312" w:before="100" w:after="60"/>
        <w:ind w:left="360"/>
        <w:jc w:val="both"/>
      </w:pPr>
      <w:r>
        <w:rPr>
          <w:rFonts w:ascii="Times New Roman" w:cs="Times New Roman" w:eastAsia="Times New Roman" w:hAnsi="Times New Roman"/>
          <w:b/>
          <w:bCs/>
          <w:color w:val="2E5090"/>
          <w:sz w:val="26"/>
          <w:szCs w:val="26"/>
        </w:rPr>
        <w:t xml:space="preserve">4.3.3  </w:t>
      </w:r>
      <w:r>
        <w:rPr>
          <w:rFonts w:ascii="Times New Roman" w:cs="Times New Roman" w:eastAsia="Times New Roman" w:hAnsi="Times New Roman"/>
          <w:sz w:val="26"/>
          <w:szCs w:val="26"/>
        </w:rPr>
        <w:t xml:space="preserve">Import premium: most dramatic per-category result. Rau-Củ-Trái Cây is_import = +1.004*** — imported fruit commands more than double the price. Single largest coefficient in any category regression. Conversely, Thực Phẩm Chế Biến is_import = −0.608* — imported processed food carries a discount.</w:t>
      </w:r>
    </w:p>
    <w:p>
      <w:pPr>
        <w:spacing w:line="312" w:before="100" w:after="60"/>
        <w:ind w:left="360"/>
        <w:jc w:val="both"/>
      </w:pPr>
      <w:r>
        <w:rPr>
          <w:rFonts w:ascii="Times New Roman" w:cs="Times New Roman" w:eastAsia="Times New Roman" w:hAnsi="Times New Roman"/>
          <w:b/>
          <w:bCs/>
          <w:color w:val="2E5090"/>
          <w:sz w:val="26"/>
          <w:szCs w:val="26"/>
        </w:rPr>
        <w:t xml:space="preserve">4.3.4  </w:t>
      </w:r>
      <w:r>
        <w:rPr>
          <w:rFonts w:ascii="Times New Roman" w:cs="Times New Roman" w:eastAsia="Times New Roman" w:hAnsi="Times New Roman"/>
          <w:sz w:val="26"/>
          <w:szCs w:val="26"/>
        </w:rPr>
        <w:t xml:space="preserve">Health claims: significant only in Gia Vị (+38.2%*) and Rau-Củ-Trái Cây. Categories where food safety concerns are most salient, consistent with Mergenthaler et al. (2009).</w:t>
      </w:r>
    </w:p>
    <w:p>
      <w:pPr>
        <w:spacing w:line="312" w:before="100" w:after="60"/>
        <w:ind w:left="360"/>
        <w:jc w:val="both"/>
      </w:pPr>
      <w:r>
        <w:rPr>
          <w:rFonts w:ascii="Times New Roman" w:cs="Times New Roman" w:eastAsia="Times New Roman" w:hAnsi="Times New Roman"/>
          <w:b/>
          <w:bCs/>
          <w:color w:val="2E5090"/>
          <w:sz w:val="26"/>
          <w:szCs w:val="26"/>
        </w:rPr>
        <w:t xml:space="preserve">4.3.5  </w:t>
      </w:r>
      <w:r>
        <w:rPr>
          <w:rFonts w:ascii="Times New Roman" w:cs="Times New Roman" w:eastAsia="Times New Roman" w:hAnsi="Times New Roman"/>
          <w:sz w:val="26"/>
          <w:szCs w:val="26"/>
        </w:rPr>
        <w:t xml:space="preserve">High-recognition effect flips sign: strongly negative in Bánh Kỹo (−0.397***), Gia Vị (−0.306***), Thực Phẩm Khô (−0.449***). Near-zero in Mì (+0.093, n.s.) and Đông Lạnh (+0.113, n.s.). Sign instability suggests Household Giant pricing strategy varies by competitive context.</w:t>
      </w:r>
    </w:p>
    <w:p>
      <w:pPr>
        <w:spacing w:line="312" w:before="100" w:after="60"/>
        <w:ind w:left="360"/>
        <w:jc w:val="both"/>
      </w:pPr>
      <w:r>
        <w:rPr>
          <w:rFonts w:ascii="Times New Roman" w:cs="Times New Roman" w:eastAsia="Times New Roman" w:hAnsi="Times New Roman"/>
          <w:b/>
          <w:bCs/>
          <w:color w:val="2E5090"/>
          <w:sz w:val="26"/>
          <w:szCs w:val="26"/>
        </w:rPr>
        <w:t xml:space="preserve">4.3.6  </w:t>
      </w:r>
      <w:r>
        <w:rPr>
          <w:rFonts w:ascii="Times New Roman" w:cs="Times New Roman" w:eastAsia="Times New Roman" w:hAnsi="Times New Roman"/>
          <w:sz w:val="26"/>
          <w:szCs w:val="26"/>
        </w:rPr>
        <w:t xml:space="preserve">Small-sample categories: Chăm Sóc Bé (n=34) — suggestive but low-power estimates. Trứng-Đậu Hũ (n=24) excluded from per-category regression due to insufficient sample.</w:t>
      </w:r>
    </w:p>
    <w:p>
      <w:pPr>
        <w:spacing w:line="312" w:before="60" w:after="60"/>
        <w:ind w:left="360"/>
        <w:jc w:val="left"/>
      </w:pPr>
      <w:r>
        <w:rPr>
          <w:rFonts w:ascii="Times New Roman" w:cs="Times New Roman" w:eastAsia="Times New Roman" w:hAnsi="Times New Roman"/>
          <w:i/>
          <w:iCs/>
          <w:color w:val="B85C00"/>
          <w:sz w:val="22"/>
          <w:szCs w:val="22"/>
        </w:rPr>
        <w:t xml:space="preserve">→ Heterogeneity documented. §4.4 zooms in on the erosion comparison — the central finding.</w:t>
      </w:r>
    </w:p>
    <w:p>
      <w:pPr>
        <w:pStyle w:val="Heading2"/>
        <w:spacing w:line="312" w:before="240" w:after="120"/>
        <w:jc w:val="left"/>
      </w:pPr>
      <w:r>
        <w:rPr>
          <w:rFonts w:ascii="Times New Roman" w:cs="Times New Roman" w:eastAsia="Times New Roman" w:hAnsi="Times New Roman"/>
          <w:b/>
          <w:bCs/>
          <w:sz w:val="26"/>
          <w:szCs w:val="26"/>
        </w:rPr>
        <w:t xml:space="preserve">4.4 Promotional Erosion Analysis — The Key Finding</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Centerpiece section. Compare marked vs. final coefficients to reveal which attribute premiums survive promotions.</w:t>
      </w:r>
    </w:p>
    <w:p>
      <w:pPr>
        <w:spacing w:line="312" w:before="60" w:after="60"/>
        <w:ind w:left="360"/>
        <w:jc w:val="left"/>
      </w:pPr>
      <w:r>
        <w:rPr>
          <w:rFonts w:ascii="Times New Roman" w:cs="Times New Roman" w:eastAsia="Times New Roman" w:hAnsi="Times New Roman"/>
          <w:i/>
          <w:iCs/>
          <w:color w:val="006600"/>
          <w:sz w:val="22"/>
          <w:szCs w:val="22"/>
        </w:rPr>
        <w:t xml:space="preserve">[TABLE: EROSION] thesis_table_coefficient_comparison.csv. [FIGURE 3] thesis_fig3_brand_premium_marked_vs_final.png — core visual.</w:t>
      </w:r>
    </w:p>
    <w:p>
      <w:pPr>
        <w:spacing w:line="312" w:before="100" w:after="60"/>
        <w:ind w:left="360"/>
        <w:jc w:val="both"/>
      </w:pPr>
      <w:r>
        <w:rPr>
          <w:rFonts w:ascii="Times New Roman" w:cs="Times New Roman" w:eastAsia="Times New Roman" w:hAnsi="Times New Roman"/>
          <w:b/>
          <w:bCs/>
          <w:color w:val="2E5090"/>
          <w:sz w:val="26"/>
          <w:szCs w:val="26"/>
        </w:rPr>
        <w:t xml:space="preserve">4.4.1  </w:t>
      </w:r>
      <w:r>
        <w:rPr>
          <w:rFonts w:ascii="Times New Roman" w:cs="Times New Roman" w:eastAsia="Times New Roman" w:hAnsi="Times New Roman"/>
          <w:sz w:val="26"/>
          <w:szCs w:val="26"/>
        </w:rPr>
        <w:t xml:space="preserve">Erosion metric: pct_erosion = (β_marked − β_final) / β_marked × 100. Positive = premium shrinks from sticker to checkout. Applied to all 10 coefficients; focus on the 5 attribute premiums.</w:t>
      </w:r>
    </w:p>
    <w:p>
      <w:pPr>
        <w:spacing w:line="312" w:before="100" w:after="60"/>
        <w:ind w:left="360"/>
        <w:jc w:val="both"/>
      </w:pPr>
      <w:r>
        <w:rPr>
          <w:rFonts w:ascii="Times New Roman" w:cs="Times New Roman" w:eastAsia="Times New Roman" w:hAnsi="Times New Roman"/>
          <w:b/>
          <w:bCs/>
          <w:color w:val="2E5090"/>
          <w:sz w:val="26"/>
          <w:szCs w:val="26"/>
        </w:rPr>
        <w:t xml:space="preserve">4.4.2  </w:t>
      </w:r>
      <w:r>
        <w:rPr>
          <w:rFonts w:ascii="Times New Roman" w:cs="Times New Roman" w:eastAsia="Times New Roman" w:hAnsi="Times New Roman"/>
          <w:sz w:val="26"/>
          <w:szCs w:val="26"/>
        </w:rPr>
        <w:t xml:space="preserve">Price-tier stability: erosion = −1.7%. Premium-tier coefficient increases marginally from +0.429 to +0.436 at checkout. Premium positioning survives the promotional pipeline intact. CENTRAL FINDING.</w:t>
      </w:r>
    </w:p>
    <w:p>
      <w:pPr>
        <w:spacing w:line="312" w:before="100" w:after="60"/>
        <w:ind w:left="360"/>
        <w:jc w:val="both"/>
      </w:pPr>
      <w:r>
        <w:rPr>
          <w:rFonts w:ascii="Times New Roman" w:cs="Times New Roman" w:eastAsia="Times New Roman" w:hAnsi="Times New Roman"/>
          <w:b/>
          <w:bCs/>
          <w:color w:val="2E5090"/>
          <w:sz w:val="26"/>
          <w:szCs w:val="26"/>
        </w:rPr>
        <w:t xml:space="preserve">4.4.3  </w:t>
      </w:r>
      <w:r>
        <w:rPr>
          <w:rFonts w:ascii="Times New Roman" w:cs="Times New Roman" w:eastAsia="Times New Roman" w:hAnsi="Times New Roman"/>
          <w:sz w:val="26"/>
          <w:szCs w:val="26"/>
        </w:rPr>
        <w:t xml:space="preserve">Brand-name erosion: 50.6%. Coefficient shrinks from +0.022 (marked) to +0.011 (final). Neither significant, but direction is clear: promotions halve whatever small brand-name advantage exists.</w:t>
      </w:r>
    </w:p>
    <w:p>
      <w:pPr>
        <w:spacing w:line="312" w:before="100" w:after="60"/>
        <w:ind w:left="360"/>
        <w:jc w:val="both"/>
      </w:pPr>
      <w:r>
        <w:rPr>
          <w:rFonts w:ascii="Times New Roman" w:cs="Times New Roman" w:eastAsia="Times New Roman" w:hAnsi="Times New Roman"/>
          <w:b/>
          <w:bCs/>
          <w:color w:val="2E5090"/>
          <w:sz w:val="26"/>
          <w:szCs w:val="26"/>
        </w:rPr>
        <w:t xml:space="preserve">4.4.4  </w:t>
      </w:r>
      <w:r>
        <w:rPr>
          <w:rFonts w:ascii="Times New Roman" w:cs="Times New Roman" w:eastAsia="Times New Roman" w:hAnsi="Times New Roman"/>
          <w:sz w:val="26"/>
          <w:szCs w:val="26"/>
        </w:rPr>
        <w:t xml:space="preserve">High-recognition deepening: 4.3%. Household Giant discount deepens from −0.255 to −0.266 at checkout. High-recognition brands receive slightly larger promotional discounts.</w:t>
      </w:r>
    </w:p>
    <w:p>
      <w:pPr>
        <w:spacing w:line="312" w:before="100" w:after="60"/>
        <w:ind w:left="360"/>
        <w:jc w:val="both"/>
      </w:pPr>
      <w:r>
        <w:rPr>
          <w:rFonts w:ascii="Times New Roman" w:cs="Times New Roman" w:eastAsia="Times New Roman" w:hAnsi="Times New Roman"/>
          <w:b/>
          <w:bCs/>
          <w:color w:val="2E5090"/>
          <w:sz w:val="26"/>
          <w:szCs w:val="26"/>
        </w:rPr>
        <w:t xml:space="preserve">4.4.5  </w:t>
      </w:r>
      <w:r>
        <w:rPr>
          <w:rFonts w:ascii="Times New Roman" w:cs="Times New Roman" w:eastAsia="Times New Roman" w:hAnsi="Times New Roman"/>
          <w:sz w:val="26"/>
          <w:szCs w:val="26"/>
        </w:rPr>
        <w:t xml:space="preserve">Import erosion: 19.1%. Import premium declines from +0.144 to +0.117. Partial erosion. Neither coefficient individually significant (directional only).</w:t>
      </w:r>
    </w:p>
    <w:p>
      <w:pPr>
        <w:spacing w:line="312" w:before="100" w:after="60"/>
        <w:ind w:left="360"/>
        <w:jc w:val="both"/>
      </w:pPr>
      <w:r>
        <w:rPr>
          <w:rFonts w:ascii="Times New Roman" w:cs="Times New Roman" w:eastAsia="Times New Roman" w:hAnsi="Times New Roman"/>
          <w:b/>
          <w:bCs/>
          <w:color w:val="2E5090"/>
          <w:sz w:val="26"/>
          <w:szCs w:val="26"/>
        </w:rPr>
        <w:t xml:space="preserve">4.4.6  </w:t>
      </w:r>
      <w:r>
        <w:rPr>
          <w:rFonts w:ascii="Times New Roman" w:cs="Times New Roman" w:eastAsia="Times New Roman" w:hAnsi="Times New Roman"/>
          <w:sz w:val="26"/>
          <w:szCs w:val="26"/>
        </w:rPr>
        <w:t xml:space="preserve">House brand — WinEco: erosion = 475.6%. Sticker discount −4.6% (n.s.) → checkout discount −26.6%***. Near-parity on shelf, massive discount at checkout. Most extreme promotional strategy in dataset. Reveals deliberate house-brand pricing: maintain shelf positioning, compete through checkout discounts.</w:t>
      </w:r>
    </w:p>
    <w:p>
      <w:pPr>
        <w:spacing w:line="312" w:before="100" w:after="60"/>
        <w:ind w:left="360"/>
        <w:jc w:val="both"/>
      </w:pPr>
      <w:r>
        <w:rPr>
          <w:rFonts w:ascii="Times New Roman" w:cs="Times New Roman" w:eastAsia="Times New Roman" w:hAnsi="Times New Roman"/>
          <w:b/>
          <w:bCs/>
          <w:color w:val="2E5090"/>
          <w:sz w:val="26"/>
          <w:szCs w:val="26"/>
        </w:rPr>
        <w:t xml:space="preserve">4.4.7  </w:t>
      </w:r>
      <w:r>
        <w:rPr>
          <w:rFonts w:ascii="Times New Roman" w:cs="Times New Roman" w:eastAsia="Times New Roman" w:hAnsi="Times New Roman"/>
          <w:sz w:val="26"/>
          <w:szCs w:val="26"/>
        </w:rPr>
        <w:t xml:space="preserve">Physical attributes: pack-size erosion 2.8%, pack-count −4.8% — minimal. Physical characteristics are not promotional targets. Health/freshness claims: negligible erosion from already-insignificant baselines.</w:t>
      </w:r>
    </w:p>
    <w:p>
      <w:pPr>
        <w:spacing w:line="312" w:before="60" w:after="60"/>
        <w:ind w:left="360"/>
        <w:jc w:val="left"/>
      </w:pPr>
      <w:r>
        <w:rPr>
          <w:rFonts w:ascii="Times New Roman" w:cs="Times New Roman" w:eastAsia="Times New Roman" w:hAnsi="Times New Roman"/>
          <w:i/>
          <w:iCs/>
          <w:color w:val="CC0000"/>
          <w:sz w:val="22"/>
          <w:szCs w:val="22"/>
        </w:rPr>
        <w:t xml:space="preserve">[DEFENSE NOTE] Core narrative: “Promotional pricing erodes brand-name premiums (50.6%) but not price-tier premiums (−1.7%). The house brand (WinEco) amplifies its competitive advantage by 476% from sticker to checkout.”</w:t>
      </w:r>
    </w:p>
    <w:p>
      <w:pPr>
        <w:spacing w:line="312" w:before="60" w:after="60"/>
        <w:ind w:left="360"/>
        <w:jc w:val="left"/>
      </w:pPr>
      <w:r>
        <w:rPr>
          <w:rFonts w:ascii="Times New Roman" w:cs="Times New Roman" w:eastAsia="Times New Roman" w:hAnsi="Times New Roman"/>
          <w:i/>
          <w:iCs/>
          <w:color w:val="B85C00"/>
          <w:sz w:val="22"/>
          <w:szCs w:val="22"/>
        </w:rPr>
        <w:t xml:space="preserve">→ Key finding established. §4.5 validates the technical underpinnings.</w:t>
      </w:r>
    </w:p>
    <w:p>
      <w:pPr>
        <w:pStyle w:val="Heading2"/>
        <w:spacing w:line="312" w:before="240" w:after="120"/>
        <w:jc w:val="left"/>
      </w:pPr>
      <w:r>
        <w:rPr>
          <w:rFonts w:ascii="Times New Roman" w:cs="Times New Roman" w:eastAsia="Times New Roman" w:hAnsi="Times New Roman"/>
          <w:b/>
          <w:bCs/>
          <w:sz w:val="26"/>
          <w:szCs w:val="26"/>
        </w:rPr>
        <w:t xml:space="preserve">4.5 Diagnostics and Robustness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Preempt methodological objections. Every major econometric concern addressed.</w:t>
      </w:r>
    </w:p>
    <w:p>
      <w:pPr>
        <w:spacing w:line="312" w:before="60" w:after="60"/>
        <w:ind w:left="360"/>
        <w:jc w:val="left"/>
      </w:pPr>
      <w:r>
        <w:rPr>
          <w:rFonts w:ascii="Times New Roman" w:cs="Times New Roman" w:eastAsia="Times New Roman" w:hAnsi="Times New Roman"/>
          <w:i/>
          <w:iCs/>
          <w:color w:val="006600"/>
          <w:sz w:val="22"/>
          <w:szCs w:val="22"/>
        </w:rPr>
        <w:t xml:space="preserve">[TABLE: VIF] thesis_table_vif.csv — all VIF &lt; 2.0.</w:t>
      </w:r>
    </w:p>
    <w:p>
      <w:pPr>
        <w:spacing w:line="312" w:before="100" w:after="60"/>
        <w:ind w:left="360"/>
        <w:jc w:val="both"/>
      </w:pPr>
      <w:r>
        <w:rPr>
          <w:rFonts w:ascii="Times New Roman" w:cs="Times New Roman" w:eastAsia="Times New Roman" w:hAnsi="Times New Roman"/>
          <w:b/>
          <w:bCs/>
          <w:color w:val="2E5090"/>
          <w:sz w:val="26"/>
          <w:szCs w:val="26"/>
        </w:rPr>
        <w:t xml:space="preserve">4.5.1  </w:t>
      </w:r>
      <w:r>
        <w:rPr>
          <w:rFonts w:ascii="Times New Roman" w:cs="Times New Roman" w:eastAsia="Times New Roman" w:hAnsi="Times New Roman"/>
          <w:sz w:val="26"/>
          <w:szCs w:val="26"/>
        </w:rPr>
        <w:t xml:space="preserve">Multicollinearity: all VIF &lt; 2.0 (max: is_branded = 1.54). No collinearity concern despite hierarchical brand dummies.</w:t>
      </w:r>
    </w:p>
    <w:p>
      <w:pPr>
        <w:spacing w:line="312" w:before="100" w:after="60"/>
        <w:ind w:left="360"/>
        <w:jc w:val="both"/>
      </w:pPr>
      <w:r>
        <w:rPr>
          <w:rFonts w:ascii="Times New Roman" w:cs="Times New Roman" w:eastAsia="Times New Roman" w:hAnsi="Times New Roman"/>
          <w:b/>
          <w:bCs/>
          <w:color w:val="2E5090"/>
          <w:sz w:val="26"/>
          <w:szCs w:val="26"/>
        </w:rPr>
        <w:t xml:space="preserve">4.5.2  </w:t>
      </w:r>
      <w:r>
        <w:rPr>
          <w:rFonts w:ascii="Times New Roman" w:cs="Times New Roman" w:eastAsia="Times New Roman" w:hAnsi="Times New Roman"/>
          <w:sz w:val="26"/>
          <w:szCs w:val="26"/>
        </w:rPr>
        <w:t xml:space="preserve">Heteroskedasticity: Breusch-Pagan rejects homoskedasticity (p &lt; 0.01) → cluster-robust SE justified. Products within subcategories share unobserved pricing factors.</w:t>
      </w:r>
    </w:p>
    <w:p>
      <w:pPr>
        <w:spacing w:line="312" w:before="100" w:after="60"/>
        <w:ind w:left="360"/>
        <w:jc w:val="both"/>
      </w:pPr>
      <w:r>
        <w:rPr>
          <w:rFonts w:ascii="Times New Roman" w:cs="Times New Roman" w:eastAsia="Times New Roman" w:hAnsi="Times New Roman"/>
          <w:b/>
          <w:bCs/>
          <w:color w:val="2E5090"/>
          <w:sz w:val="26"/>
          <w:szCs w:val="26"/>
        </w:rPr>
        <w:t xml:space="preserve">4.5.3  </w:t>
      </w:r>
      <w:r>
        <w:rPr>
          <w:rFonts w:ascii="Times New Roman" w:cs="Times New Roman" w:eastAsia="Times New Roman" w:hAnsi="Times New Roman"/>
          <w:sz w:val="26"/>
          <w:szCs w:val="26"/>
        </w:rPr>
        <w:t xml:space="preserve">Partial F-tests: brand block (is_branded + is_premium + is_high_recognition) jointly significant even though is_branded alone is not. Three dimensions collectively explain meaningful price variation.</w:t>
      </w:r>
    </w:p>
    <w:p>
      <w:pPr>
        <w:spacing w:line="312" w:before="100" w:after="60"/>
        <w:ind w:left="360"/>
        <w:jc w:val="both"/>
      </w:pPr>
      <w:r>
        <w:rPr>
          <w:rFonts w:ascii="Times New Roman" w:cs="Times New Roman" w:eastAsia="Times New Roman" w:hAnsi="Times New Roman"/>
          <w:b/>
          <w:bCs/>
          <w:color w:val="2E5090"/>
          <w:sz w:val="26"/>
          <w:szCs w:val="26"/>
        </w:rPr>
        <w:t xml:space="preserve">4.5.4  </w:t>
      </w:r>
      <w:r>
        <w:rPr>
          <w:rFonts w:ascii="Times New Roman" w:cs="Times New Roman" w:eastAsia="Times New Roman" w:hAnsi="Times New Roman"/>
          <w:sz w:val="26"/>
          <w:szCs w:val="26"/>
        </w:rPr>
        <w:t xml:space="preserve">Cook’s distance: no single product or small group drives the results. Leverage analysis confirms is_import and is_house_brand (small subgroups) are not unduly influenced by outliers.</w:t>
      </w:r>
    </w:p>
    <w:p>
      <w:pPr>
        <w:spacing w:line="312" w:before="100" w:after="60"/>
        <w:ind w:left="360"/>
        <w:jc w:val="both"/>
      </w:pPr>
      <w:r>
        <w:rPr>
          <w:rFonts w:ascii="Times New Roman" w:cs="Times New Roman" w:eastAsia="Times New Roman" w:hAnsi="Times New Roman"/>
          <w:b/>
          <w:bCs/>
          <w:color w:val="2E5090"/>
          <w:sz w:val="26"/>
          <w:szCs w:val="26"/>
        </w:rPr>
        <w:t xml:space="preserve">4.5.5  </w:t>
      </w:r>
      <w:r>
        <w:rPr>
          <w:rFonts w:ascii="Times New Roman" w:cs="Times New Roman" w:eastAsia="Times New Roman" w:hAnsi="Times New Roman"/>
          <w:sz w:val="26"/>
          <w:szCs w:val="26"/>
        </w:rPr>
        <w:t xml:space="preserve">3-month snapshot stability: Dec, Jan, Feb regressions produce consistent coefficient signs and magnitudes. is_premium stable across all three (Dec: +0.41, Jan: +0.43, Feb: +0.44). Results are not a seasonal artifact.</w:t>
      </w:r>
    </w:p>
    <w:p>
      <w:pPr>
        <w:spacing w:line="312" w:before="100" w:after="60"/>
        <w:ind w:left="360"/>
        <w:jc w:val="both"/>
      </w:pPr>
      <w:r>
        <w:rPr>
          <w:rFonts w:ascii="Times New Roman" w:cs="Times New Roman" w:eastAsia="Times New Roman" w:hAnsi="Times New Roman"/>
          <w:b/>
          <w:bCs/>
          <w:color w:val="2E5090"/>
          <w:sz w:val="26"/>
          <w:szCs w:val="26"/>
        </w:rPr>
        <w:t xml:space="preserve">4.5.6  </w:t>
      </w:r>
      <w:r>
        <w:rPr>
          <w:rFonts w:ascii="Times New Roman" w:cs="Times New Roman" w:eastAsia="Times New Roman" w:hAnsi="Times New Roman"/>
          <w:sz w:val="26"/>
          <w:szCs w:val="26"/>
        </w:rPr>
        <w:t xml:space="preserve">Price-tier endogeneity note: is_premium defined by price rank, creating partial mechanical relationship with log-price DV. Mitigated: (1) captures ordinal rank, not level; (2) log per-unit DV differs from raw price used for median; (3) robust across subcategories with different thresholds. IV approach noted as future improvement.</w:t>
      </w:r>
    </w:p>
    <w:p>
      <w:pPr>
        <w:spacing w:line="312" w:before="60" w:after="60"/>
        <w:ind w:left="360"/>
        <w:jc w:val="left"/>
      </w:pPr>
      <w:r>
        <w:rPr>
          <w:rFonts w:ascii="Times New Roman" w:cs="Times New Roman" w:eastAsia="Times New Roman" w:hAnsi="Times New Roman"/>
          <w:i/>
          <w:iCs/>
          <w:color w:val="B85C00"/>
          <w:sz w:val="22"/>
          <w:szCs w:val="22"/>
        </w:rPr>
        <w:t xml:space="preserve">→ Diagnostics complete. §4.6 interprets the findings in light of theory.</w:t>
      </w:r>
    </w:p>
    <w:p>
      <w:pPr>
        <w:pStyle w:val="Heading2"/>
        <w:spacing w:line="312" w:before="240" w:after="120"/>
        <w:jc w:val="left"/>
      </w:pPr>
      <w:r>
        <w:rPr>
          <w:rFonts w:ascii="Times New Roman" w:cs="Times New Roman" w:eastAsia="Times New Roman" w:hAnsi="Times New Roman"/>
          <w:b/>
          <w:bCs/>
          <w:sz w:val="26"/>
          <w:szCs w:val="26"/>
        </w:rPr>
        <w:t xml:space="preserve">4.6 Discussion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Interpret results, not just restate them. Connect coefficients to economic logic and literature. Tết context at the end.</w:t>
      </w:r>
    </w:p>
    <w:p>
      <w:pPr>
        <w:spacing w:line="312" w:before="100" w:after="60"/>
        <w:ind w:left="360"/>
        <w:jc w:val="both"/>
      </w:pPr>
      <w:r>
        <w:rPr>
          <w:rFonts w:ascii="Times New Roman" w:cs="Times New Roman" w:eastAsia="Times New Roman" w:hAnsi="Times New Roman"/>
          <w:b/>
          <w:bCs/>
          <w:color w:val="2E5090"/>
          <w:sz w:val="26"/>
          <w:szCs w:val="26"/>
        </w:rPr>
        <w:t xml:space="preserve">4.6.1  </w:t>
      </w:r>
      <w:r>
        <w:rPr>
          <w:rFonts w:ascii="Times New Roman" w:cs="Times New Roman" w:eastAsia="Times New Roman" w:hAnsi="Times New Roman"/>
          <w:sz w:val="26"/>
          <w:szCs w:val="26"/>
        </w:rPr>
        <w:t xml:space="preserve">Why price-tier premiums survive: premium positioning reflects genuine product differentiation that the retailer preserves. Discounting premium products would erode their positioning signal, undermining the versioning logic (Varian 1997). The −1.7% erosion is not incidental — it reflects deliberate pricing discipline on the premium tier.</w:t>
      </w:r>
    </w:p>
    <w:p>
      <w:pPr>
        <w:spacing w:line="312" w:before="100" w:after="60"/>
        <w:ind w:left="360"/>
        <w:jc w:val="both"/>
      </w:pPr>
      <w:r>
        <w:rPr>
          <w:rFonts w:ascii="Times New Roman" w:cs="Times New Roman" w:eastAsia="Times New Roman" w:hAnsi="Times New Roman"/>
          <w:b/>
          <w:bCs/>
          <w:color w:val="2E5090"/>
          <w:sz w:val="26"/>
          <w:szCs w:val="26"/>
        </w:rPr>
        <w:t xml:space="preserve">4.6.2  </w:t>
      </w:r>
      <w:r>
        <w:rPr>
          <w:rFonts w:ascii="Times New Roman" w:cs="Times New Roman" w:eastAsia="Times New Roman" w:hAnsi="Times New Roman"/>
          <w:sz w:val="26"/>
          <w:szCs w:val="26"/>
        </w:rPr>
        <w:t xml:space="preserve">Why brand-name premiums erode: brand recognition without premium positioning = Household Giant quadrant. These are the products retailers use as promotional traffic drivers — familiar brands attract attention when discounted. Aligns with Keller (1993): brand awareness makes high-recognition brands effective promotional anchors.</w:t>
      </w:r>
    </w:p>
    <w:p>
      <w:pPr>
        <w:spacing w:line="312" w:before="100" w:after="60"/>
        <w:ind w:left="360"/>
        <w:jc w:val="both"/>
      </w:pPr>
      <w:r>
        <w:rPr>
          <w:rFonts w:ascii="Times New Roman" w:cs="Times New Roman" w:eastAsia="Times New Roman" w:hAnsi="Times New Roman"/>
          <w:b/>
          <w:bCs/>
          <w:color w:val="2E5090"/>
          <w:sz w:val="26"/>
          <w:szCs w:val="26"/>
        </w:rPr>
        <w:t xml:space="preserve">4.6.3  </w:t>
      </w:r>
      <w:r>
        <w:rPr>
          <w:rFonts w:ascii="Times New Roman" w:cs="Times New Roman" w:eastAsia="Times New Roman" w:hAnsi="Times New Roman"/>
          <w:sz w:val="26"/>
          <w:szCs w:val="26"/>
        </w:rPr>
        <w:t xml:space="preserve">WinEco effect: 476% erosion reveals sophisticated private-label strategy. Sticker-price near-parity avoids “cheap brand” shelf stigma. Deep checkout discounts (visible only at purchase) create hidden competitive advantage. Zero-acquisition-cost position enables deepest discounts in the mix.</w:t>
      </w:r>
    </w:p>
    <w:p>
      <w:pPr>
        <w:spacing w:line="312" w:before="100" w:after="60"/>
        <w:ind w:left="360"/>
        <w:jc w:val="both"/>
      </w:pPr>
      <w:r>
        <w:rPr>
          <w:rFonts w:ascii="Times New Roman" w:cs="Times New Roman" w:eastAsia="Times New Roman" w:hAnsi="Times New Roman"/>
          <w:b/>
          <w:bCs/>
          <w:color w:val="2E5090"/>
          <w:sz w:val="26"/>
          <w:szCs w:val="26"/>
        </w:rPr>
        <w:t xml:space="preserve">4.6.4  </w:t>
      </w:r>
      <w:r>
        <w:rPr>
          <w:rFonts w:ascii="Times New Roman" w:cs="Times New Roman" w:eastAsia="Times New Roman" w:hAnsi="Times New Roman"/>
          <w:sz w:val="26"/>
          <w:szCs w:val="26"/>
        </w:rPr>
        <w:t xml:space="preserve">Import premium in fresh produce: +100.4% in Rau-Củ-Trái Cây reflects Vietnamese WTP for imported fruit quality/safety assurances, consistent with Mergenthaler et al. (2009) 60% WTP premium for food safety. Category-specific health claims (Gia Vị, Rau) align with Bell et al. (2021): food values vary by category in Hanoi. Negative import premium in processed food (−60.8%) — imports lack local brand equity there.</w:t>
      </w:r>
    </w:p>
    <w:p>
      <w:pPr>
        <w:spacing w:line="312" w:before="100" w:after="60"/>
        <w:ind w:left="360"/>
        <w:jc w:val="both"/>
      </w:pPr>
      <w:r>
        <w:rPr>
          <w:rFonts w:ascii="Times New Roman" w:cs="Times New Roman" w:eastAsia="Times New Roman" w:hAnsi="Times New Roman"/>
          <w:b/>
          <w:bCs/>
          <w:color w:val="2E5090"/>
          <w:sz w:val="26"/>
          <w:szCs w:val="26"/>
        </w:rPr>
        <w:t xml:space="preserve">4.6.5  </w:t>
      </w:r>
      <w:r>
        <w:rPr>
          <w:rFonts w:ascii="Times New Roman" w:cs="Times New Roman" w:eastAsia="Times New Roman" w:hAnsi="Times New Roman"/>
          <w:sz w:val="26"/>
          <w:szCs w:val="26"/>
        </w:rPr>
        <w:t xml:space="preserve">Tết context (1–2 paragraphs): 88-day window spans Tết Nguyên Đán 2026 (Feb 17). No formal event study (data gaps in Confectionary + Instant_food). Temporal stability in 3-month snapshot robustness check suggests cross-sectional estimates are not artifacts of a single seasonal regime. The data window — spanning pre-Tết, holiday, and post-Tết — may produce more representative averages than a non-holiday window.</w:t>
      </w:r>
    </w:p>
    <w:p>
      <w:pPr>
        <w:spacing w:line="312" w:before="60" w:after="60"/>
        <w:ind w:left="360"/>
        <w:jc w:val="left"/>
      </w:pPr>
      <w:r>
        <w:rPr>
          <w:rFonts w:ascii="Times New Roman" w:cs="Times New Roman" w:eastAsia="Times New Roman" w:hAnsi="Times New Roman"/>
          <w:i/>
          <w:iCs/>
          <w:color w:val="B85C00"/>
          <w:sz w:val="22"/>
          <w:szCs w:val="22"/>
        </w:rPr>
        <w:t xml:space="preserve">→ Discussion complete. §4.7 acknowledges what this study cannot claim.</w:t>
      </w:r>
    </w:p>
    <w:p>
      <w:pPr>
        <w:pStyle w:val="Heading2"/>
        <w:spacing w:line="312" w:before="240" w:after="120"/>
        <w:jc w:val="left"/>
      </w:pPr>
      <w:r>
        <w:rPr>
          <w:rFonts w:ascii="Times New Roman" w:cs="Times New Roman" w:eastAsia="Times New Roman" w:hAnsi="Times New Roman"/>
          <w:b/>
          <w:bCs/>
          <w:sz w:val="26"/>
          <w:szCs w:val="26"/>
        </w:rPr>
        <w:t xml:space="preserve">4.7 Limitations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Frank and specific. Each limitation = issue + impact + mitigation or future direction.</w:t>
      </w:r>
    </w:p>
    <w:p>
      <w:pPr>
        <w:spacing w:line="312" w:before="100" w:after="60"/>
        <w:ind w:left="360"/>
        <w:jc w:val="both"/>
      </w:pPr>
      <w:r>
        <w:rPr>
          <w:rFonts w:ascii="Times New Roman" w:cs="Times New Roman" w:eastAsia="Times New Roman" w:hAnsi="Times New Roman"/>
          <w:b/>
          <w:bCs/>
          <w:color w:val="2E5090"/>
          <w:sz w:val="26"/>
          <w:szCs w:val="26"/>
        </w:rPr>
        <w:t xml:space="preserve">4.7.1  </w:t>
      </w:r>
      <w:r>
        <w:rPr>
          <w:rFonts w:ascii="Times New Roman" w:cs="Times New Roman" w:eastAsia="Times New Roman" w:hAnsi="Times New Roman"/>
          <w:sz w:val="26"/>
          <w:szCs w:val="26"/>
        </w:rPr>
        <w:t xml:space="preserve">Single-retailer: findings specific to Winmart’s online channel. Cannot generalize to Vietnamese food retail. Mid-market positioning; premium retailers and traditional wet markets would differ. Product assortment over-represents branded/packaged goods. Future: extend to multiple retail formats.</w:t>
      </w:r>
    </w:p>
    <w:p>
      <w:pPr>
        <w:spacing w:line="312" w:before="100" w:after="60"/>
        <w:ind w:left="360"/>
        <w:jc w:val="both"/>
      </w:pPr>
      <w:r>
        <w:rPr>
          <w:rFonts w:ascii="Times New Roman" w:cs="Times New Roman" w:eastAsia="Times New Roman" w:hAnsi="Times New Roman"/>
          <w:b/>
          <w:bCs/>
          <w:color w:val="2E5090"/>
          <w:sz w:val="26"/>
          <w:szCs w:val="26"/>
        </w:rPr>
        <w:t xml:space="preserve">4.7.2  </w:t>
      </w:r>
      <w:r>
        <w:rPr>
          <w:rFonts w:ascii="Times New Roman" w:cs="Times New Roman" w:eastAsia="Times New Roman" w:hAnsi="Times New Roman"/>
          <w:sz w:val="26"/>
          <w:szCs w:val="26"/>
        </w:rPr>
        <w:t xml:space="preserve">NLP proxy quality: brand identification and feature extraction from product names are imperfect. Some brand names may be missed (non-standard spellings). The 310+ keyword list is not exhaustive. Validation against manually coded subsample would strengthen confidence.</w:t>
      </w:r>
    </w:p>
    <w:p>
      <w:pPr>
        <w:spacing w:line="312" w:before="100" w:after="60"/>
        <w:ind w:left="360"/>
        <w:jc w:val="both"/>
      </w:pPr>
      <w:r>
        <w:rPr>
          <w:rFonts w:ascii="Times New Roman" w:cs="Times New Roman" w:eastAsia="Times New Roman" w:hAnsi="Times New Roman"/>
          <w:b/>
          <w:bCs/>
          <w:color w:val="2E5090"/>
          <w:sz w:val="26"/>
          <w:szCs w:val="26"/>
        </w:rPr>
        <w:t xml:space="preserve">4.7.3  </w:t>
      </w:r>
      <w:r>
        <w:rPr>
          <w:rFonts w:ascii="Times New Roman" w:cs="Times New Roman" w:eastAsia="Times New Roman" w:hAnsi="Times New Roman"/>
          <w:sz w:val="26"/>
          <w:szCs w:val="26"/>
        </w:rPr>
        <w:t xml:space="preserve">Dynamic catalog and survivorship: products discontinued mid-window may be filtered out, potentially excluding products that Winmart withdraws from promotion. days_observed partially controls but cannot fully address selection bias.</w:t>
      </w:r>
    </w:p>
    <w:p>
      <w:pPr>
        <w:spacing w:line="312" w:before="100" w:after="60"/>
        <w:ind w:left="360"/>
        <w:jc w:val="both"/>
      </w:pPr>
      <w:r>
        <w:rPr>
          <w:rFonts w:ascii="Times New Roman" w:cs="Times New Roman" w:eastAsia="Times New Roman" w:hAnsi="Times New Roman"/>
          <w:b/>
          <w:bCs/>
          <w:color w:val="2E5090"/>
          <w:sz w:val="26"/>
          <w:szCs w:val="26"/>
        </w:rPr>
        <w:t xml:space="preserve">4.7.4  </w:t>
      </w:r>
      <w:r>
        <w:rPr>
          <w:rFonts w:ascii="Times New Roman" w:cs="Times New Roman" w:eastAsia="Times New Roman" w:hAnsi="Times New Roman"/>
          <w:sz w:val="26"/>
          <w:szCs w:val="26"/>
        </w:rPr>
        <w:t xml:space="preserve">No transaction volumes: cannot determine if discounts shift purchasing, estimate price elasticities, or assess whether WinEco discounts convert consumers. Gap between pricing strategy and market outcome is beyond the data.</w:t>
      </w:r>
    </w:p>
    <w:p>
      <w:pPr>
        <w:spacing w:line="312" w:before="100" w:after="60"/>
        <w:ind w:left="360"/>
        <w:jc w:val="both"/>
      </w:pPr>
      <w:r>
        <w:rPr>
          <w:rFonts w:ascii="Times New Roman" w:cs="Times New Roman" w:eastAsia="Times New Roman" w:hAnsi="Times New Roman"/>
          <w:b/>
          <w:bCs/>
          <w:color w:val="2E5090"/>
          <w:sz w:val="26"/>
          <w:szCs w:val="26"/>
        </w:rPr>
        <w:t xml:space="preserve">4.7.5  </w:t>
      </w:r>
      <w:r>
        <w:rPr>
          <w:rFonts w:ascii="Times New Roman" w:cs="Times New Roman" w:eastAsia="Times New Roman" w:hAnsi="Times New Roman"/>
          <w:sz w:val="26"/>
          <w:szCs w:val="26"/>
        </w:rPr>
        <w:t xml:space="preserve">Observational design: dual-price comparison is descriptive. Does not causally identify the retailer’s promotional decision mechanism. Endogeneity of is_premium (partly defined by price) mitigated but not eliminated. IV approach with external quality rating is the preferred future identification strategy.</w:t>
      </w:r>
    </w:p>
    <w:sectPr>
      <w:headerReference w:type="default" r:id="rId6"/>
      <w:footerReference w:type="default" r:id="rId7"/>
      <w:pgSz w:w="11906" w:h="16838" w:orient="portrait"/>
      <w:pgMar w:top="1417" w:right="1417" w:bottom="1417"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20"/>
        <w:szCs w:val="20"/>
      </w:rPr>
      <w:t xml:space="preserve">Thesis Outline — Working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2026-03-31T08:19:04.914Z</dcterms:created>
  <dcterms:modified xsi:type="dcterms:W3CDTF">2026-03-31T08:19:04.915Z</dcterms:modified>
</cp:coreProperties>
</file>

<file path=docProps/custom.xml><?xml version="1.0" encoding="utf-8"?>
<Properties xmlns="http://schemas.openxmlformats.org/officeDocument/2006/custom-properties" xmlns:vt="http://schemas.openxmlformats.org/officeDocument/2006/docPropsVTypes"/>
</file>