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77777777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영향.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비아그라등의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유효성은 비아그라와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2D1699A2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06C1C0AA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55E93EC0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24287DE6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D8C2A9C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비아그라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61718490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F1BDE" w:rsidRPr="003F1BDE">
        <w:rPr>
          <w:rStyle w:val="c1"/>
          <w:rFonts w:ascii="맑은 고딕" w:eastAsia="맑은 고딕" w:hAnsi="맑은 고딕" w:cs="맑은 고딕"/>
          <w:b/>
          <w:lang w:eastAsia="ko-KR"/>
        </w:rPr>
        <w:t>generic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65AA16F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214E9DC6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0ABB4BE6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다양한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783B0995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비아그라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7E1F68A5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97636B">
        <w:rPr>
          <w:rFonts w:ascii="맑은 고딕" w:eastAsia="맑은 고딕" w:hAnsi="맑은 고딕" w:cs="맑은 고딕" w:hint="eastAsia"/>
          <w:lang w:eastAsia="ko-KR"/>
        </w:rPr>
        <w:t>나 레비트라 또는 그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제네릭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0A8D307A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EA04BF" w:rsidRPr="00EA04BF">
        <w:rPr>
          <w:rFonts w:ascii="맑은 고딕" w:eastAsia="맑은 고딕" w:hAnsi="맑은 고딕" w:cs="맑은 고딕"/>
          <w:b/>
          <w:lang w:eastAsia="ko-KR"/>
        </w:rPr>
        <w:t>역중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6D3764F4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2EEA31C0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가의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32DE89D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3D662AB1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3BCF253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2FCE67B2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비아그라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77777777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비아그라의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021BB329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2F5132" w:rsidRPr="002F5132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000217C8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2F5132" w:rsidRPr="002F5132">
        <w:rPr>
          <w:rFonts w:ascii="맑은 고딕" w:eastAsia="맑은 고딕" w:hAnsi="맑은 고딕" w:cs="맑은 고딕"/>
          <w:b/>
          <w:lang w:eastAsia="ko-KR"/>
        </w:rPr>
        <w:t>그러므로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159786C3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44171A18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비아그라를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57BA5FB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409F18CE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3F1BDE" w:rsidRPr="003F1BDE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481D4074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lang w:eastAsia="ko-KR"/>
        </w:rPr>
        <w:t>시아리스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357F26FF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29B48129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2F5132" w:rsidRPr="002F5132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당연하게도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52496851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0907DBAE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3153920F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078801A9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34FF7803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58ADAF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64DD7E81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F530AD" w:rsidRPr="00F530AD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109B4C2C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61E6A5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4CDBA940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534489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0B825D5A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다양한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6AB86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6BD74FBF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1D5680" w:rsidRPr="001D5680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776DB9EA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2534ED87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3F1BDE" w:rsidRPr="003F1BD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824E8"/>
    <w:rsid w:val="00192A5A"/>
    <w:rsid w:val="0019560F"/>
    <w:rsid w:val="001B73C4"/>
    <w:rsid w:val="001C39E4"/>
    <w:rsid w:val="001D5680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2F5132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3F1BDE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A04BF"/>
    <w:rsid w:val="00EE0FEB"/>
    <w:rsid w:val="00EF2C7D"/>
    <w:rsid w:val="00F0791F"/>
    <w:rsid w:val="00F530AD"/>
    <w:rsid w:val="00F5593B"/>
    <w:rsid w:val="00F55B41"/>
    <w:rsid w:val="00F73BC2"/>
    <w:rsid w:val="00F762E3"/>
    <w:rsid w:val="00F77275"/>
    <w:rsid w:val="00F81946"/>
    <w:rsid w:val="00F86D26"/>
    <w:rsid w:val="00F976D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4250</Words>
  <Characters>24229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7</cp:revision>
  <cp:lastPrinted>2020-08-15T14:45:00Z</cp:lastPrinted>
  <dcterms:created xsi:type="dcterms:W3CDTF">2020-11-06T14:00:00Z</dcterms:created>
  <dcterms:modified xsi:type="dcterms:W3CDTF">2020-11-10T07:06:00Z</dcterms:modified>
</cp:coreProperties>
</file>