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C10" w:rsidRDefault="00053C10" w:rsidP="00053C10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053C10" w:rsidRDefault="00053C10" w:rsidP="00053C10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u w:val="single"/>
          <w:lang w:eastAsia="ko-KR"/>
        </w:rPr>
        <w:t>대형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제약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회사가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제조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판매하고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있는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의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제네릭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약품입니다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>.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u w:val="single"/>
          <w:lang w:eastAsia="ko-KR"/>
        </w:rPr>
        <w:t>아잔타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파마사</w:t>
      </w:r>
      <w:r>
        <w:rPr>
          <w:u w:val="single"/>
          <w:lang w:eastAsia="ko-KR"/>
        </w:rPr>
        <w:t>(Ajanta Pharma Limited</w:t>
      </w:r>
      <w:r>
        <w:rPr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 있는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의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인도제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generic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의약품입니다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ab/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 수출용</w:t>
      </w:r>
      <w:r>
        <w:rPr>
          <w:u w:val="single"/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카마그라</w:t>
      </w:r>
      <w:r>
        <w:rPr>
          <w:u w:val="single"/>
          <w:lang w:eastAsia="ko-KR"/>
        </w:rPr>
        <w:t>' 2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종류가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있으며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유효성분은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모두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와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동일한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실데나필입니다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053C10" w:rsidRDefault="00053C10" w:rsidP="00053C1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u w:val="single"/>
          <w:lang w:eastAsia="ko-KR"/>
        </w:rPr>
        <w:t>맞이하기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전부터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인도에서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제조되고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있는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약이기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때문에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일본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역중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에서는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복제판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자리매김했습니다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>.</w:t>
      </w:r>
    </w:p>
    <w:p w:rsidR="00053C10" w:rsidRPr="00053C10" w:rsidRDefault="00053C10" w:rsidP="00053C10">
      <w:pPr>
        <w:rPr>
          <w:lang w:eastAsia="ko-KR"/>
        </w:rPr>
      </w:pPr>
    </w:p>
    <w:sectPr w:rsidR="00053C10" w:rsidRPr="00053C1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0"/>
    <w:rsid w:val="0005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4E020-C4BE-4625-B52B-4740F55F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2020-11-02T00:24:00Z</dcterms:created>
  <dcterms:modified xsi:type="dcterms:W3CDTF">2020-11-02T00:24:00Z</dcterms:modified>
</cp:coreProperties>
</file>