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E8" w:rsidRDefault="003761E8" w:rsidP="003761E8">
      <w:bookmarkStart w:id="0" w:name="_GoBack"/>
      <w:bookmarkEnd w:id="0"/>
      <w:r>
        <w:t>hama1_ja_Deleted.docx</w:t>
      </w:r>
    </w:p>
    <w:p w:rsidR="003761E8" w:rsidRDefault="003761E8" w:rsidP="003761E8"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</w:p>
    <w:p w:rsidR="003761E8" w:rsidRDefault="003761E8" w:rsidP="003761E8"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</w:p>
    <w:p w:rsidR="003761E8" w:rsidRDefault="003761E8" w:rsidP="003761E8"/>
    <w:p w:rsidR="003761E8" w:rsidRDefault="003761E8" w:rsidP="003761E8">
      <w:r>
        <w:rPr>
          <w:rFonts w:ascii="Malgun Gothic" w:eastAsia="Malgun Gothic" w:hAnsi="Malgun Gothic" w:cs="Malgun Gothic" w:hint="eastAsia"/>
        </w:rPr>
        <w:t>다종다양의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3761E8" w:rsidRDefault="003761E8" w:rsidP="003761E8"/>
    <w:p w:rsidR="003761E8" w:rsidRDefault="003761E8" w:rsidP="003761E8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3761E8" w:rsidRDefault="003761E8" w:rsidP="003761E8"/>
    <w:p w:rsidR="003761E8" w:rsidRDefault="003761E8" w:rsidP="003761E8">
      <w:r>
        <w:rPr>
          <w:rFonts w:ascii="Malgun Gothic" w:eastAsia="Malgun Gothic" w:hAnsi="Malgun Gothic" w:cs="Malgun Gothic" w:hint="eastAsia"/>
        </w:rPr>
        <w:t>다음으로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3761E8" w:rsidRDefault="003761E8" w:rsidP="003761E8"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</w:t>
      </w:r>
    </w:p>
    <w:p w:rsidR="003761E8" w:rsidRDefault="003761E8" w:rsidP="003761E8"/>
    <w:p w:rsidR="003761E8" w:rsidRDefault="003761E8" w:rsidP="003761E8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제네릭의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3761E8" w:rsidRDefault="003761E8" w:rsidP="003761E8"/>
    <w:p w:rsidR="00FC1298" w:rsidRPr="003761E8" w:rsidRDefault="00FC1298" w:rsidP="003761E8"/>
    <w:sectPr w:rsidR="00FC1298" w:rsidRPr="00376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E8"/>
    <w:rsid w:val="003761E8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00489-785B-4E9A-B3E1-E55E10E5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2020-11-06T01:32:00Z</dcterms:created>
  <dcterms:modified xsi:type="dcterms:W3CDTF">2020-11-06T01:32:00Z</dcterms:modified>
</cp:coreProperties>
</file>