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998F" w14:textId="77777777" w:rsidR="00BE512A" w:rsidRPr="007E16BD" w:rsidRDefault="00BE512A">
      <w:pPr>
        <w:shd w:val="clear" w:color="auto" w:fill="FFFFFF"/>
        <w:spacing w:before="160"/>
        <w:ind w:right="240"/>
        <w:rPr>
          <w:rFonts w:asciiTheme="majorHAnsi" w:eastAsia="Montserrat" w:hAnsiTheme="majorHAnsi" w:cstheme="majorHAnsi"/>
          <w:sz w:val="28"/>
          <w:szCs w:val="28"/>
        </w:rPr>
      </w:pPr>
    </w:p>
    <w:p w14:paraId="603ADD63" w14:textId="78BD6D64" w:rsidR="00BE512A" w:rsidRPr="007E16BD" w:rsidRDefault="007E16BD">
      <w:pPr>
        <w:shd w:val="clear" w:color="auto" w:fill="FFFFFF"/>
        <w:spacing w:before="160"/>
        <w:ind w:left="283" w:right="240"/>
        <w:jc w:val="center"/>
        <w:rPr>
          <w:rFonts w:asciiTheme="majorHAnsi" w:eastAsia="Montserrat" w:hAnsiTheme="majorHAnsi" w:cstheme="majorHAnsi"/>
          <w:b/>
          <w:sz w:val="28"/>
          <w:szCs w:val="28"/>
        </w:rPr>
      </w:pPr>
      <w:r w:rsidRPr="007E16BD">
        <w:rPr>
          <w:rFonts w:asciiTheme="majorHAnsi" w:eastAsia="Montserrat" w:hAnsiTheme="majorHAnsi" w:cstheme="majorHAnsi"/>
          <w:b/>
          <w:color w:val="1468E8"/>
          <w:sz w:val="28"/>
          <w:szCs w:val="28"/>
        </w:rPr>
        <w:t>BLUE PRINT</w:t>
      </w:r>
    </w:p>
    <w:p w14:paraId="4D4C0205" w14:textId="77777777" w:rsidR="00BE512A" w:rsidRPr="007E16BD" w:rsidRDefault="00000000">
      <w:pPr>
        <w:shd w:val="clear" w:color="auto" w:fill="FFFFFF"/>
        <w:spacing w:before="160"/>
        <w:ind w:right="240"/>
        <w:rPr>
          <w:rFonts w:asciiTheme="majorHAnsi" w:eastAsia="Montserrat" w:hAnsiTheme="majorHAnsi" w:cstheme="majorHAnsi"/>
          <w:sz w:val="28"/>
          <w:szCs w:val="28"/>
        </w:rPr>
      </w:pPr>
      <w:r w:rsidRPr="007E16BD">
        <w:rPr>
          <w:rFonts w:asciiTheme="majorHAnsi" w:eastAsia="Montserrat" w:hAnsiTheme="majorHAnsi" w:cstheme="majorHAnsi"/>
          <w:sz w:val="28"/>
          <w:szCs w:val="28"/>
        </w:rPr>
        <w:t>Le tableau ci-dessous reprend les détails essentiels nécessaires pour le tableau de bord.</w:t>
      </w:r>
    </w:p>
    <w:p w14:paraId="77F65899" w14:textId="77777777" w:rsidR="00BE512A" w:rsidRPr="007E16BD" w:rsidRDefault="00000000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Theme="majorHAnsi" w:eastAsia="Montserrat" w:hAnsiTheme="majorHAnsi" w:cstheme="majorHAnsi"/>
          <w:sz w:val="28"/>
          <w:szCs w:val="28"/>
        </w:rPr>
      </w:pPr>
      <w:r w:rsidRPr="007E16BD">
        <w:rPr>
          <w:rFonts w:asciiTheme="majorHAnsi" w:eastAsia="Montserrat" w:hAnsiTheme="majorHAnsi" w:cstheme="majorHAnsi"/>
          <w:b/>
          <w:sz w:val="28"/>
          <w:szCs w:val="28"/>
        </w:rPr>
        <w:t xml:space="preserve">Besoin utilisateurs : </w:t>
      </w:r>
      <w:r w:rsidRPr="007E16BD">
        <w:rPr>
          <w:rFonts w:asciiTheme="majorHAnsi" w:eastAsia="Montserrat" w:hAnsiTheme="majorHAnsi" w:cstheme="majorHAnsi"/>
          <w:sz w:val="28"/>
          <w:szCs w:val="28"/>
        </w:rPr>
        <w:t xml:space="preserve">Décrit brièvement les interactions des utilisateurs avec les données pour cette exigence (par exemple, les filtres nécessaires, si une visualisation est fixe ou </w:t>
      </w:r>
      <w:proofErr w:type="spellStart"/>
      <w:r w:rsidRPr="007E16BD">
        <w:rPr>
          <w:rFonts w:asciiTheme="majorHAnsi" w:eastAsia="Montserrat" w:hAnsiTheme="majorHAnsi" w:cstheme="majorHAnsi"/>
          <w:sz w:val="28"/>
          <w:szCs w:val="28"/>
        </w:rPr>
        <w:t>intéractive</w:t>
      </w:r>
      <w:proofErr w:type="spellEnd"/>
      <w:r w:rsidRPr="007E16BD">
        <w:rPr>
          <w:rFonts w:asciiTheme="majorHAnsi" w:eastAsia="Montserrat" w:hAnsiTheme="majorHAnsi" w:cstheme="majorHAnsi"/>
          <w:sz w:val="28"/>
          <w:szCs w:val="28"/>
        </w:rPr>
        <w:t>…).</w:t>
      </w:r>
    </w:p>
    <w:p w14:paraId="40B1DD2B" w14:textId="77777777" w:rsidR="00BE512A" w:rsidRPr="007E16BD" w:rsidRDefault="00000000">
      <w:pPr>
        <w:numPr>
          <w:ilvl w:val="0"/>
          <w:numId w:val="1"/>
        </w:numPr>
        <w:shd w:val="clear" w:color="auto" w:fill="FFFFFF"/>
        <w:ind w:right="240"/>
        <w:rPr>
          <w:rFonts w:asciiTheme="majorHAnsi" w:eastAsia="Montserrat" w:hAnsiTheme="majorHAnsi" w:cstheme="majorHAnsi"/>
          <w:sz w:val="28"/>
          <w:szCs w:val="28"/>
        </w:rPr>
      </w:pPr>
      <w:r w:rsidRPr="007E16BD">
        <w:rPr>
          <w:rFonts w:asciiTheme="majorHAnsi" w:eastAsia="Montserrat" w:hAnsiTheme="majorHAnsi" w:cstheme="majorHAnsi"/>
          <w:b/>
          <w:sz w:val="28"/>
          <w:szCs w:val="28"/>
        </w:rPr>
        <w:t>Mesures spécifiques à utiliser :</w:t>
      </w:r>
      <w:r w:rsidRPr="007E16BD">
        <w:rPr>
          <w:rFonts w:asciiTheme="majorHAnsi" w:eastAsia="Montserrat" w:hAnsiTheme="majorHAnsi" w:cstheme="majorHAnsi"/>
          <w:sz w:val="28"/>
          <w:szCs w:val="28"/>
        </w:rPr>
        <w:t xml:space="preserve"> Il s'agit de la liste des paramètres et de tous les paramètres calculés qui seront utilisés pour cette exigence (par exemple, le coût réel). </w:t>
      </w:r>
    </w:p>
    <w:p w14:paraId="027E9091" w14:textId="77777777" w:rsidR="00BE512A" w:rsidRPr="007E16BD" w:rsidRDefault="00000000">
      <w:pPr>
        <w:numPr>
          <w:ilvl w:val="0"/>
          <w:numId w:val="1"/>
        </w:numPr>
        <w:shd w:val="clear" w:color="auto" w:fill="FFFFFF"/>
        <w:ind w:right="240"/>
        <w:rPr>
          <w:rFonts w:asciiTheme="majorHAnsi" w:eastAsia="Montserrat" w:hAnsiTheme="majorHAnsi" w:cstheme="majorHAnsi"/>
          <w:sz w:val="28"/>
          <w:szCs w:val="28"/>
        </w:rPr>
      </w:pPr>
      <w:r w:rsidRPr="007E16BD">
        <w:rPr>
          <w:rFonts w:asciiTheme="majorHAnsi" w:eastAsia="Montserrat" w:hAnsiTheme="majorHAnsi" w:cstheme="majorHAnsi"/>
          <w:b/>
          <w:sz w:val="28"/>
          <w:szCs w:val="28"/>
        </w:rPr>
        <w:t xml:space="preserve">Visualisations : </w:t>
      </w:r>
      <w:r w:rsidRPr="007E16BD">
        <w:rPr>
          <w:rFonts w:asciiTheme="majorHAnsi" w:eastAsia="Montserrat" w:hAnsiTheme="majorHAnsi" w:cstheme="majorHAnsi"/>
          <w:sz w:val="28"/>
          <w:szCs w:val="28"/>
        </w:rPr>
        <w:t>Le type de visualisation qui pourrait être utilisé pour cette exigence (par exemple, un diagramme à barres)</w:t>
      </w:r>
    </w:p>
    <w:p w14:paraId="4C7CCB43" w14:textId="39621EEC" w:rsidR="00573752" w:rsidRPr="007E16BD" w:rsidRDefault="00573752">
      <w:pPr>
        <w:rPr>
          <w:rFonts w:asciiTheme="majorHAnsi" w:eastAsia="Montserrat" w:hAnsiTheme="majorHAnsi" w:cstheme="majorHAnsi"/>
          <w:b/>
          <w:sz w:val="28"/>
          <w:szCs w:val="28"/>
        </w:rPr>
      </w:pPr>
      <w:r w:rsidRPr="007E16BD">
        <w:rPr>
          <w:rFonts w:asciiTheme="majorHAnsi" w:eastAsia="Montserrat" w:hAnsiTheme="majorHAnsi" w:cstheme="majorHAnsi"/>
          <w:b/>
          <w:sz w:val="28"/>
          <w:szCs w:val="28"/>
        </w:rPr>
        <w:br w:type="page"/>
      </w:r>
    </w:p>
    <w:p w14:paraId="04490620" w14:textId="77777777" w:rsidR="00BE512A" w:rsidRPr="007E16BD" w:rsidRDefault="00BE512A">
      <w:pPr>
        <w:shd w:val="clear" w:color="auto" w:fill="FFFFFF"/>
        <w:spacing w:before="160"/>
        <w:ind w:left="283" w:right="240"/>
        <w:rPr>
          <w:rFonts w:asciiTheme="majorHAnsi" w:eastAsia="Montserrat" w:hAnsiTheme="majorHAnsi" w:cstheme="majorHAnsi"/>
          <w:b/>
          <w:sz w:val="28"/>
          <w:szCs w:val="28"/>
        </w:rPr>
      </w:pPr>
    </w:p>
    <w:tbl>
      <w:tblPr>
        <w:tblStyle w:val="a"/>
        <w:tblW w:w="15042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6095"/>
        <w:gridCol w:w="3402"/>
        <w:gridCol w:w="2410"/>
      </w:tblGrid>
      <w:tr w:rsidR="00BE512A" w:rsidRPr="007E16BD" w14:paraId="606A9C5F" w14:textId="77777777" w:rsidTr="0090078B">
        <w:tc>
          <w:tcPr>
            <w:tcW w:w="3135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B935" w14:textId="743FC6CF" w:rsidR="00BE512A" w:rsidRPr="007E16BD" w:rsidRDefault="00EF5A5B" w:rsidP="00EF5A5B">
            <w:pPr>
              <w:widowControl w:val="0"/>
              <w:spacing w:line="20" w:lineRule="atLeast"/>
              <w:jc w:val="center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Besoin utilisateurs</w:t>
            </w:r>
          </w:p>
        </w:tc>
        <w:tc>
          <w:tcPr>
            <w:tcW w:w="609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1E5E" w14:textId="160D5FB4" w:rsidR="00BE512A" w:rsidRPr="007E16BD" w:rsidRDefault="00EF5A5B" w:rsidP="00EF5A5B">
            <w:pPr>
              <w:widowControl w:val="0"/>
              <w:spacing w:line="20" w:lineRule="atLeast"/>
              <w:jc w:val="center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Mesures spécifiques à utiliser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B625" w14:textId="70E6D999" w:rsidR="00BE512A" w:rsidRPr="007E16BD" w:rsidRDefault="00EF5A5B" w:rsidP="00EF5A5B">
            <w:pPr>
              <w:widowControl w:val="0"/>
              <w:spacing w:line="20" w:lineRule="atLeast"/>
              <w:jc w:val="center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Visualisation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738D" w14:textId="431E35E8" w:rsidR="00BE512A" w:rsidRPr="007E16BD" w:rsidRDefault="00EF5A5B" w:rsidP="00EF5A5B">
            <w:pPr>
              <w:widowControl w:val="0"/>
              <w:spacing w:line="20" w:lineRule="atLeast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Page/onglet/vue*</w:t>
            </w:r>
          </w:p>
        </w:tc>
      </w:tr>
      <w:tr w:rsidR="00D83C43" w:rsidRPr="007E16BD" w14:paraId="774E4544" w14:textId="77777777" w:rsidTr="0090078B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7FF2" w14:textId="185F91CA" w:rsidR="00D83C43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bookmarkStart w:id="0" w:name="_Hlk213232213"/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La mortalité due à l’insalubrité de l’eau dans le monde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36A4" w14:textId="35947B25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Carte azure avec moyenne de pourcentage de la population morte due à l’</w:t>
            </w:r>
            <w:r w:rsidR="00573752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insalubrité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. Il s’agit d’une vue globale. Il s’agit des données de 2016.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FAB6" w14:textId="2E1CDD03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Maps avec bulles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D663" w14:textId="4DAFC4B0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tr w:rsidR="00D83C43" w:rsidRPr="007E16BD" w14:paraId="3EA953A2" w14:textId="77777777" w:rsidTr="0090078B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A7AD" w14:textId="4C77FBBA" w:rsidR="00D83C43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Indicateur global sur l’accès à des infrastructures d’eau potable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CB5A" w14:textId="2809D5E0" w:rsidR="00BE1FAD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mondiale en pourcentage de l’accès à des infrastructures d’eau potable. (</w:t>
            </w:r>
            <w:r w:rsidR="00AC5DFD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Possibilité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d’avoir des filtres par </w:t>
            </w:r>
          </w:p>
          <w:p w14:paraId="653D7189" w14:textId="06BC3566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Année)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7EDF" w14:textId="618973DF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Carte indiquant le pourcentage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EC48" w14:textId="3941C9B1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tr w:rsidR="00D83C43" w:rsidRPr="007E16BD" w14:paraId="4F6265EE" w14:textId="77777777" w:rsidTr="0090078B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D758" w14:textId="49B81546" w:rsidR="00D83C43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Filtre de stabilité politique en cliquant que les histogrammes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DE9A" w14:textId="5C600DEE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Mesure :  4 statuts de stabilités politiques :</w:t>
            </w:r>
          </w:p>
          <w:p w14:paraId="6B5BF8A8" w14:textId="53030844" w:rsidR="00745976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Très stable &gt; 0.6</w:t>
            </w:r>
          </w:p>
          <w:p w14:paraId="11E4A5A3" w14:textId="4045902B" w:rsidR="00745976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Stable entre 0 et 0.6</w:t>
            </w:r>
          </w:p>
          <w:p w14:paraId="64A816DF" w14:textId="7B37B260" w:rsidR="00745976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Instable entre -1.5 et </w:t>
            </w:r>
            <w:r w:rsidR="00AC5DFD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0 et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  très </w:t>
            </w:r>
            <w:r w:rsidR="00573752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instable &lt;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-1.5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CB30" w14:textId="75EE3E7D" w:rsidR="00335A04" w:rsidRPr="007E16BD" w:rsidRDefault="00335A04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</w:p>
          <w:p w14:paraId="1F8242EE" w14:textId="0CB493B1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Histogramme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C711" w14:textId="77777777" w:rsidR="00573752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  <w:p w14:paraId="1E87D978" w14:textId="21F0C21E" w:rsidR="00573752" w:rsidRPr="007E16BD" w:rsidRDefault="00573752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  <w:p w14:paraId="634E56BC" w14:textId="25473FAA" w:rsidR="00D83C43" w:rsidRPr="007E16BD" w:rsidRDefault="00573752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</w:t>
            </w:r>
          </w:p>
        </w:tc>
      </w:tr>
      <w:tr w:rsidR="00D83C43" w:rsidRPr="007E16BD" w14:paraId="4008FB56" w14:textId="77777777" w:rsidTr="0090078B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5539" w14:textId="12B04A8D" w:rsidR="00D83C43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Nombre de mort dû à l’absence d’infrastructure par région avec un filtre date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354A" w14:textId="04FB8272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Somme de mort par région.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1998" w14:textId="75D64580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Histogramme empile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C186" w14:textId="6AAF129B" w:rsidR="00D83C4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tr w:rsidR="00BE512A" w:rsidRPr="007E16BD" w14:paraId="1934BBA9" w14:textId="77777777" w:rsidTr="0090078B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D288" w14:textId="468E2AD4" w:rsidR="00BE512A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Voir l’évolution de la population rurale par pays vs la population totale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AC6F" w14:textId="47C34266" w:rsidR="00BE512A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Population rurale, urbaine et population totale 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F012" w14:textId="5EC73702" w:rsidR="00BE512A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Line plot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C2E6" w14:textId="6DEAF74C" w:rsidR="00BE512A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tr w:rsidR="00375253" w:rsidRPr="007E16BD" w14:paraId="3FEF0CC5" w14:textId="77777777" w:rsidTr="0090078B">
        <w:trPr>
          <w:trHeight w:val="675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6F2B" w14:textId="0600AAFA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lastRenderedPageBreak/>
              <w:t xml:space="preserve">Taux de </w:t>
            </w:r>
            <w:r w:rsidR="005B1808"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mortalité</w:t>
            </w: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 du a l’</w:t>
            </w:r>
            <w:r w:rsidR="005B1808"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insalubrité</w:t>
            </w: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 de l’eau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9000" w14:textId="3C24A909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de taux de mortalité dû à l’exposition des infrastructures insalubres.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1F7F" w14:textId="6BCF168A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Carte indiquant le pourcentage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40A1" w14:textId="669BEC9C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tr w:rsidR="00375253" w:rsidRPr="007E16BD" w14:paraId="5E3E4C86" w14:textId="77777777" w:rsidTr="0090078B">
        <w:trPr>
          <w:trHeight w:val="675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0B3A" w14:textId="77F118A6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Indicateur de la moyenne d’</w:t>
            </w:r>
            <w:r w:rsidR="005B1808"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accès</w:t>
            </w: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 a l’eau 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6340" w14:textId="45FD861D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Moyenne </w:t>
            </w:r>
            <w:r w:rsidR="005B1808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d’accès à l’eau basique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440D" w14:textId="0C4DC06F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Carte indiquant le pourcentage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6A3B" w14:textId="1FD2A46C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Monde</w:t>
            </w:r>
          </w:p>
        </w:tc>
      </w:tr>
      <w:bookmarkEnd w:id="0"/>
      <w:tr w:rsidR="00375253" w:rsidRPr="007E16BD" w14:paraId="785D8B27" w14:textId="77777777" w:rsidTr="0090078B">
        <w:trPr>
          <w:trHeight w:val="675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0E86" w14:textId="1BF91B27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Comprendre la stabilité politique dans le monde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F322" w14:textId="353A46ED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Agrégation stabilité politique par continent (par la moyenne)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51FE" w14:textId="32675A3A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Carte du monde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53AB" w14:textId="26BB3A7F" w:rsidR="00375253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A36898" w:rsidRPr="007E16BD" w14:paraId="2424277A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0882" w14:textId="1816E57B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Visuel de la densité de la population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FD48" w14:textId="18F626B6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Mesures calcule la densité </w:t>
            </w:r>
            <w:r w:rsidR="005B1808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de la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population par la somme de la population divisé par le nombre de km par territoire</w:t>
            </w:r>
          </w:p>
          <w:p w14:paraId="6D0D49E0" w14:textId="2BF7BC2C" w:rsidR="00BA7C68" w:rsidRPr="007E16BD" w:rsidRDefault="00BA7C68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10BC" w14:textId="6B3FFD5A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Azure maps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C799" w14:textId="17908210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A36898" w:rsidRPr="007E16BD" w14:paraId="11F33B08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6434F" w14:textId="5F4386D1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Part de la population par continent ayant accès des infrastructures d’eau potable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DE83" w14:textId="17C8232D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Somme de la population totale par </w:t>
            </w:r>
            <w:r w:rsidR="005B1808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région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/continent</w:t>
            </w:r>
          </w:p>
          <w:p w14:paraId="06910B23" w14:textId="51C5BC0A" w:rsidR="00467960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d’accès à des infrastructures d’eau potable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049A" w14:textId="07D97F21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Graphique en courbe et histogramme groupé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34FB" w14:textId="0B9BD9C5" w:rsidR="00A36898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7549AE" w:rsidRPr="007E16BD" w14:paraId="6EAA68B1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3F3D" w14:textId="340B62D4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Taux de mortalité due à l'insalubrité de l'eau par </w:t>
            </w:r>
            <w:r w:rsidR="00AC5DFD"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région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DE14" w14:textId="44F6FB08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Moyenne du pourcentage du taux de mortalité 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73B7" w14:textId="47BE9AA0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Tableau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1424" w14:textId="63FAC6D8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7549AE" w:rsidRPr="007E16BD" w14:paraId="6AA5C579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2BB9" w14:textId="136742A5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lastRenderedPageBreak/>
              <w:t>Évolution du rapport entre l'accès à l'eau potable et l'instabilité politique et infrastructure d'eau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311" w14:textId="3BCD0440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de l’instabilité politique</w:t>
            </w:r>
          </w:p>
          <w:p w14:paraId="0697D165" w14:textId="126AFAB9" w:rsidR="00206657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du taux d’accès à l’eau basic</w:t>
            </w:r>
          </w:p>
          <w:p w14:paraId="66884BD2" w14:textId="6DCAE420" w:rsidR="00251F49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d’accès à des infrastructures d’eau potable (taille des bulles)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9B9F" w14:textId="2D836F7E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Nuage de point avec lecture d’évolution annuelle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DE8E" w14:textId="3D11C291" w:rsidR="007549AE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927355" w:rsidRPr="007E16BD" w14:paraId="5945FFFB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D3F6" w14:textId="2FE23ADF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Évolution de la moyenne de la stabilité politique des régions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48A0" w14:textId="396F3E6F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de la stabilité politique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0E2D" w14:textId="4D9A1619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Graphique de ruban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8520" w14:textId="004E756E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927355" w:rsidRPr="007E16BD" w14:paraId="0243B25C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130F" w14:textId="3CA721A4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Population totale et taux d'urbanisation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0E14" w14:textId="30DD469A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(</w:t>
            </w:r>
            <w:r w:rsidR="00A9132C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Colonne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calculée) somme de la population totale et (mesure) taux de la population urbain sur la population totale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D0C3" w14:textId="25BEB076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Graphique en courbe et histogramme groupé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84DC" w14:textId="3565A877" w:rsidR="00927355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Continent</w:t>
            </w:r>
          </w:p>
        </w:tc>
      </w:tr>
      <w:tr w:rsidR="000951CB" w:rsidRPr="007E16BD" w14:paraId="2280FA2E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8A6E" w14:textId="076CD912" w:rsidR="00175A09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Identification des pays qui ont le plus besoin d’amélioration des services existants </w:t>
            </w:r>
          </w:p>
          <w:p w14:paraId="37B054AC" w14:textId="4E07F60F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Le taux d’accès à l’eau potable et le taux de population urbaine.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DB2B" w14:textId="5D47969F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Mesure du taux de la population urbaine.</w:t>
            </w:r>
          </w:p>
          <w:p w14:paraId="67EFF4C9" w14:textId="6B81B452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Moyenne de l’accès à l’eau potable (%)</w:t>
            </w:r>
          </w:p>
          <w:p w14:paraId="72F025FA" w14:textId="27CDDF3C" w:rsidR="009F495F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Répond à la question du lien entre l’urbanisation et l’accès à l’eau potable.</w:t>
            </w:r>
          </w:p>
          <w:p w14:paraId="02AD2DEB" w14:textId="283CA626" w:rsidR="000951CB" w:rsidRPr="007E16BD" w:rsidRDefault="000951C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4545" w14:textId="4AF2C2AD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Nuage de point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4B0D" w14:textId="0B723AB9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</w:t>
            </w:r>
          </w:p>
        </w:tc>
      </w:tr>
      <w:tr w:rsidR="000951CB" w:rsidRPr="007E16BD" w14:paraId="55C3BE36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05A0" w14:textId="1C25DE1D" w:rsidR="00AC44EC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 </w:t>
            </w:r>
            <w:r w:rsidR="00AC5DFD"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Les</w:t>
            </w: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 xml:space="preserve"> pays qui rencontrent des difficultés d’accès à l’eau potable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99CD" w14:textId="103A72EE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Regroupement des taux d’accès à l’eau et le taux d’accès à des infrastructures d’eau potable. Dans ce graphique il est possible d’identifier les pays 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lastRenderedPageBreak/>
              <w:t>d’ayant pas d’accès à l’eau potable mais aussi ce qui y ont accès.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CFDA" w14:textId="1DD45A62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lastRenderedPageBreak/>
              <w:t>Histogramme empile</w:t>
            </w:r>
          </w:p>
          <w:p w14:paraId="40611CAC" w14:textId="74332463" w:rsidR="000951CB" w:rsidRPr="007E16BD" w:rsidRDefault="000951C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CC19" w14:textId="61A15B3B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</w:t>
            </w:r>
          </w:p>
        </w:tc>
      </w:tr>
      <w:tr w:rsidR="000951CB" w:rsidRPr="007E16BD" w14:paraId="3F3C7BC3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F82D" w14:textId="5A48AAA1" w:rsidR="000951CB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Identification du taux de mortalité dû à de l’eau insalubre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7AB1" w14:textId="57330625" w:rsidR="004B580E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Le taux de mortalité dû à de l’eau insalubre par pays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8F73" w14:textId="4C8C116D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Azure maps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FCA0" w14:textId="7AF30976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</w:t>
            </w:r>
          </w:p>
        </w:tc>
      </w:tr>
      <w:tr w:rsidR="000951CB" w:rsidRPr="007E16BD" w14:paraId="6EA62A0D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A2A4" w14:textId="2E2804FF" w:rsidR="000951CB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Taux d'accès à l’infrastructure et taux de mortalité dû à l'eau insalubre instabilité politique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62E" w14:textId="5584ECD4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Graphique combinant le taux d’accès à l’eau potable et le taux de mortalité   et indicateur de stabilité politique (identification du besoin d’infrastructures)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834A" w14:textId="758FF3CE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Nuage de point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7C08" w14:textId="5D688C1B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Nationale</w:t>
            </w:r>
          </w:p>
        </w:tc>
      </w:tr>
      <w:tr w:rsidR="000951CB" w:rsidRPr="007E16BD" w14:paraId="1F440271" w14:textId="77777777" w:rsidTr="0090078B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A247" w14:textId="704DC5B8" w:rsidR="000951CB" w:rsidRPr="007E16BD" w:rsidRDefault="00EF5A5B" w:rsidP="00EF5A5B">
            <w:pPr>
              <w:widowControl w:val="0"/>
              <w:spacing w:line="20" w:lineRule="atLeast"/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sz w:val="28"/>
                <w:szCs w:val="28"/>
              </w:rPr>
              <w:t>Identification des pays qui ont le plus besoin d’amélioration des services existants : insalubrité des infrastructures.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77B3" w14:textId="380C17B5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Taux de mortalité due </w:t>
            </w:r>
            <w:r w:rsidR="00B52BFD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à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 xml:space="preserve"> l’insalubrité des infrastructures d’eau. (</w:t>
            </w:r>
            <w:r w:rsidR="00AC5DFD"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Modernisation</w:t>
            </w: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FC3F" w14:textId="15E062B6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sz w:val="28"/>
                <w:szCs w:val="28"/>
              </w:rPr>
              <w:t>Azure maps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DE25" w14:textId="5EE614B2" w:rsidR="000951CB" w:rsidRPr="007E16BD" w:rsidRDefault="00EF5A5B" w:rsidP="00EF5A5B">
            <w:pPr>
              <w:shd w:val="clear" w:color="auto" w:fill="FFFFFF"/>
              <w:spacing w:line="20" w:lineRule="atLeast"/>
              <w:ind w:right="240"/>
              <w:jc w:val="center"/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</w:pPr>
            <w:r w:rsidRPr="007E16BD">
              <w:rPr>
                <w:rFonts w:asciiTheme="majorHAnsi" w:eastAsia="Montserrat" w:hAnsiTheme="majorHAnsi" w:cstheme="majorHAnsi"/>
                <w:b/>
                <w:color w:val="1D1B11" w:themeColor="background2" w:themeShade="1A"/>
                <w:sz w:val="28"/>
                <w:szCs w:val="28"/>
              </w:rPr>
              <w:t>Nationale</w:t>
            </w:r>
          </w:p>
        </w:tc>
      </w:tr>
    </w:tbl>
    <w:p w14:paraId="02BEEA01" w14:textId="77777777" w:rsidR="00BE512A" w:rsidRPr="007E16BD" w:rsidRDefault="00BE512A">
      <w:pPr>
        <w:shd w:val="clear" w:color="auto" w:fill="FFFFFF"/>
        <w:spacing w:before="160"/>
        <w:ind w:right="240"/>
        <w:rPr>
          <w:rFonts w:asciiTheme="majorHAnsi" w:eastAsia="Montserrat" w:hAnsiTheme="majorHAnsi" w:cstheme="majorHAnsi"/>
          <w:b/>
          <w:color w:val="1468E8"/>
          <w:sz w:val="28"/>
          <w:szCs w:val="28"/>
        </w:rPr>
      </w:pPr>
    </w:p>
    <w:p w14:paraId="65EA09F8" w14:textId="77777777" w:rsidR="00CD3D76" w:rsidRDefault="00CD3D76" w:rsidP="00582BB9">
      <w:pPr>
        <w:rPr>
          <w:rFonts w:asciiTheme="majorHAnsi" w:eastAsia="Montserrat" w:hAnsiTheme="majorHAnsi" w:cstheme="majorHAnsi"/>
          <w:sz w:val="28"/>
          <w:szCs w:val="28"/>
        </w:rPr>
      </w:pPr>
    </w:p>
    <w:p w14:paraId="70C3017F" w14:textId="77777777" w:rsidR="00CD3D76" w:rsidRDefault="00CD3D76" w:rsidP="00582BB9">
      <w:pPr>
        <w:rPr>
          <w:rFonts w:asciiTheme="majorHAnsi" w:eastAsia="Montserrat" w:hAnsiTheme="majorHAnsi" w:cstheme="majorHAnsi"/>
          <w:sz w:val="28"/>
          <w:szCs w:val="28"/>
        </w:rPr>
      </w:pPr>
    </w:p>
    <w:p w14:paraId="7666B0B1" w14:textId="77777777" w:rsidR="00CD3D76" w:rsidRDefault="00CD3D76" w:rsidP="00582BB9">
      <w:pPr>
        <w:rPr>
          <w:rFonts w:asciiTheme="majorHAnsi" w:eastAsia="Montserrat" w:hAnsiTheme="majorHAnsi" w:cstheme="majorHAnsi"/>
          <w:sz w:val="28"/>
          <w:szCs w:val="28"/>
        </w:rPr>
      </w:pPr>
    </w:p>
    <w:p w14:paraId="6C57AB89" w14:textId="77777777" w:rsidR="00CD3D76" w:rsidRDefault="00CD3D76" w:rsidP="00582BB9">
      <w:pPr>
        <w:rPr>
          <w:rFonts w:asciiTheme="majorHAnsi" w:eastAsia="Montserrat" w:hAnsiTheme="majorHAnsi" w:cstheme="majorHAnsi"/>
          <w:sz w:val="28"/>
          <w:szCs w:val="28"/>
        </w:rPr>
      </w:pPr>
    </w:p>
    <w:sectPr w:rsidR="00CD3D76" w:rsidSect="00C70060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4DFA7" w14:textId="77777777" w:rsidR="00DC62BD" w:rsidRPr="00D13A4B" w:rsidRDefault="00DC62BD" w:rsidP="0034366C">
      <w:pPr>
        <w:spacing w:line="240" w:lineRule="auto"/>
      </w:pPr>
      <w:r w:rsidRPr="00D13A4B">
        <w:separator/>
      </w:r>
    </w:p>
  </w:endnote>
  <w:endnote w:type="continuationSeparator" w:id="0">
    <w:p w14:paraId="3CD3A5E5" w14:textId="77777777" w:rsidR="00DC62BD" w:rsidRPr="00D13A4B" w:rsidRDefault="00DC62BD" w:rsidP="0034366C">
      <w:pPr>
        <w:spacing w:line="240" w:lineRule="auto"/>
      </w:pPr>
      <w:r w:rsidRPr="00D13A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853715-83C2-49F9-8557-3400ECAFC2F2}"/>
    <w:embedBold r:id="rId2" w:fontKey="{B30F6131-84CA-4D10-9D55-06AE37DE0547}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  <w:embedRegular r:id="rId3" w:fontKey="{CF7305BD-CD4C-4B5F-B18A-3AEB4C43E3CF}"/>
    <w:embedBold r:id="rId4" w:fontKey="{CBA1AA48-7E41-400B-9EA5-DD6B70FDF9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BCAAD2-53D0-4999-BC0A-102152F821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72303" w14:textId="77777777" w:rsidR="00DC62BD" w:rsidRPr="00D13A4B" w:rsidRDefault="00DC62BD" w:rsidP="0034366C">
      <w:pPr>
        <w:spacing w:line="240" w:lineRule="auto"/>
      </w:pPr>
      <w:r w:rsidRPr="00D13A4B">
        <w:separator/>
      </w:r>
    </w:p>
  </w:footnote>
  <w:footnote w:type="continuationSeparator" w:id="0">
    <w:p w14:paraId="17B452E0" w14:textId="77777777" w:rsidR="00DC62BD" w:rsidRPr="00D13A4B" w:rsidRDefault="00DC62BD" w:rsidP="0034366C">
      <w:pPr>
        <w:spacing w:line="240" w:lineRule="auto"/>
      </w:pPr>
      <w:r w:rsidRPr="00D13A4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64D4"/>
    <w:multiLevelType w:val="multilevel"/>
    <w:tmpl w:val="DCA09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76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12A"/>
    <w:rsid w:val="000064D4"/>
    <w:rsid w:val="00013F3F"/>
    <w:rsid w:val="00025DAA"/>
    <w:rsid w:val="000269C5"/>
    <w:rsid w:val="00063D49"/>
    <w:rsid w:val="00085805"/>
    <w:rsid w:val="000951CB"/>
    <w:rsid w:val="000B0575"/>
    <w:rsid w:val="0014138D"/>
    <w:rsid w:val="00150B0F"/>
    <w:rsid w:val="001521F1"/>
    <w:rsid w:val="00175A09"/>
    <w:rsid w:val="001A36E0"/>
    <w:rsid w:val="001C0309"/>
    <w:rsid w:val="001E339D"/>
    <w:rsid w:val="00206657"/>
    <w:rsid w:val="00225F94"/>
    <w:rsid w:val="00251F49"/>
    <w:rsid w:val="002552E2"/>
    <w:rsid w:val="002B356E"/>
    <w:rsid w:val="002C358E"/>
    <w:rsid w:val="002D55D9"/>
    <w:rsid w:val="002F3194"/>
    <w:rsid w:val="00311182"/>
    <w:rsid w:val="00316044"/>
    <w:rsid w:val="00335A04"/>
    <w:rsid w:val="0033772D"/>
    <w:rsid w:val="0034366C"/>
    <w:rsid w:val="003555C6"/>
    <w:rsid w:val="00375253"/>
    <w:rsid w:val="00377A3F"/>
    <w:rsid w:val="003C5100"/>
    <w:rsid w:val="003C5DC8"/>
    <w:rsid w:val="003F5C53"/>
    <w:rsid w:val="00400E29"/>
    <w:rsid w:val="00401A75"/>
    <w:rsid w:val="0046561E"/>
    <w:rsid w:val="00467467"/>
    <w:rsid w:val="00467960"/>
    <w:rsid w:val="004B580E"/>
    <w:rsid w:val="004B646A"/>
    <w:rsid w:val="005420FB"/>
    <w:rsid w:val="00563F09"/>
    <w:rsid w:val="00573752"/>
    <w:rsid w:val="00582BB9"/>
    <w:rsid w:val="005B1808"/>
    <w:rsid w:val="005B56E4"/>
    <w:rsid w:val="00656B83"/>
    <w:rsid w:val="00657F88"/>
    <w:rsid w:val="006662B9"/>
    <w:rsid w:val="006F4C93"/>
    <w:rsid w:val="0070170C"/>
    <w:rsid w:val="00745976"/>
    <w:rsid w:val="007529A8"/>
    <w:rsid w:val="007549AE"/>
    <w:rsid w:val="00760943"/>
    <w:rsid w:val="00766CF9"/>
    <w:rsid w:val="007747E2"/>
    <w:rsid w:val="007E16BD"/>
    <w:rsid w:val="007E304B"/>
    <w:rsid w:val="007E3B36"/>
    <w:rsid w:val="007E3E4E"/>
    <w:rsid w:val="00826F15"/>
    <w:rsid w:val="00866F17"/>
    <w:rsid w:val="00885B92"/>
    <w:rsid w:val="008A273A"/>
    <w:rsid w:val="0090078B"/>
    <w:rsid w:val="00927355"/>
    <w:rsid w:val="00940CE0"/>
    <w:rsid w:val="009C01CB"/>
    <w:rsid w:val="009F495F"/>
    <w:rsid w:val="00A36898"/>
    <w:rsid w:val="00A3694D"/>
    <w:rsid w:val="00A80138"/>
    <w:rsid w:val="00A9132C"/>
    <w:rsid w:val="00A971F8"/>
    <w:rsid w:val="00AC26D3"/>
    <w:rsid w:val="00AC44EC"/>
    <w:rsid w:val="00AC5DFD"/>
    <w:rsid w:val="00AC7A00"/>
    <w:rsid w:val="00B12C5A"/>
    <w:rsid w:val="00B40508"/>
    <w:rsid w:val="00B52BFD"/>
    <w:rsid w:val="00BA7C68"/>
    <w:rsid w:val="00BD1FB3"/>
    <w:rsid w:val="00BE1FAD"/>
    <w:rsid w:val="00BE512A"/>
    <w:rsid w:val="00C054D5"/>
    <w:rsid w:val="00C1475A"/>
    <w:rsid w:val="00C2372E"/>
    <w:rsid w:val="00C6036D"/>
    <w:rsid w:val="00C70060"/>
    <w:rsid w:val="00CA07FA"/>
    <w:rsid w:val="00CD3D76"/>
    <w:rsid w:val="00CD6937"/>
    <w:rsid w:val="00D13A4B"/>
    <w:rsid w:val="00D232C9"/>
    <w:rsid w:val="00D30B1D"/>
    <w:rsid w:val="00D614D7"/>
    <w:rsid w:val="00D63647"/>
    <w:rsid w:val="00D83C43"/>
    <w:rsid w:val="00D86569"/>
    <w:rsid w:val="00D9492F"/>
    <w:rsid w:val="00DC62BD"/>
    <w:rsid w:val="00DF6969"/>
    <w:rsid w:val="00E556DD"/>
    <w:rsid w:val="00EA075A"/>
    <w:rsid w:val="00EB531D"/>
    <w:rsid w:val="00ED54E1"/>
    <w:rsid w:val="00EF54F8"/>
    <w:rsid w:val="00EF5A5B"/>
    <w:rsid w:val="00F36CA7"/>
    <w:rsid w:val="00F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837B"/>
  <w15:docId w15:val="{64BEC19E-8DEB-4FFC-8BAF-204C9F24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4366C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4366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436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E5BAD-FBE2-4E1C-8DE5-AE8EC3EC4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BADO</dc:creator>
  <cp:lastModifiedBy>Elodie CHAMEKH</cp:lastModifiedBy>
  <cp:revision>2</cp:revision>
  <dcterms:created xsi:type="dcterms:W3CDTF">2025-11-05T10:31:00Z</dcterms:created>
  <dcterms:modified xsi:type="dcterms:W3CDTF">2025-11-05T10:31:00Z</dcterms:modified>
</cp:coreProperties>
</file>