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2DC9" w14:textId="09BEFD7C" w:rsidR="004819CD" w:rsidRPr="00140A3C" w:rsidRDefault="00140A3C" w:rsidP="00962B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4"/>
          <w:szCs w:val="24"/>
        </w:rPr>
        <w:t>CHARGES EXTERNES</w:t>
      </w:r>
      <w:r w:rsidR="00DC7760">
        <w:rPr>
          <w:rFonts w:ascii="Century Gothic" w:hAnsi="Century Gothic"/>
          <w:b/>
          <w:bCs/>
          <w:sz w:val="24"/>
          <w:szCs w:val="24"/>
        </w:rPr>
        <w:t xml:space="preserve"> ERVENT</w:t>
      </w:r>
      <w:r w:rsidR="004819CD" w:rsidRPr="00DC7760">
        <w:rPr>
          <w:rFonts w:ascii="Century Gothic" w:hAnsi="Century Gothic"/>
          <w:b/>
          <w:bCs/>
          <w:sz w:val="24"/>
          <w:szCs w:val="24"/>
        </w:rPr>
        <w:t> </w:t>
      </w:r>
      <w:r w:rsidR="004819CD">
        <w:rPr>
          <w:rFonts w:ascii="Century Gothic" w:hAnsi="Century Gothic"/>
          <w:b/>
          <w:bCs/>
        </w:rPr>
        <w:t xml:space="preserve">: </w:t>
      </w:r>
      <w:r w:rsidR="004819CD" w:rsidRPr="004819CD">
        <w:rPr>
          <w:rFonts w:ascii="Century Gothic" w:hAnsi="Century Gothic"/>
        </w:rPr>
        <w:t xml:space="preserve">toutes les dépenses que l’entreprise engage (compte </w:t>
      </w:r>
      <w:r w:rsidR="004819CD">
        <w:rPr>
          <w:rFonts w:ascii="Century Gothic" w:hAnsi="Century Gothic"/>
        </w:rPr>
        <w:t>60</w:t>
      </w:r>
      <w:r w:rsidR="00DC7760">
        <w:rPr>
          <w:rFonts w:ascii="Century Gothic" w:hAnsi="Century Gothic"/>
        </w:rPr>
        <w:t>6</w:t>
      </w:r>
      <w:r w:rsidR="004819CD">
        <w:rPr>
          <w:rFonts w:ascii="Century Gothic" w:hAnsi="Century Gothic"/>
        </w:rPr>
        <w:t xml:space="preserve">, </w:t>
      </w:r>
      <w:r w:rsidR="004819CD" w:rsidRPr="004819CD">
        <w:rPr>
          <w:rFonts w:ascii="Century Gothic" w:hAnsi="Century Gothic"/>
        </w:rPr>
        <w:t>61 &amp; 62) auprès de tiers (fournisseurs, prestataires, etc…), qui ne relèvent pas directement :</w:t>
      </w:r>
    </w:p>
    <w:p w14:paraId="46595452" w14:textId="16DAF081" w:rsidR="004819CD" w:rsidRPr="004819CD" w:rsidRDefault="004819CD" w:rsidP="004819CD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4819CD">
        <w:rPr>
          <w:rFonts w:ascii="Century Gothic" w:hAnsi="Century Gothic"/>
        </w:rPr>
        <w:t>Des achats de matières premières (compte 60)</w:t>
      </w:r>
    </w:p>
    <w:p w14:paraId="0A0B9417" w14:textId="6161EB23" w:rsidR="004819CD" w:rsidRDefault="004819CD" w:rsidP="004819CD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4819CD">
        <w:rPr>
          <w:rFonts w:ascii="Century Gothic" w:hAnsi="Century Gothic"/>
        </w:rPr>
        <w:t>Ni des charges de personnel (compte 64)</w:t>
      </w:r>
    </w:p>
    <w:p w14:paraId="3A681D6D" w14:textId="77777777" w:rsidR="00085F23" w:rsidRDefault="00085F23" w:rsidP="00085F23">
      <w:pPr>
        <w:rPr>
          <w:rFonts w:ascii="Century Gothic" w:hAnsi="Century Gothic"/>
        </w:rPr>
      </w:pPr>
    </w:p>
    <w:p w14:paraId="75940010" w14:textId="77777777" w:rsidR="00085F23" w:rsidRPr="00085F23" w:rsidRDefault="00085F23" w:rsidP="00085F23">
      <w:pPr>
        <w:rPr>
          <w:rFonts w:ascii="Century Gothic" w:hAnsi="Century Gothic"/>
        </w:rPr>
      </w:pPr>
    </w:p>
    <w:p w14:paraId="07B6E97C" w14:textId="15FCC9ED" w:rsidR="004819CD" w:rsidRDefault="00085F23" w:rsidP="004819C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4"/>
          <w:szCs w:val="24"/>
        </w:rPr>
        <w:t>ENJEUX</w:t>
      </w:r>
      <w:r w:rsidR="004819CD" w:rsidRPr="00DC7760">
        <w:rPr>
          <w:rFonts w:ascii="Century Gothic" w:hAnsi="Century Gothic"/>
          <w:b/>
          <w:bCs/>
          <w:sz w:val="24"/>
          <w:szCs w:val="24"/>
        </w:rPr>
        <w:t> </w:t>
      </w:r>
    </w:p>
    <w:p w14:paraId="457BD30B" w14:textId="648847C4" w:rsidR="004819CD" w:rsidRPr="004819CD" w:rsidRDefault="004819CD" w:rsidP="004819CD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Permet de contrôler les coûts récurrents (loyers, contrats d’entretien, assurance, …)</w:t>
      </w:r>
    </w:p>
    <w:p w14:paraId="5AB19ED7" w14:textId="4BC7E0AF" w:rsidR="004819CD" w:rsidRPr="004819CD" w:rsidRDefault="004819CD" w:rsidP="004819CD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Suivre les frais variables (transport, énergie, communication, …)</w:t>
      </w:r>
    </w:p>
    <w:p w14:paraId="6AB0303B" w14:textId="09F3D168" w:rsidR="004819CD" w:rsidRPr="00EC776F" w:rsidRDefault="00EC776F" w:rsidP="004819CD">
      <w:pPr>
        <w:pStyle w:val="Paragraphedeliste"/>
        <w:numPr>
          <w:ilvl w:val="1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Renégociation contrats ?</w:t>
      </w:r>
    </w:p>
    <w:p w14:paraId="2594D95D" w14:textId="64DBA50F" w:rsidR="00EC776F" w:rsidRPr="00EC776F" w:rsidRDefault="00EC776F" w:rsidP="004819CD">
      <w:pPr>
        <w:pStyle w:val="Paragraphedeliste"/>
        <w:numPr>
          <w:ilvl w:val="1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Choix de fournisseurs ?</w:t>
      </w:r>
    </w:p>
    <w:p w14:paraId="245E2A3A" w14:textId="6A597C90" w:rsidR="00EC776F" w:rsidRPr="004819CD" w:rsidRDefault="00EC776F" w:rsidP="004819CD">
      <w:pPr>
        <w:pStyle w:val="Paragraphedeliste"/>
        <w:numPr>
          <w:ilvl w:val="1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Internalisation/ externalisation</w:t>
      </w:r>
      <w:r w:rsidR="00A92805">
        <w:rPr>
          <w:rFonts w:ascii="Century Gothic" w:hAnsi="Century Gothic"/>
        </w:rPr>
        <w:t> ?</w:t>
      </w:r>
    </w:p>
    <w:p w14:paraId="74C8C2AD" w14:textId="198CE234" w:rsidR="004819CD" w:rsidRPr="00085F23" w:rsidRDefault="004819CD" w:rsidP="004819CD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Comparer le réalisé vs budget / prévision</w:t>
      </w:r>
    </w:p>
    <w:p w14:paraId="0D04DE85" w14:textId="57D76334" w:rsidR="00085F23" w:rsidRPr="004819CD" w:rsidRDefault="00085F23" w:rsidP="00085F23">
      <w:pPr>
        <w:pStyle w:val="Paragraphedeliste"/>
        <w:numPr>
          <w:ilvl w:val="1"/>
          <w:numId w:val="6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Hausse ou réduction du réalisé ?</w:t>
      </w:r>
    </w:p>
    <w:p w14:paraId="1B57A4FD" w14:textId="77777777" w:rsidR="00085F23" w:rsidRDefault="004819CD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Identifier des pistes d’optimisation</w:t>
      </w:r>
    </w:p>
    <w:p w14:paraId="20F0C090" w14:textId="1CC8E5FF" w:rsidR="00085F23" w:rsidRPr="00085F23" w:rsidRDefault="00085F23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962BA7">
        <w:rPr>
          <w:rFonts w:ascii="Century Gothic" w:hAnsi="Century Gothic"/>
        </w:rPr>
        <w:t>Identifier les sources de coûts non maîtrisés ou anormaux (analyse par catégorie/sous-catégorie).</w:t>
      </w:r>
      <w:hyperlink r:id="rId5" w:tgtFrame="_blank" w:history="1">
        <w:r w:rsidRPr="00962BA7">
          <w:rPr>
            <w:rStyle w:val="Lienhypertexte"/>
            <w:rFonts w:ascii="Century Gothic" w:hAnsi="Century Gothic"/>
          </w:rPr>
          <w:t>expert-comptable-tpe+1</w:t>
        </w:r>
      </w:hyperlink>
    </w:p>
    <w:p w14:paraId="60A18D89" w14:textId="6A0ECF88" w:rsidR="004819CD" w:rsidRDefault="004819CD" w:rsidP="00962BA7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Analyser la structure des charges (% honoraires, % sous-traitance, …)</w:t>
      </w:r>
    </w:p>
    <w:p w14:paraId="5C76181F" w14:textId="493D0116" w:rsidR="00085F23" w:rsidRDefault="00085F23" w:rsidP="00085F23">
      <w:pPr>
        <w:pStyle w:val="Paragraphedeliste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TOP N fournisseurs, sous-traitants, …</w:t>
      </w:r>
    </w:p>
    <w:p w14:paraId="2235F401" w14:textId="72D9577A" w:rsidR="004434A5" w:rsidRDefault="004434A5" w:rsidP="00085F23">
      <w:pPr>
        <w:pStyle w:val="Paragraphedeliste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TOP N postes de dépenses</w:t>
      </w:r>
    </w:p>
    <w:p w14:paraId="097A2927" w14:textId="46CDAE62" w:rsidR="004819CD" w:rsidRPr="00EC776F" w:rsidRDefault="004819CD" w:rsidP="00EC776F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Mesurer l’impact sur la rentabilité (les CE </w:t>
      </w:r>
      <w:proofErr w:type="gramStart"/>
      <w:r>
        <w:rPr>
          <w:rFonts w:ascii="Century Gothic" w:hAnsi="Century Gothic"/>
        </w:rPr>
        <w:t>réduisent</w:t>
      </w:r>
      <w:proofErr w:type="gramEnd"/>
      <w:r>
        <w:rPr>
          <w:rFonts w:ascii="Century Gothic" w:hAnsi="Century Gothic"/>
        </w:rPr>
        <w:t xml:space="preserve"> le résultat net)</w:t>
      </w:r>
    </w:p>
    <w:p w14:paraId="1852BC91" w14:textId="5B8DB104" w:rsidR="004819CD" w:rsidRDefault="004819CD" w:rsidP="004819CD">
      <w:pPr>
        <w:rPr>
          <w:rFonts w:ascii="Century Gothic" w:hAnsi="Century Gothic"/>
        </w:rPr>
      </w:pPr>
    </w:p>
    <w:p w14:paraId="46574D65" w14:textId="77777777" w:rsidR="007017F1" w:rsidRDefault="007017F1" w:rsidP="00F62217">
      <w:pPr>
        <w:rPr>
          <w:rFonts w:ascii="Century Gothic" w:hAnsi="Century Gothic"/>
        </w:rPr>
      </w:pPr>
    </w:p>
    <w:p w14:paraId="7855C4BC" w14:textId="77777777" w:rsidR="005D20FB" w:rsidRDefault="005D20FB" w:rsidP="00F62217">
      <w:pPr>
        <w:rPr>
          <w:rFonts w:ascii="Century Gothic" w:hAnsi="Century Gothic"/>
        </w:rPr>
      </w:pPr>
    </w:p>
    <w:p w14:paraId="204B8D5E" w14:textId="77777777" w:rsidR="005D20FB" w:rsidRDefault="005D20FB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3EF83E7B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1324991F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38F4C94A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6445F797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6825ABAD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6744B6A3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7B39B521" w14:textId="77777777" w:rsidR="007017F1" w:rsidRDefault="007017F1" w:rsidP="00F62217">
      <w:pPr>
        <w:rPr>
          <w:rFonts w:ascii="Century Gothic" w:hAnsi="Century Gothic"/>
          <w:b/>
          <w:bCs/>
          <w:sz w:val="24"/>
          <w:szCs w:val="24"/>
        </w:rPr>
      </w:pPr>
    </w:p>
    <w:p w14:paraId="51D54163" w14:textId="2EFEACD8" w:rsidR="00F62217" w:rsidRDefault="00085F23" w:rsidP="00F6221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PRINCIPAUX INDICATEURS A SUIVR</w:t>
      </w:r>
      <w:r w:rsidR="00F62217">
        <w:rPr>
          <w:rFonts w:ascii="Century Gothic" w:hAnsi="Century Gothic"/>
          <w:b/>
          <w:bCs/>
          <w:sz w:val="24"/>
          <w:szCs w:val="24"/>
        </w:rPr>
        <w:t>E</w:t>
      </w:r>
    </w:p>
    <w:p w14:paraId="769C413D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Montant total des charges externes</w:t>
      </w:r>
      <w:r w:rsidRPr="00F62217">
        <w:rPr>
          <w:rFonts w:ascii="Century Gothic" w:hAnsi="Century Gothic"/>
        </w:rPr>
        <w:t> (par période, service ou projet), en distinguant charges fixes et variables.</w:t>
      </w:r>
      <w:hyperlink r:id="rId6" w:tgtFrame="_blank" w:history="1">
        <w:r w:rsidRPr="00F62217">
          <w:rPr>
            <w:rStyle w:val="Lienhypertexte"/>
            <w:rFonts w:ascii="Century Gothic" w:hAnsi="Century Gothic"/>
          </w:rPr>
          <w:t>expert-comptable-tpe+1</w:t>
        </w:r>
      </w:hyperlink>
    </w:p>
    <w:p w14:paraId="1C16E2A8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Variation nette des charges externes</w:t>
      </w:r>
      <w:r w:rsidRPr="00F62217">
        <w:rPr>
          <w:rFonts w:ascii="Century Gothic" w:hAnsi="Century Gothic"/>
        </w:rPr>
        <w:t> : évolution par mois, trimestre ou année.</w:t>
      </w:r>
      <w:hyperlink r:id="rId7" w:tgtFrame="_blank" w:history="1">
        <w:proofErr w:type="gramStart"/>
        <w:r w:rsidRPr="00F62217">
          <w:rPr>
            <w:rStyle w:val="Lienhypertexte"/>
            <w:rFonts w:ascii="Century Gothic" w:hAnsi="Century Gothic"/>
          </w:rPr>
          <w:t>learn.microsoft</w:t>
        </w:r>
        <w:proofErr w:type="gramEnd"/>
        <w:r w:rsidRPr="00F62217">
          <w:rPr>
            <w:rStyle w:val="Lienhypertexte"/>
            <w:rFonts w:ascii="Century Gothic" w:hAnsi="Century Gothic"/>
          </w:rPr>
          <w:t>+1</w:t>
        </w:r>
      </w:hyperlink>
    </w:p>
    <w:p w14:paraId="29E91CD6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Répartition par catégorie de charges externes</w:t>
      </w:r>
      <w:r w:rsidRPr="00F62217">
        <w:rPr>
          <w:rFonts w:ascii="Century Gothic" w:hAnsi="Century Gothic"/>
        </w:rPr>
        <w:t> : sous-traitance, location, crédit-bail, entretien et réparations, assurances, honoraires, transport, etc..</w:t>
      </w:r>
      <w:hyperlink r:id="rId8" w:tgtFrame="_blank" w:history="1">
        <w:r w:rsidRPr="00F62217">
          <w:rPr>
            <w:rStyle w:val="Lienhypertexte"/>
            <w:rFonts w:ascii="Century Gothic" w:hAnsi="Century Gothic"/>
          </w:rPr>
          <w:t>legalstart+2</w:t>
        </w:r>
      </w:hyperlink>
    </w:p>
    <w:p w14:paraId="37FFD22B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Ratio charges externes / chiffre d’affaires</w:t>
      </w:r>
      <w:r w:rsidRPr="00F62217">
        <w:rPr>
          <w:rFonts w:ascii="Century Gothic" w:hAnsi="Century Gothic"/>
        </w:rPr>
        <w:t> : pour évaluer le poids relatif et la performance.</w:t>
      </w:r>
      <w:hyperlink r:id="rId9" w:tgtFrame="_blank" w:history="1">
        <w:r w:rsidRPr="00F62217">
          <w:rPr>
            <w:rStyle w:val="Lienhypertexte"/>
            <w:rFonts w:ascii="Century Gothic" w:hAnsi="Century Gothic"/>
          </w:rPr>
          <w:t>insightsoftware+1</w:t>
        </w:r>
      </w:hyperlink>
    </w:p>
    <w:p w14:paraId="75B2D867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 xml:space="preserve">Comparaison charges réelles vs </w:t>
      </w:r>
      <w:proofErr w:type="spellStart"/>
      <w:r w:rsidRPr="00F62217">
        <w:rPr>
          <w:rFonts w:ascii="Century Gothic" w:hAnsi="Century Gothic"/>
          <w:b/>
          <w:bCs/>
        </w:rPr>
        <w:t>budgetées</w:t>
      </w:r>
      <w:proofErr w:type="spellEnd"/>
      <w:r w:rsidRPr="00F62217">
        <w:rPr>
          <w:rFonts w:ascii="Century Gothic" w:hAnsi="Century Gothic"/>
        </w:rPr>
        <w:t> (écarts de planification).</w:t>
      </w:r>
      <w:hyperlink r:id="rId10" w:tgtFrame="_blank" w:history="1">
        <w:r w:rsidRPr="00F62217">
          <w:rPr>
            <w:rStyle w:val="Lienhypertexte"/>
            <w:rFonts w:ascii="Century Gothic" w:hAnsi="Century Gothic"/>
          </w:rPr>
          <w:t>stalx-services+1</w:t>
        </w:r>
      </w:hyperlink>
    </w:p>
    <w:p w14:paraId="0739CD99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Coût moyen par facture</w:t>
      </w:r>
      <w:r w:rsidRPr="00F62217">
        <w:rPr>
          <w:rFonts w:ascii="Century Gothic" w:hAnsi="Century Gothic"/>
        </w:rPr>
        <w:t xml:space="preserve"> liée aux charges ou aux </w:t>
      </w:r>
      <w:proofErr w:type="spellStart"/>
      <w:r w:rsidRPr="00F62217">
        <w:rPr>
          <w:rFonts w:ascii="Century Gothic" w:hAnsi="Century Gothic"/>
        </w:rPr>
        <w:t>fournisseurs.</w:t>
      </w:r>
      <w:hyperlink r:id="rId11" w:tgtFrame="_blank" w:history="1">
        <w:r w:rsidRPr="00F62217">
          <w:rPr>
            <w:rStyle w:val="Lienhypertexte"/>
            <w:rFonts w:ascii="Century Gothic" w:hAnsi="Century Gothic"/>
          </w:rPr>
          <w:t>insightsoftware</w:t>
        </w:r>
        <w:proofErr w:type="spellEnd"/>
      </w:hyperlink>
    </w:p>
    <w:p w14:paraId="55F27DA4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Durée du cycle de paiement des factures</w:t>
      </w:r>
      <w:r w:rsidRPr="00F62217">
        <w:rPr>
          <w:rFonts w:ascii="Century Gothic" w:hAnsi="Century Gothic"/>
        </w:rPr>
        <w:t xml:space="preserve"> – rapidité du paiement des frais </w:t>
      </w:r>
      <w:proofErr w:type="spellStart"/>
      <w:r w:rsidRPr="00F62217">
        <w:rPr>
          <w:rFonts w:ascii="Century Gothic" w:hAnsi="Century Gothic"/>
        </w:rPr>
        <w:t>externes.</w:t>
      </w:r>
      <w:hyperlink r:id="rId12" w:tgtFrame="_blank" w:history="1">
        <w:r w:rsidRPr="00F62217">
          <w:rPr>
            <w:rStyle w:val="Lienhypertexte"/>
            <w:rFonts w:ascii="Century Gothic" w:hAnsi="Century Gothic"/>
          </w:rPr>
          <w:t>insightsoftware</w:t>
        </w:r>
        <w:proofErr w:type="spellEnd"/>
      </w:hyperlink>
    </w:p>
    <w:p w14:paraId="26AC1EBF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Taux d’exception des factures</w:t>
      </w:r>
      <w:r w:rsidRPr="00F62217">
        <w:rPr>
          <w:rFonts w:ascii="Century Gothic" w:hAnsi="Century Gothic"/>
        </w:rPr>
        <w:t> (factures nécessitant ajustement ou correction).</w:t>
      </w:r>
      <w:proofErr w:type="spellStart"/>
      <w:r w:rsidRPr="00F62217">
        <w:rPr>
          <w:rFonts w:ascii="Century Gothic" w:hAnsi="Century Gothic"/>
        </w:rPr>
        <w:fldChar w:fldCharType="begin"/>
      </w:r>
      <w:r w:rsidRPr="00F62217">
        <w:rPr>
          <w:rFonts w:ascii="Century Gothic" w:hAnsi="Century Gothic"/>
        </w:rPr>
        <w:instrText>HYPERLINK "https://insightsoftware.com/fr/blog/30-best-accounting-kpis-and-metric-examples/" \t "_blank"</w:instrText>
      </w:r>
      <w:r w:rsidRPr="00F62217">
        <w:rPr>
          <w:rFonts w:ascii="Century Gothic" w:hAnsi="Century Gothic"/>
        </w:rPr>
      </w:r>
      <w:r w:rsidRPr="00F62217">
        <w:rPr>
          <w:rFonts w:ascii="Century Gothic" w:hAnsi="Century Gothic"/>
        </w:rPr>
        <w:fldChar w:fldCharType="separate"/>
      </w:r>
      <w:r w:rsidRPr="00F62217">
        <w:rPr>
          <w:rStyle w:val="Lienhypertexte"/>
          <w:rFonts w:ascii="Century Gothic" w:hAnsi="Century Gothic"/>
        </w:rPr>
        <w:t>insightsoftware</w:t>
      </w:r>
      <w:proofErr w:type="spellEnd"/>
      <w:r w:rsidRPr="00F62217">
        <w:rPr>
          <w:rFonts w:ascii="Century Gothic" w:hAnsi="Century Gothic"/>
        </w:rPr>
        <w:fldChar w:fldCharType="end"/>
      </w:r>
    </w:p>
    <w:p w14:paraId="5B1BDC52" w14:textId="77777777" w:rsidR="00F6221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Part des factures électroniques</w:t>
      </w:r>
      <w:r w:rsidRPr="00F62217">
        <w:rPr>
          <w:rFonts w:ascii="Century Gothic" w:hAnsi="Century Gothic"/>
        </w:rPr>
        <w:t> (efficacité et dématérialisation).</w:t>
      </w:r>
      <w:proofErr w:type="spellStart"/>
      <w:r w:rsidRPr="00F62217">
        <w:rPr>
          <w:rFonts w:ascii="Century Gothic" w:hAnsi="Century Gothic"/>
        </w:rPr>
        <w:fldChar w:fldCharType="begin"/>
      </w:r>
      <w:r w:rsidRPr="00F62217">
        <w:rPr>
          <w:rFonts w:ascii="Century Gothic" w:hAnsi="Century Gothic"/>
        </w:rPr>
        <w:instrText>HYPERLINK "https://insightsoftware.com/fr/blog/30-best-accounting-kpis-and-metric-examples/" \t "_blank"</w:instrText>
      </w:r>
      <w:r w:rsidRPr="00F62217">
        <w:rPr>
          <w:rFonts w:ascii="Century Gothic" w:hAnsi="Century Gothic"/>
        </w:rPr>
      </w:r>
      <w:r w:rsidRPr="00F62217">
        <w:rPr>
          <w:rFonts w:ascii="Century Gothic" w:hAnsi="Century Gothic"/>
        </w:rPr>
        <w:fldChar w:fldCharType="separate"/>
      </w:r>
      <w:r w:rsidRPr="00F62217">
        <w:rPr>
          <w:rStyle w:val="Lienhypertexte"/>
          <w:rFonts w:ascii="Century Gothic" w:hAnsi="Century Gothic"/>
        </w:rPr>
        <w:t>insightsoftware</w:t>
      </w:r>
      <w:proofErr w:type="spellEnd"/>
      <w:r w:rsidRPr="00F62217">
        <w:rPr>
          <w:rFonts w:ascii="Century Gothic" w:hAnsi="Century Gothic"/>
        </w:rPr>
        <w:fldChar w:fldCharType="end"/>
      </w:r>
    </w:p>
    <w:p w14:paraId="21059CE0" w14:textId="41404ECD" w:rsidR="00962BA7" w:rsidRPr="00F62217" w:rsidRDefault="00962BA7" w:rsidP="00F62217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  <w:sz w:val="24"/>
          <w:szCs w:val="24"/>
        </w:rPr>
      </w:pPr>
      <w:r w:rsidRPr="00F62217">
        <w:rPr>
          <w:rFonts w:ascii="Century Gothic" w:hAnsi="Century Gothic"/>
          <w:b/>
          <w:bCs/>
        </w:rPr>
        <w:t>Escomptes reçus pour paiement anticipé</w:t>
      </w:r>
      <w:r w:rsidRPr="00F62217">
        <w:rPr>
          <w:rFonts w:ascii="Century Gothic" w:hAnsi="Century Gothic"/>
        </w:rPr>
        <w:t> (optimisation financière).</w:t>
      </w:r>
      <w:proofErr w:type="spellStart"/>
      <w:r w:rsidRPr="00F62217">
        <w:rPr>
          <w:rFonts w:ascii="Century Gothic" w:hAnsi="Century Gothic"/>
        </w:rPr>
        <w:fldChar w:fldCharType="begin"/>
      </w:r>
      <w:r w:rsidRPr="00F62217">
        <w:rPr>
          <w:rFonts w:ascii="Century Gothic" w:hAnsi="Century Gothic"/>
        </w:rPr>
        <w:instrText>HYPERLINK "https://insightsoftware.com/fr/blog/30-best-accounting-kpis-and-metric-examples/" \t "_blank"</w:instrText>
      </w:r>
      <w:r w:rsidRPr="00F62217">
        <w:rPr>
          <w:rFonts w:ascii="Century Gothic" w:hAnsi="Century Gothic"/>
        </w:rPr>
      </w:r>
      <w:r w:rsidRPr="00F62217">
        <w:rPr>
          <w:rFonts w:ascii="Century Gothic" w:hAnsi="Century Gothic"/>
        </w:rPr>
        <w:fldChar w:fldCharType="separate"/>
      </w:r>
      <w:r w:rsidRPr="00F62217">
        <w:rPr>
          <w:rStyle w:val="Lienhypertexte"/>
          <w:rFonts w:ascii="Century Gothic" w:hAnsi="Century Gothic"/>
        </w:rPr>
        <w:t>insightsoftware</w:t>
      </w:r>
      <w:proofErr w:type="spellEnd"/>
      <w:r w:rsidRPr="00F62217">
        <w:rPr>
          <w:rFonts w:ascii="Century Gothic" w:hAnsi="Century Gothic"/>
        </w:rPr>
        <w:fldChar w:fldCharType="end"/>
      </w:r>
    </w:p>
    <w:p w14:paraId="5610329C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3049E773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6F600228" w14:textId="588055C4" w:rsidR="00962BA7" w:rsidRPr="00962BA7" w:rsidRDefault="00085F23" w:rsidP="00962B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CATEGORISATION DES CHARGES EXTERNES</w:t>
      </w:r>
    </w:p>
    <w:p w14:paraId="513FAEFE" w14:textId="77777777" w:rsidR="00962BA7" w:rsidRPr="00962BA7" w:rsidRDefault="00962BA7" w:rsidP="00962BA7">
      <w:pPr>
        <w:rPr>
          <w:rFonts w:ascii="Century Gothic" w:hAnsi="Century Gothic"/>
          <w:b/>
          <w:bCs/>
        </w:rPr>
      </w:pPr>
      <w:r w:rsidRPr="00962BA7">
        <w:rPr>
          <w:rFonts w:ascii="Century Gothic" w:hAnsi="Century Gothic"/>
          <w:b/>
          <w:bCs/>
        </w:rPr>
        <w:t>Comptes principaux (Plan Comptable Général)</w:t>
      </w:r>
    </w:p>
    <w:p w14:paraId="4D35DCB3" w14:textId="77777777" w:rsidR="00085F23" w:rsidRDefault="00962BA7" w:rsidP="00085F23">
      <w:pPr>
        <w:rPr>
          <w:rFonts w:ascii="Century Gothic" w:hAnsi="Century Gothic"/>
        </w:rPr>
      </w:pPr>
      <w:r w:rsidRPr="00962BA7">
        <w:rPr>
          <w:rFonts w:ascii="Century Gothic" w:hAnsi="Century Gothic"/>
        </w:rPr>
        <w:t>Les charges externes se trouvent majoritairement en classe 61 :</w:t>
      </w:r>
    </w:p>
    <w:p w14:paraId="580C515D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611 : Sous-traitance générale</w:t>
      </w:r>
    </w:p>
    <w:p w14:paraId="15BFBD2A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612 : Crédit-bail</w:t>
      </w:r>
    </w:p>
    <w:p w14:paraId="2DC46C0C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613 : Locations</w:t>
      </w:r>
    </w:p>
    <w:p w14:paraId="25807B4E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614 : Charges locatives</w:t>
      </w:r>
    </w:p>
    <w:p w14:paraId="1709504C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615 : Entretien et réparations</w:t>
      </w:r>
    </w:p>
    <w:p w14:paraId="3425B1CB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616 : Primes d’assurance</w:t>
      </w:r>
    </w:p>
    <w:p w14:paraId="0177B30B" w14:textId="77777777" w:rsid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617 : Études et recherches</w:t>
      </w:r>
    </w:p>
    <w:p w14:paraId="6BC11856" w14:textId="524D7B15" w:rsidR="00962BA7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</w:rPr>
      </w:pPr>
      <w:r w:rsidRPr="00085F23">
        <w:rPr>
          <w:rFonts w:ascii="Century Gothic" w:hAnsi="Century Gothic"/>
        </w:rPr>
        <w:t>618 : Documentation</w:t>
      </w:r>
      <w:hyperlink r:id="rId13" w:tgtFrame="_blank" w:history="1">
        <w:r w:rsidRPr="00085F23">
          <w:rPr>
            <w:rStyle w:val="Lienhypertexte"/>
            <w:rFonts w:ascii="Century Gothic" w:hAnsi="Century Gothic"/>
          </w:rPr>
          <w:t>compta-facile+1</w:t>
        </w:r>
      </w:hyperlink>
    </w:p>
    <w:p w14:paraId="26C3DA92" w14:textId="77777777" w:rsidR="00085F23" w:rsidRDefault="00085F23" w:rsidP="00085F23">
      <w:pPr>
        <w:rPr>
          <w:rFonts w:ascii="Century Gothic" w:hAnsi="Century Gothic"/>
          <w:b/>
          <w:bCs/>
        </w:rPr>
      </w:pPr>
    </w:p>
    <w:p w14:paraId="2C743EE1" w14:textId="77777777" w:rsidR="007113ED" w:rsidRDefault="007113ED" w:rsidP="00085F23">
      <w:pPr>
        <w:rPr>
          <w:rFonts w:ascii="Century Gothic" w:hAnsi="Century Gothic"/>
          <w:b/>
          <w:bCs/>
        </w:rPr>
      </w:pPr>
    </w:p>
    <w:p w14:paraId="5F311F5A" w14:textId="77777777" w:rsidR="007113ED" w:rsidRDefault="007113ED" w:rsidP="00085F23">
      <w:pPr>
        <w:rPr>
          <w:rFonts w:ascii="Century Gothic" w:hAnsi="Century Gothic"/>
          <w:b/>
          <w:bCs/>
        </w:rPr>
      </w:pPr>
    </w:p>
    <w:p w14:paraId="45EC4598" w14:textId="77777777" w:rsidR="005D20FB" w:rsidRDefault="005D20FB" w:rsidP="00085F23">
      <w:pPr>
        <w:rPr>
          <w:rFonts w:ascii="Century Gothic" w:hAnsi="Century Gothic"/>
          <w:b/>
          <w:bCs/>
        </w:rPr>
      </w:pPr>
    </w:p>
    <w:p w14:paraId="5B472463" w14:textId="0D7B1549" w:rsidR="00085F23" w:rsidRDefault="00085F23" w:rsidP="00085F23">
      <w:pPr>
        <w:rPr>
          <w:rFonts w:ascii="Century Gothic" w:hAnsi="Century Gothic"/>
          <w:b/>
          <w:bCs/>
        </w:rPr>
      </w:pPr>
      <w:r w:rsidRPr="00962BA7">
        <w:rPr>
          <w:rFonts w:ascii="Century Gothic" w:hAnsi="Century Gothic"/>
          <w:b/>
          <w:bCs/>
        </w:rPr>
        <w:lastRenderedPageBreak/>
        <w:t>Exemples concrets</w:t>
      </w:r>
    </w:p>
    <w:p w14:paraId="460F6431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>Électricité, eau et autres énergies</w:t>
      </w:r>
    </w:p>
    <w:p w14:paraId="3B9676D3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>Fournitures administratives</w:t>
      </w:r>
    </w:p>
    <w:p w14:paraId="6F74A798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>Honoraires (experts-comptables, avocats, divers)</w:t>
      </w:r>
    </w:p>
    <w:p w14:paraId="18BFE434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>Publicité, transport, déplacements, services bancaires</w:t>
      </w:r>
    </w:p>
    <w:p w14:paraId="2E91E7CD" w14:textId="7BF59E1E" w:rsidR="00962BA7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>Location et crédit-bail mobilier/immobilier</w:t>
      </w:r>
    </w:p>
    <w:p w14:paraId="6F43D222" w14:textId="77777777" w:rsidR="00085F23" w:rsidRDefault="00085F23" w:rsidP="00085F23">
      <w:pPr>
        <w:rPr>
          <w:rFonts w:ascii="Century Gothic" w:hAnsi="Century Gothic"/>
          <w:b/>
          <w:bCs/>
        </w:rPr>
      </w:pPr>
    </w:p>
    <w:p w14:paraId="38BA7F82" w14:textId="77777777" w:rsidR="00085F23" w:rsidRDefault="00085F23" w:rsidP="00085F23">
      <w:pPr>
        <w:rPr>
          <w:rFonts w:ascii="Century Gothic" w:hAnsi="Century Gothic"/>
          <w:b/>
          <w:bCs/>
        </w:rPr>
      </w:pPr>
    </w:p>
    <w:p w14:paraId="45E10EC7" w14:textId="17E14902" w:rsidR="00085F23" w:rsidRDefault="00085F23" w:rsidP="00085F2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APPROCHE D’ANALYSE POWER BI</w:t>
      </w:r>
    </w:p>
    <w:p w14:paraId="7861CDF9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  <w:b/>
          <w:bCs/>
        </w:rPr>
        <w:t>Visualiser la structure des charges externes</w:t>
      </w:r>
      <w:r w:rsidRPr="00085F23">
        <w:rPr>
          <w:rFonts w:ascii="Century Gothic" w:hAnsi="Century Gothic"/>
        </w:rPr>
        <w:t xml:space="preserve"> par type et </w:t>
      </w:r>
      <w:proofErr w:type="spellStart"/>
      <w:r w:rsidRPr="00085F23">
        <w:rPr>
          <w:rFonts w:ascii="Century Gothic" w:hAnsi="Century Gothic"/>
        </w:rPr>
        <w:t>classe.</w:t>
      </w:r>
      <w:hyperlink r:id="rId14" w:tgtFrame="_blank" w:history="1">
        <w:proofErr w:type="gramStart"/>
        <w:r w:rsidRPr="00085F23">
          <w:rPr>
            <w:rStyle w:val="Lienhypertexte"/>
            <w:rFonts w:ascii="Century Gothic" w:hAnsi="Century Gothic"/>
          </w:rPr>
          <w:t>learn.microsoft</w:t>
        </w:r>
        <w:proofErr w:type="spellEnd"/>
        <w:proofErr w:type="gramEnd"/>
      </w:hyperlink>
    </w:p>
    <w:p w14:paraId="0F71F7DF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  <w:b/>
          <w:bCs/>
        </w:rPr>
        <w:t>Suivre les écarts budgétaires</w:t>
      </w:r>
      <w:r w:rsidRPr="00085F23">
        <w:rPr>
          <w:rFonts w:ascii="Century Gothic" w:hAnsi="Century Gothic"/>
        </w:rPr>
        <w:t> et les tendances, repérer les pics ou anomalies.</w:t>
      </w:r>
      <w:hyperlink r:id="rId15" w:tgtFrame="_blank" w:history="1">
        <w:proofErr w:type="gramStart"/>
        <w:r w:rsidRPr="00085F23">
          <w:rPr>
            <w:rStyle w:val="Lienhypertexte"/>
            <w:rFonts w:ascii="Century Gothic" w:hAnsi="Century Gothic"/>
          </w:rPr>
          <w:t>learn.microsoft</w:t>
        </w:r>
        <w:proofErr w:type="gramEnd"/>
        <w:r w:rsidRPr="00085F23">
          <w:rPr>
            <w:rStyle w:val="Lienhypertexte"/>
            <w:rFonts w:ascii="Century Gothic" w:hAnsi="Century Gothic"/>
          </w:rPr>
          <w:t>+1</w:t>
        </w:r>
      </w:hyperlink>
    </w:p>
    <w:p w14:paraId="3593AD71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  <w:b/>
          <w:bCs/>
        </w:rPr>
        <w:t xml:space="preserve">Distinguer charges fixes vs. </w:t>
      </w:r>
      <w:proofErr w:type="gramStart"/>
      <w:r w:rsidRPr="00085F23">
        <w:rPr>
          <w:rFonts w:ascii="Century Gothic" w:hAnsi="Century Gothic"/>
          <w:b/>
          <w:bCs/>
        </w:rPr>
        <w:t>variables</w:t>
      </w:r>
      <w:proofErr w:type="gramEnd"/>
      <w:r w:rsidRPr="00085F23">
        <w:rPr>
          <w:rFonts w:ascii="Century Gothic" w:hAnsi="Century Gothic"/>
        </w:rPr>
        <w:t> pour affiner la maîtrise des coûts (ratio par rapport au CA, évolution).</w:t>
      </w:r>
      <w:proofErr w:type="spellStart"/>
      <w:r w:rsidRPr="00085F23">
        <w:rPr>
          <w:rFonts w:ascii="Century Gothic" w:hAnsi="Century Gothic"/>
        </w:rPr>
        <w:fldChar w:fldCharType="begin"/>
      </w:r>
      <w:r w:rsidRPr="00085F23">
        <w:rPr>
          <w:rFonts w:ascii="Century Gothic" w:hAnsi="Century Gothic"/>
        </w:rPr>
        <w:instrText>HYPERLINK "https://www.legalstart.fr/fiches-pratiques/comptabilite-entreprise/charges-externes/" \t "_blank"</w:instrText>
      </w:r>
      <w:r w:rsidRPr="00085F23">
        <w:rPr>
          <w:rFonts w:ascii="Century Gothic" w:hAnsi="Century Gothic"/>
        </w:rPr>
      </w:r>
      <w:r w:rsidRPr="00085F23">
        <w:rPr>
          <w:rFonts w:ascii="Century Gothic" w:hAnsi="Century Gothic"/>
        </w:rPr>
        <w:fldChar w:fldCharType="separate"/>
      </w:r>
      <w:r w:rsidRPr="00085F23">
        <w:rPr>
          <w:rStyle w:val="Lienhypertexte"/>
          <w:rFonts w:ascii="Century Gothic" w:hAnsi="Century Gothic"/>
        </w:rPr>
        <w:t>legalstart</w:t>
      </w:r>
      <w:proofErr w:type="spellEnd"/>
      <w:r w:rsidRPr="00085F23">
        <w:rPr>
          <w:rFonts w:ascii="Century Gothic" w:hAnsi="Century Gothic"/>
        </w:rPr>
        <w:fldChar w:fldCharType="end"/>
      </w:r>
    </w:p>
    <w:p w14:paraId="1F7ED9C7" w14:textId="77777777" w:rsidR="00085F23" w:rsidRPr="00085F23" w:rsidRDefault="00962BA7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  <w:b/>
          <w:bCs/>
        </w:rPr>
        <w:t xml:space="preserve">Automatiser le </w:t>
      </w:r>
      <w:proofErr w:type="spellStart"/>
      <w:r w:rsidRPr="00085F23">
        <w:rPr>
          <w:rFonts w:ascii="Century Gothic" w:hAnsi="Century Gothic"/>
          <w:b/>
          <w:bCs/>
        </w:rPr>
        <w:t>reporting</w:t>
      </w:r>
      <w:proofErr w:type="spellEnd"/>
      <w:r w:rsidRPr="00085F23">
        <w:rPr>
          <w:rFonts w:ascii="Century Gothic" w:hAnsi="Century Gothic"/>
        </w:rPr>
        <w:t> pour obtenir des synthèses périodiques centralisées et faciliter la prise de décision.</w:t>
      </w:r>
      <w:hyperlink r:id="rId16" w:tgtFrame="_blank" w:history="1">
        <w:r w:rsidRPr="00085F23">
          <w:rPr>
            <w:rStyle w:val="Lienhypertexte"/>
            <w:rFonts w:ascii="Century Gothic" w:hAnsi="Century Gothic"/>
          </w:rPr>
          <w:t>apogea+1</w:t>
        </w:r>
      </w:hyperlink>
    </w:p>
    <w:p w14:paraId="536B00B2" w14:textId="7EEAB8C2" w:rsidR="00085F23" w:rsidRPr="00085F23" w:rsidRDefault="00085F23" w:rsidP="00085F23">
      <w:pPr>
        <w:pStyle w:val="Paragraphedeliste"/>
        <w:numPr>
          <w:ilvl w:val="0"/>
          <w:numId w:val="6"/>
        </w:numPr>
        <w:rPr>
          <w:rFonts w:ascii="Century Gothic" w:hAnsi="Century Gothic"/>
          <w:b/>
          <w:bCs/>
        </w:rPr>
      </w:pPr>
      <w:r w:rsidRPr="00085F23">
        <w:rPr>
          <w:rFonts w:ascii="Century Gothic" w:hAnsi="Century Gothic"/>
        </w:rPr>
        <w:t xml:space="preserve">Mettre en place des alertes Power BI en cas de dépassement des seuils budgétaires ou de ratios </w:t>
      </w:r>
      <w:proofErr w:type="spellStart"/>
      <w:r w:rsidRPr="00085F23">
        <w:rPr>
          <w:rFonts w:ascii="Century Gothic" w:hAnsi="Century Gothic"/>
        </w:rPr>
        <w:t>stratégiques.</w:t>
      </w:r>
      <w:hyperlink r:id="rId17" w:tgtFrame="_blank" w:history="1">
        <w:r w:rsidRPr="00085F23">
          <w:rPr>
            <w:rStyle w:val="Lienhypertexte"/>
            <w:rFonts w:ascii="Century Gothic" w:hAnsi="Century Gothic"/>
          </w:rPr>
          <w:t>apogea</w:t>
        </w:r>
        <w:proofErr w:type="spellEnd"/>
      </w:hyperlink>
    </w:p>
    <w:p w14:paraId="6B71E145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3630C1C4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452A31FE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0BCDE56A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52EB548C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01E6035B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66E436D7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3B87188D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618A9478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5B70F871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1CDA0CBA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1400F8CB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53BEAD97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36C75BBF" w14:textId="77777777" w:rsidR="00F57DAB" w:rsidRDefault="00F57DAB" w:rsidP="00962BA7">
      <w:pPr>
        <w:rPr>
          <w:rFonts w:ascii="Century Gothic" w:hAnsi="Century Gothic"/>
          <w:b/>
          <w:bCs/>
        </w:rPr>
      </w:pPr>
    </w:p>
    <w:p w14:paraId="36AC8C6D" w14:textId="77777777" w:rsidR="00F57DAB" w:rsidRDefault="00F57DAB" w:rsidP="00962BA7">
      <w:pPr>
        <w:rPr>
          <w:rFonts w:ascii="Century Gothic" w:hAnsi="Century Gothic"/>
          <w:b/>
          <w:bCs/>
        </w:rPr>
      </w:pPr>
    </w:p>
    <w:p w14:paraId="0AFE221A" w14:textId="77777777" w:rsidR="00F57DAB" w:rsidRDefault="00F57DAB" w:rsidP="00962BA7">
      <w:pPr>
        <w:rPr>
          <w:rFonts w:ascii="Century Gothic" w:hAnsi="Century Gothic"/>
          <w:b/>
          <w:bCs/>
        </w:rPr>
      </w:pPr>
    </w:p>
    <w:p w14:paraId="7F38FEC5" w14:textId="77777777" w:rsidR="007017F1" w:rsidRDefault="007017F1" w:rsidP="00962BA7">
      <w:pPr>
        <w:rPr>
          <w:rFonts w:ascii="Century Gothic" w:hAnsi="Century Gothic"/>
          <w:b/>
          <w:bCs/>
        </w:rPr>
      </w:pPr>
    </w:p>
    <w:p w14:paraId="566F41B8" w14:textId="6FE6AAF2" w:rsidR="00962BA7" w:rsidRPr="00962BA7" w:rsidRDefault="00F57DAB" w:rsidP="00962B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TABLEAU D’INDICATEURS PRINCIPAUX</w:t>
      </w:r>
    </w:p>
    <w:tbl>
      <w:tblPr>
        <w:tblW w:w="11100" w:type="dxa"/>
        <w:tblCellSpacing w:w="15" w:type="dxa"/>
        <w:tblInd w:w="-1027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3664"/>
        <w:gridCol w:w="4578"/>
      </w:tblGrid>
      <w:tr w:rsidR="00962BA7" w:rsidRPr="00962BA7" w14:paraId="219071F5" w14:textId="77777777" w:rsidTr="00F57DA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92676" w14:textId="77777777" w:rsidR="00962BA7" w:rsidRPr="00962BA7" w:rsidRDefault="00962BA7" w:rsidP="00962BA7">
            <w:pPr>
              <w:rPr>
                <w:rFonts w:ascii="Century Gothic" w:hAnsi="Century Gothic"/>
                <w:b/>
                <w:bCs/>
              </w:rPr>
            </w:pPr>
            <w:r w:rsidRPr="00962BA7">
              <w:rPr>
                <w:rFonts w:ascii="Century Gothic" w:hAnsi="Century Gothic"/>
                <w:b/>
                <w:bCs/>
              </w:rPr>
              <w:t>Indicateur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51E95" w14:textId="77777777" w:rsidR="00962BA7" w:rsidRPr="00962BA7" w:rsidRDefault="00962BA7" w:rsidP="00962BA7">
            <w:pPr>
              <w:rPr>
                <w:rFonts w:ascii="Century Gothic" w:hAnsi="Century Gothic"/>
                <w:b/>
                <w:bCs/>
              </w:rPr>
            </w:pPr>
            <w:r w:rsidRPr="00962BA7">
              <w:rPr>
                <w:rFonts w:ascii="Century Gothic" w:hAnsi="Century Gothic"/>
                <w:b/>
                <w:bCs/>
              </w:rPr>
              <w:t>Définition / Utilité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F3304B" w14:textId="77777777" w:rsidR="00962BA7" w:rsidRPr="00962BA7" w:rsidRDefault="00962BA7" w:rsidP="00962BA7">
            <w:pPr>
              <w:rPr>
                <w:rFonts w:ascii="Century Gothic" w:hAnsi="Century Gothic"/>
                <w:b/>
                <w:bCs/>
              </w:rPr>
            </w:pPr>
            <w:r w:rsidRPr="00962BA7">
              <w:rPr>
                <w:rFonts w:ascii="Century Gothic" w:hAnsi="Century Gothic"/>
                <w:b/>
                <w:bCs/>
              </w:rPr>
              <w:t>Catégorie / Calcul</w:t>
            </w:r>
          </w:p>
        </w:tc>
      </w:tr>
      <w:tr w:rsidR="00962BA7" w:rsidRPr="00962BA7" w14:paraId="5E3F339A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708D22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Montant total charges externes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335FB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Somme des charges selon comptes classe 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9AB5DA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 xml:space="preserve">Total </w:t>
            </w:r>
            <w:proofErr w:type="gramStart"/>
            <w:r w:rsidRPr="00962BA7">
              <w:rPr>
                <w:rFonts w:ascii="Century Gothic" w:hAnsi="Century Gothic"/>
              </w:rPr>
              <w:t>comptes</w:t>
            </w:r>
            <w:proofErr w:type="gramEnd"/>
            <w:r w:rsidRPr="00962BA7">
              <w:rPr>
                <w:rFonts w:ascii="Century Gothic" w:hAnsi="Century Gothic"/>
              </w:rPr>
              <w:t xml:space="preserve"> 611-618 </w:t>
            </w:r>
            <w:proofErr w:type="spellStart"/>
            <w:r w:rsidRPr="00962BA7">
              <w:rPr>
                <w:rFonts w:ascii="Century Gothic" w:hAnsi="Century Gothic"/>
              </w:rPr>
              <w:fldChar w:fldCharType="begin"/>
            </w:r>
            <w:r w:rsidRPr="00962BA7">
              <w:rPr>
                <w:rFonts w:ascii="Century Gothic" w:hAnsi="Century Gothic"/>
              </w:rPr>
              <w:instrText>HYPERLINK "https://www.legalstart.fr/fiches-pratiques/comptabilite-entreprise/charges-externes/" \t "_blank"</w:instrText>
            </w:r>
            <w:r w:rsidRPr="00962BA7">
              <w:rPr>
                <w:rFonts w:ascii="Century Gothic" w:hAnsi="Century Gothic"/>
              </w:rPr>
            </w:r>
            <w:r w:rsidRPr="00962BA7">
              <w:rPr>
                <w:rFonts w:ascii="Century Gothic" w:hAnsi="Century Gothic"/>
              </w:rPr>
              <w:fldChar w:fldCharType="separate"/>
            </w:r>
            <w:r w:rsidRPr="00962BA7">
              <w:rPr>
                <w:rStyle w:val="Lienhypertexte"/>
                <w:rFonts w:ascii="Century Gothic" w:hAnsi="Century Gothic"/>
              </w:rPr>
              <w:t>legalstart</w:t>
            </w:r>
            <w:proofErr w:type="spellEnd"/>
            <w:r w:rsidRPr="00962BA7">
              <w:rPr>
                <w:rFonts w:ascii="Century Gothic" w:hAnsi="Century Gothic"/>
              </w:rPr>
              <w:fldChar w:fldCharType="end"/>
            </w:r>
          </w:p>
        </w:tc>
      </w:tr>
      <w:tr w:rsidR="00962BA7" w:rsidRPr="00962BA7" w14:paraId="463B2646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AB78C2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Ratio charges externes / 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446DD7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Poids sur chiffre d'affaires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368FE6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(Total charges externes / CA) × 100 </w:t>
            </w:r>
            <w:proofErr w:type="spellStart"/>
            <w:r w:rsidRPr="00962BA7">
              <w:rPr>
                <w:rFonts w:ascii="Century Gothic" w:hAnsi="Century Gothic"/>
              </w:rPr>
              <w:fldChar w:fldCharType="begin"/>
            </w:r>
            <w:r w:rsidRPr="00962BA7">
              <w:rPr>
                <w:rFonts w:ascii="Century Gothic" w:hAnsi="Century Gothic"/>
              </w:rPr>
              <w:instrText>HYPERLINK "https://insightsoftware.com/fr/blog/30-best-accounting-kpis-and-metric-examples/" \t "_blank"</w:instrText>
            </w:r>
            <w:r w:rsidRPr="00962BA7">
              <w:rPr>
                <w:rFonts w:ascii="Century Gothic" w:hAnsi="Century Gothic"/>
              </w:rPr>
            </w:r>
            <w:r w:rsidRPr="00962BA7">
              <w:rPr>
                <w:rFonts w:ascii="Century Gothic" w:hAnsi="Century Gothic"/>
              </w:rPr>
              <w:fldChar w:fldCharType="separate"/>
            </w:r>
            <w:r w:rsidRPr="00962BA7">
              <w:rPr>
                <w:rStyle w:val="Lienhypertexte"/>
                <w:rFonts w:ascii="Century Gothic" w:hAnsi="Century Gothic"/>
              </w:rPr>
              <w:t>insightsoftware</w:t>
            </w:r>
            <w:proofErr w:type="spellEnd"/>
            <w:r w:rsidRPr="00962BA7">
              <w:rPr>
                <w:rFonts w:ascii="Century Gothic" w:hAnsi="Century Gothic"/>
              </w:rPr>
              <w:fldChar w:fldCharType="end"/>
            </w:r>
          </w:p>
        </w:tc>
      </w:tr>
      <w:tr w:rsidR="00962BA7" w:rsidRPr="00962BA7" w14:paraId="124DC412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38335A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Variation nette des charges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17016E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Évolution annuelle / mensuelle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9E847F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Delta charges externes </w:t>
            </w:r>
            <w:hyperlink r:id="rId18" w:tgtFrame="_blank" w:history="1">
              <w:proofErr w:type="gramStart"/>
              <w:r w:rsidRPr="00962BA7">
                <w:rPr>
                  <w:rStyle w:val="Lienhypertexte"/>
                  <w:rFonts w:ascii="Century Gothic" w:hAnsi="Century Gothic"/>
                </w:rPr>
                <w:t>learn.microsoft</w:t>
              </w:r>
              <w:proofErr w:type="gramEnd"/>
              <w:r w:rsidRPr="00962BA7">
                <w:rPr>
                  <w:rStyle w:val="Lienhypertexte"/>
                  <w:rFonts w:ascii="Century Gothic" w:hAnsi="Century Gothic"/>
                </w:rPr>
                <w:t>+1</w:t>
              </w:r>
            </w:hyperlink>
          </w:p>
        </w:tc>
      </w:tr>
      <w:tr w:rsidR="00962BA7" w:rsidRPr="00962BA7" w14:paraId="5F0E849C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67A867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Répartition par catégorie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4444B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Détail par type de charge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CD907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Classe &amp; sous-compte </w:t>
            </w:r>
            <w:hyperlink r:id="rId19" w:tgtFrame="_blank" w:history="1">
              <w:r w:rsidRPr="00962BA7">
                <w:rPr>
                  <w:rStyle w:val="Lienhypertexte"/>
                  <w:rFonts w:ascii="Century Gothic" w:hAnsi="Century Gothic"/>
                </w:rPr>
                <w:t>expert-comptable-tpe+1</w:t>
              </w:r>
            </w:hyperlink>
          </w:p>
        </w:tc>
      </w:tr>
      <w:tr w:rsidR="00962BA7" w:rsidRPr="00962BA7" w14:paraId="4729B967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022ED0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Écart charges réelles / budgétées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CABFC0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Suivi budgétaire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2AE896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Charges planifiées vs réalisées</w:t>
            </w:r>
            <w:hyperlink r:id="rId20" w:tgtFrame="_blank" w:history="1">
              <w:r w:rsidRPr="00962BA7">
                <w:rPr>
                  <w:rStyle w:val="Lienhypertexte"/>
                  <w:rFonts w:ascii="Century Gothic" w:hAnsi="Century Gothic"/>
                </w:rPr>
                <w:t>stalx-services+1</w:t>
              </w:r>
            </w:hyperlink>
          </w:p>
        </w:tc>
      </w:tr>
      <w:tr w:rsidR="00962BA7" w:rsidRPr="00962BA7" w14:paraId="30198E44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A8860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Coût moyen par facture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E8A30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Indicateur d’efficacité gestion fournisseurs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83FF0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Total dépenses / Nb factures </w:t>
            </w:r>
            <w:proofErr w:type="spellStart"/>
            <w:r w:rsidRPr="00962BA7">
              <w:rPr>
                <w:rFonts w:ascii="Century Gothic" w:hAnsi="Century Gothic"/>
              </w:rPr>
              <w:fldChar w:fldCharType="begin"/>
            </w:r>
            <w:r w:rsidRPr="00962BA7">
              <w:rPr>
                <w:rFonts w:ascii="Century Gothic" w:hAnsi="Century Gothic"/>
              </w:rPr>
              <w:instrText>HYPERLINK "https://insightsoftware.com/fr/blog/30-best-accounting-kpis-and-metric-examples/" \t "_blank"</w:instrText>
            </w:r>
            <w:r w:rsidRPr="00962BA7">
              <w:rPr>
                <w:rFonts w:ascii="Century Gothic" w:hAnsi="Century Gothic"/>
              </w:rPr>
            </w:r>
            <w:r w:rsidRPr="00962BA7">
              <w:rPr>
                <w:rFonts w:ascii="Century Gothic" w:hAnsi="Century Gothic"/>
              </w:rPr>
              <w:fldChar w:fldCharType="separate"/>
            </w:r>
            <w:r w:rsidRPr="00962BA7">
              <w:rPr>
                <w:rStyle w:val="Lienhypertexte"/>
                <w:rFonts w:ascii="Century Gothic" w:hAnsi="Century Gothic"/>
              </w:rPr>
              <w:t>insightsoftware</w:t>
            </w:r>
            <w:proofErr w:type="spellEnd"/>
            <w:r w:rsidRPr="00962BA7">
              <w:rPr>
                <w:rFonts w:ascii="Century Gothic" w:hAnsi="Century Gothic"/>
              </w:rPr>
              <w:fldChar w:fldCharType="end"/>
            </w:r>
          </w:p>
        </w:tc>
      </w:tr>
      <w:tr w:rsidR="00962BA7" w:rsidRPr="00962BA7" w14:paraId="5C771770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738365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Cycle moyen paiement facture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849879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Rapidité de traitement des charges externes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DA518C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Durée réception à paiement </w:t>
            </w:r>
            <w:proofErr w:type="spellStart"/>
            <w:r>
              <w:fldChar w:fldCharType="begin"/>
            </w:r>
            <w:r>
              <w:instrText>HYPERLINK "https://insightsoftware.com/fr/blog/30-best-accounting-kpis-and-metric-examples/" \t "_blank"</w:instrText>
            </w:r>
            <w:r>
              <w:fldChar w:fldCharType="separate"/>
            </w:r>
            <w:r w:rsidRPr="00962BA7">
              <w:rPr>
                <w:rStyle w:val="Lienhypertexte"/>
                <w:rFonts w:ascii="Century Gothic" w:hAnsi="Century Gothic"/>
              </w:rPr>
              <w:t>insightsoftware</w:t>
            </w:r>
            <w:proofErr w:type="spellEnd"/>
            <w:r>
              <w:fldChar w:fldCharType="end"/>
            </w:r>
          </w:p>
        </w:tc>
      </w:tr>
      <w:tr w:rsidR="00962BA7" w:rsidRPr="00962BA7" w14:paraId="56A57AB8" w14:textId="77777777" w:rsidTr="00F57D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B0AA3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Charges fixes vs variables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3FF16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Structure de coûts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3DA9BD" w14:textId="77777777" w:rsidR="00962BA7" w:rsidRPr="00962BA7" w:rsidRDefault="00962BA7" w:rsidP="00962BA7">
            <w:pPr>
              <w:rPr>
                <w:rFonts w:ascii="Century Gothic" w:hAnsi="Century Gothic"/>
              </w:rPr>
            </w:pPr>
            <w:r w:rsidRPr="00962BA7">
              <w:rPr>
                <w:rFonts w:ascii="Century Gothic" w:hAnsi="Century Gothic"/>
              </w:rPr>
              <w:t>% sur charges externes </w:t>
            </w:r>
            <w:proofErr w:type="spellStart"/>
            <w:r w:rsidRPr="00962BA7">
              <w:rPr>
                <w:rFonts w:ascii="Century Gothic" w:hAnsi="Century Gothic"/>
              </w:rPr>
              <w:fldChar w:fldCharType="begin"/>
            </w:r>
            <w:r w:rsidRPr="00962BA7">
              <w:rPr>
                <w:rFonts w:ascii="Century Gothic" w:hAnsi="Century Gothic"/>
              </w:rPr>
              <w:instrText>HYPERLINK "https://www.legalstart.fr/fiches-pratiques/comptabilite-entreprise/charges-externes/" \t "_blank"</w:instrText>
            </w:r>
            <w:r w:rsidRPr="00962BA7">
              <w:rPr>
                <w:rFonts w:ascii="Century Gothic" w:hAnsi="Century Gothic"/>
              </w:rPr>
            </w:r>
            <w:r w:rsidRPr="00962BA7">
              <w:rPr>
                <w:rFonts w:ascii="Century Gothic" w:hAnsi="Century Gothic"/>
              </w:rPr>
              <w:fldChar w:fldCharType="separate"/>
            </w:r>
            <w:r w:rsidRPr="00962BA7">
              <w:rPr>
                <w:rStyle w:val="Lienhypertexte"/>
                <w:rFonts w:ascii="Century Gothic" w:hAnsi="Century Gothic"/>
              </w:rPr>
              <w:t>legalstart</w:t>
            </w:r>
            <w:proofErr w:type="spellEnd"/>
            <w:r w:rsidRPr="00962BA7">
              <w:rPr>
                <w:rFonts w:ascii="Century Gothic" w:hAnsi="Century Gothic"/>
              </w:rPr>
              <w:fldChar w:fldCharType="end"/>
            </w:r>
          </w:p>
        </w:tc>
      </w:tr>
    </w:tbl>
    <w:p w14:paraId="6B3BEA6B" w14:textId="77777777" w:rsidR="00962BA7" w:rsidRPr="006B7E25" w:rsidRDefault="00962BA7" w:rsidP="00962BA7">
      <w:pPr>
        <w:rPr>
          <w:rFonts w:ascii="Century Gothic" w:hAnsi="Century Gothic"/>
          <w:b/>
          <w:bCs/>
        </w:rPr>
      </w:pPr>
    </w:p>
    <w:p w14:paraId="3C3D9C0A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3D618144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4BE7043C" w14:textId="77777777" w:rsidR="00153EEB" w:rsidRDefault="00153EEB" w:rsidP="00962BA7">
      <w:pPr>
        <w:rPr>
          <w:rFonts w:ascii="Century Gothic" w:hAnsi="Century Gothic"/>
          <w:b/>
          <w:bCs/>
        </w:rPr>
      </w:pPr>
    </w:p>
    <w:p w14:paraId="28829AE4" w14:textId="77777777" w:rsidR="00F57DAB" w:rsidRDefault="00F57DAB" w:rsidP="00962BA7">
      <w:pPr>
        <w:rPr>
          <w:rFonts w:ascii="Century Gothic" w:hAnsi="Century Gothic"/>
          <w:b/>
          <w:bCs/>
        </w:rPr>
      </w:pPr>
    </w:p>
    <w:p w14:paraId="11A342C0" w14:textId="77777777" w:rsidR="00F57DAB" w:rsidRDefault="00F57DAB" w:rsidP="00962BA7">
      <w:pPr>
        <w:rPr>
          <w:rFonts w:ascii="Century Gothic" w:hAnsi="Century Gothic"/>
          <w:b/>
          <w:bCs/>
        </w:rPr>
      </w:pPr>
    </w:p>
    <w:p w14:paraId="41D1350D" w14:textId="77777777" w:rsidR="00F57DAB" w:rsidRDefault="00F57DAB" w:rsidP="00962BA7">
      <w:pPr>
        <w:rPr>
          <w:rFonts w:ascii="Century Gothic" w:hAnsi="Century Gothic"/>
          <w:b/>
          <w:bCs/>
        </w:rPr>
      </w:pPr>
    </w:p>
    <w:sectPr w:rsidR="00F57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1811"/>
    <w:multiLevelType w:val="multilevel"/>
    <w:tmpl w:val="17F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317AD"/>
    <w:multiLevelType w:val="multilevel"/>
    <w:tmpl w:val="0D36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32F5C"/>
    <w:multiLevelType w:val="multilevel"/>
    <w:tmpl w:val="0B7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33CF6"/>
    <w:multiLevelType w:val="hybridMultilevel"/>
    <w:tmpl w:val="1D54851A"/>
    <w:lvl w:ilvl="0" w:tplc="BFDE181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157F3"/>
    <w:multiLevelType w:val="multilevel"/>
    <w:tmpl w:val="BE9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23364B"/>
    <w:multiLevelType w:val="multilevel"/>
    <w:tmpl w:val="20C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F53C37"/>
    <w:multiLevelType w:val="hybridMultilevel"/>
    <w:tmpl w:val="722EAB3C"/>
    <w:lvl w:ilvl="0" w:tplc="2D8829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15711">
    <w:abstractNumId w:val="1"/>
  </w:num>
  <w:num w:numId="2" w16cid:durableId="963585592">
    <w:abstractNumId w:val="4"/>
  </w:num>
  <w:num w:numId="3" w16cid:durableId="888734457">
    <w:abstractNumId w:val="5"/>
  </w:num>
  <w:num w:numId="4" w16cid:durableId="544686053">
    <w:abstractNumId w:val="2"/>
  </w:num>
  <w:num w:numId="5" w16cid:durableId="184439533">
    <w:abstractNumId w:val="0"/>
  </w:num>
  <w:num w:numId="6" w16cid:durableId="959797432">
    <w:abstractNumId w:val="3"/>
  </w:num>
  <w:num w:numId="7" w16cid:durableId="446504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A7"/>
    <w:rsid w:val="00085F23"/>
    <w:rsid w:val="00140A3C"/>
    <w:rsid w:val="00153EEB"/>
    <w:rsid w:val="00367A41"/>
    <w:rsid w:val="00422791"/>
    <w:rsid w:val="004434A5"/>
    <w:rsid w:val="004819CD"/>
    <w:rsid w:val="00543110"/>
    <w:rsid w:val="005D20FB"/>
    <w:rsid w:val="006B7E25"/>
    <w:rsid w:val="007017F1"/>
    <w:rsid w:val="007113ED"/>
    <w:rsid w:val="0088039F"/>
    <w:rsid w:val="00962BA7"/>
    <w:rsid w:val="00A92805"/>
    <w:rsid w:val="00DC7760"/>
    <w:rsid w:val="00EC776F"/>
    <w:rsid w:val="00F57DAB"/>
    <w:rsid w:val="00F62217"/>
    <w:rsid w:val="00F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354"/>
  <w15:chartTrackingRefBased/>
  <w15:docId w15:val="{6947361E-A04F-4A7E-B315-DC4F61EE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B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B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B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2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2B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2BA7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2BA7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2B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2B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2B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2B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2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2B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2B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2BA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B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BA7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2BA7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62BA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2BA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53E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start.fr/fiches-pratiques/comptabilite-entreprise/charges-externes/" TargetMode="External"/><Relationship Id="rId13" Type="http://schemas.openxmlformats.org/officeDocument/2006/relationships/hyperlink" Target="https://www.compta-facile.com/les-autres-charges-externes-comptes-61/" TargetMode="External"/><Relationship Id="rId18" Type="http://schemas.openxmlformats.org/officeDocument/2006/relationships/hyperlink" Target="https://learn.microsoft.com/fr-fr/dynamics365/business-central/finance-powerbi-kp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fr-fr/dynamics365/business-central/finance-powerbi-kpis" TargetMode="External"/><Relationship Id="rId12" Type="http://schemas.openxmlformats.org/officeDocument/2006/relationships/hyperlink" Target="https://insightsoftware.com/fr/blog/30-best-accounting-kpis-and-metric-examples/" TargetMode="External"/><Relationship Id="rId17" Type="http://schemas.openxmlformats.org/officeDocument/2006/relationships/hyperlink" Target="https://www.apogea.fr/comment-creer-un-dashboard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ogea.fr/comment-creer-un-dashboard-power-bi/" TargetMode="External"/><Relationship Id="rId20" Type="http://schemas.openxmlformats.org/officeDocument/2006/relationships/hyperlink" Target="https://www.stalx-services.com/blog/pbi-cd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pert-comptable-tpe.fr/articles/les-charges-externes-en-comptabilite/" TargetMode="External"/><Relationship Id="rId11" Type="http://schemas.openxmlformats.org/officeDocument/2006/relationships/hyperlink" Target="https://insightsoftware.com/fr/blog/30-best-accounting-kpis-and-metric-examples/" TargetMode="External"/><Relationship Id="rId5" Type="http://schemas.openxmlformats.org/officeDocument/2006/relationships/hyperlink" Target="https://www.expert-comptable-tpe.fr/articles/les-charges-externes-en-comptabilite/" TargetMode="External"/><Relationship Id="rId15" Type="http://schemas.openxmlformats.org/officeDocument/2006/relationships/hyperlink" Target="https://learn.microsoft.com/fr-fr/power-bi/create-reports/sample-datasets" TargetMode="External"/><Relationship Id="rId10" Type="http://schemas.openxmlformats.org/officeDocument/2006/relationships/hyperlink" Target="https://www.stalx-services.com/blog/pbi-cdg" TargetMode="External"/><Relationship Id="rId19" Type="http://schemas.openxmlformats.org/officeDocument/2006/relationships/hyperlink" Target="https://www.expert-comptable-tpe.fr/articles/les-charges-externes-en-comptabil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ightsoftware.com/fr/blog/30-best-accounting-kpis-and-metric-examples/" TargetMode="External"/><Relationship Id="rId14" Type="http://schemas.openxmlformats.org/officeDocument/2006/relationships/hyperlink" Target="https://learn.microsoft.com/fr-fr/power-bi/create-reports/sample-corporate-spen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Marionnet</dc:creator>
  <cp:keywords/>
  <dc:description/>
  <cp:lastModifiedBy>Romain Marionnet</cp:lastModifiedBy>
  <cp:revision>10</cp:revision>
  <dcterms:created xsi:type="dcterms:W3CDTF">2025-09-10T11:22:00Z</dcterms:created>
  <dcterms:modified xsi:type="dcterms:W3CDTF">2025-09-22T13:11:00Z</dcterms:modified>
</cp:coreProperties>
</file>