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Framework composé de deux éléments: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CLR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 bibliothèques de classes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Les bibliothèques de classes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frameword.NET est composé de plusieurs bibliothèques de classes.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System //Espace de nom de racine. Il contient les types de base Framework.NET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System.Collection // Tous les types permettant de gérer les listes et les tableaux.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Les types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.NET est composé de deux types différents : les types valeur et les types référence.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types valeurs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test = 4; //Instruction qui déclare une variable est qui lui affecte une valeur “4”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test2;     //Une déclaration de type valeur sans affectation entraîne la levé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test2 = 4;    //Affectation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bool b1 = true;   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bool b2 = b1;     // On copie la valeur de “b1” sans aucun autre lien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b1 = false;         // L’instruction suivante affecte la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ariable false a “b1”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types références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Les données des types références sont stockées à un emplacement mémoire et un pointeur vers ces données et stockées dans la variable.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Les classes et les interfaces sont des </w:t>
      </w:r>
      <w:r w:rsidDel="00000000" w:rsidR="00000000" w:rsidRPr="00000000">
        <w:rPr>
          <w:rtl w:val="0"/>
        </w:rPr>
        <w:t xml:space="preserve">types références.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tl w:val="0"/>
        </w:rPr>
        <w:t xml:space="preserve">type références</w:t>
      </w:r>
      <w:r w:rsidDel="00000000" w:rsidR="00000000" w:rsidRPr="00000000">
        <w:rPr>
          <w:rtl w:val="0"/>
        </w:rPr>
        <w:t xml:space="preserve"> doit être instancié avec le mot clé “new”.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System.Collections;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ArrayList tab1 = new ArrayList();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ArrayList tab2 = new ArrayList(1);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ArrayList tab2 = new();  //On peut omettre le type lorsqu’il n’y a pas de paramètres.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Pour illustrer le fonctionnement des types références, prenons un exemple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public bool booleen;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Class C1 = new Test();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C1.booleen = true;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 C2 = C1;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C1.booleen =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Les identifiants et mots-clés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string monIdentifiant;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@monIdentifiant;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“@” sert à transformer un mot clé de programmation en nom de variable.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private bool @string;  → ici string devient un nom de variable.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opérateurs d’assignation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i = 4;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 += 2;   // 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-= 2;    //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 *= 2;    // 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/= 2;    //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%= 2;  //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x =4;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 is int;  // Renvoie true si x est de type “int”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—&gt;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!!! Aucun “===” en C# !!!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enum </w:t>
      </w:r>
      <w:r w:rsidDel="00000000" w:rsidR="00000000" w:rsidRPr="00000000">
        <w:rPr>
          <w:rtl w:val="0"/>
        </w:rPr>
        <w:t xml:space="preserve">JourDeLaSemaine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Lundi,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Mardi,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Mercredi,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Jeudi,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Vendredi,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Samedi,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Dimanche,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Un type d’énumération affecte une valeur automatiquement à tous les “objets” qui sont instanciés dedans. On peut aussi leur donner une valeur manuelle. |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&lt;–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enum </w:t>
      </w:r>
      <w:r w:rsidDel="00000000" w:rsidR="00000000" w:rsidRPr="00000000">
        <w:rPr>
          <w:rtl w:val="0"/>
        </w:rPr>
        <w:t xml:space="preserve">JourDeLaSemaine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Lundi = 0,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Mardi = 1,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Mercredi = 100,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Jeudi = 101,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Vendredi = 500,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Samedi = 501,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Dimanche = 502,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—-------------------------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short s = 300;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byte b = (byte)s;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Console.Writeline(b);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Console.ReadLine();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Les niveaux d’accès 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: autorise l’accès pour les types de l’assemblage (assembly)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: a</w:t>
      </w:r>
      <w:r w:rsidDel="00000000" w:rsidR="00000000" w:rsidRPr="00000000">
        <w:rPr>
          <w:rtl w:val="0"/>
        </w:rPr>
        <w:t xml:space="preserve">utorise</w:t>
      </w:r>
      <w:r w:rsidDel="00000000" w:rsidR="00000000" w:rsidRPr="00000000">
        <w:rPr>
          <w:rtl w:val="0"/>
        </w:rPr>
        <w:t xml:space="preserve"> uniquement l’accès pour les autres membres du type (de la classe par exemple)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: autorise l’accès pour les types d’assembly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protected : autorise l’accès uniquement pour les autres membres du type et pour les types héritant de celui-ci (dans l’assembly et en dehors de l’assembly)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protected internal : autorise l’accès uniquement pour les autres membres du type et pour les types héritant de celui-ci (dans l’assembly uniquement)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Exercice 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signifie le terme “assembly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Citez un exemple réel d’un usage pertinent du mot clé “private”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Si aucune portée n’est précisée sur un membre, il est considéré comme private. Une classe sans modificateur sera quant à elle considérée comme </w:t>
      </w:r>
      <w:r w:rsidDel="00000000" w:rsidR="00000000" w:rsidRPr="00000000">
        <w:rPr>
          <w:rtl w:val="0"/>
        </w:rPr>
        <w:t xml:space="preserve">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