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center"/>
      </w:pPr>
      <w:r>
        <w:t>Section 1: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2: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3: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4: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5: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6: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7: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8: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9: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10: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11: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12: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13: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14: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15: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16: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17: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18: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19: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1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Section 20: Évaluation de compatibilité</w:t>
      </w:r>
    </w:p>
    <w:p>
      <w:r>
        <w:t>Cette section présente une analyse fictive des critères de compatibilité pour les LLMs. Nous incluons des tableaux et des graphiques pour tester la robustesse des outils.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Critère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</w:rPr>
              <w:t>Score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Performance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Temps de réponse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Précision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Exactitude des réponses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90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Robustesse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Gestion des erreurs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80</w:t>
            </w:r>
          </w:p>
        </w:tc>
      </w:tr>
    </w:tbl>
    <w:p>
      <w:r>
        <w:t>Graphique illustrant les scores des critères :</w:t>
      </w:r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ion_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A6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2E51AB"/>
    <w:rsid w:val="0036562D"/>
    <w:rsid w:val="004976E0"/>
    <w:rsid w:val="005A534A"/>
    <w:rsid w:val="00827C87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84C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2025-06-25T20:44:00Z</dcterms:created>
  <dcterms:modified xsi:type="dcterms:W3CDTF">2025-07-01T01:11:00Z</dcterms:modified>
</cp:coreProperties>
</file>