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undselect-pwa"/>
    <w:p>
      <w:pPr>
        <w:pStyle w:val="Heading1"/>
      </w:pPr>
      <w:r>
        <w:t xml:space="preserve">FundSelect-PWA</w:t>
      </w:r>
    </w:p>
    <w:p>
      <w:pPr>
        <w:pStyle w:val="FirstParagraph"/>
      </w:pPr>
      <w:r>
        <w:rPr>
          <w:rFonts w:hint="eastAsia"/>
        </w:rPr>
        <w:t xml:space="preserve">个人基金选基与择时辅助工具</w:t>
      </w:r>
    </w:p>
    <w:p>
      <w:r>
        <w:pict>
          <v:rect style="width:0;height:1.5pt" o:hralign="center" o:hrstd="t" o:hr="t"/>
        </w:pict>
      </w:r>
    </w:p>
    <w:bookmarkStart w:id="22" w:name="项目定位"/>
    <w:p>
      <w:pPr>
        <w:pStyle w:val="Heading2"/>
      </w:pP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FundSelect-PWA </w:t>
      </w:r>
      <w:r>
        <w:rPr>
          <w:rFonts w:hint="eastAsia"/>
        </w:rPr>
        <w:t xml:space="preserve">是一个面向个人投资者的轻量级基金分析</w:t>
      </w:r>
      <w:r>
        <w:t xml:space="preserve"> PWA。</w:t>
      </w:r>
    </w:p>
    <w:p>
      <w:pPr>
        <w:pStyle w:val="BodyText"/>
      </w:pPr>
      <w:r>
        <w:rPr>
          <w:rFonts w:hint="eastAsia"/>
        </w:rPr>
        <w:t xml:space="preserve">解决两个核心问题：</w:t>
      </w:r>
    </w:p>
    <w:bookmarkStart w:id="20" w:name="选基"/>
    <w:p>
      <w:pPr>
        <w:pStyle w:val="Heading3"/>
      </w:pPr>
      <w:r>
        <w:rPr>
          <w:rFonts w:hint="eastAsia"/>
        </w:rPr>
        <w:t xml:space="preserve">选基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lockText"/>
      </w:pPr>
      <w:r>
        <w:rPr>
          <w:rFonts w:hint="eastAsia"/>
        </w:rPr>
        <w:t xml:space="preserve">买哪只基金</w:t>
      </w:r>
    </w:p>
    <w:p>
      <w:pPr>
        <w:pStyle w:val="FirstParagraph"/>
      </w:pPr>
      <w:r>
        <w:rPr>
          <w:rFonts w:hint="eastAsia"/>
        </w:rPr>
        <w:t xml:space="preserve">通过收益、风险、基金经理等指标建立综合评分体系。</w:t>
      </w:r>
    </w:p>
    <w:p>
      <w:r>
        <w:pict>
          <v:rect style="width:0;height:1.5pt" o:hralign="center" o:hrstd="t" o:hr="t"/>
        </w:pict>
      </w:r>
    </w:p>
    <w:bookmarkEnd w:id="20"/>
    <w:bookmarkStart w:id="21" w:name="择时"/>
    <w:p>
      <w:pPr>
        <w:pStyle w:val="Heading3"/>
      </w:pPr>
      <w:r>
        <w:rPr>
          <w:rFonts w:hint="eastAsia"/>
        </w:rPr>
        <w:t xml:space="preserve">择时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lockText"/>
      </w:pPr>
      <w:r>
        <w:rPr>
          <w:rFonts w:hint="eastAsia"/>
        </w:rPr>
        <w:t xml:space="preserve">什么时候买</w:t>
      </w:r>
    </w:p>
    <w:p>
      <w:pPr>
        <w:pStyle w:val="BlockText"/>
      </w:pPr>
      <w:r>
        <w:rPr>
          <w:rFonts w:hint="eastAsia"/>
        </w:rPr>
        <w:t xml:space="preserve">什么时候卖</w:t>
      </w:r>
    </w:p>
    <w:p>
      <w:pPr>
        <w:pStyle w:val="FirstParagraph"/>
      </w:pPr>
      <w:r>
        <w:rPr>
          <w:rFonts w:hint="eastAsia"/>
        </w:rPr>
        <w:t xml:space="preserve">通过估值、趋势、情绪三个维度生成买卖信号。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不追求机构级量化平台。</w:t>
      </w:r>
    </w:p>
    <w:p>
      <w:pPr>
        <w:pStyle w:val="BodyText"/>
      </w:pPr>
      <w:r>
        <w:rPr>
          <w:rFonts w:hint="eastAsia"/>
        </w:rPr>
        <w:t xml:space="preserve">不追求自动交易。</w:t>
      </w:r>
    </w:p>
    <w:p>
      <w:pPr>
        <w:pStyle w:val="BodyText"/>
      </w:pPr>
      <w:r>
        <w:rPr>
          <w:rFonts w:hint="eastAsia"/>
        </w:rPr>
        <w:t xml:space="preserve">不追求复杂宏观预测。</w:t>
      </w:r>
    </w:p>
    <w:p>
      <w:pPr>
        <w:pStyle w:val="BodyText"/>
      </w:pPr>
      <w:r>
        <w:rPr>
          <w:rFonts w:hint="eastAsia"/>
        </w:rPr>
        <w:t xml:space="preserve">目标只有一个：</w:t>
      </w:r>
    </w:p>
    <w:p>
      <w:pPr>
        <w:pStyle w:val="BlockText"/>
      </w:pPr>
      <w:r>
        <w:rPr>
          <w:rFonts w:hint="eastAsia"/>
        </w:rPr>
        <w:t xml:space="preserve">每天打开就能快速知道：</w:t>
      </w:r>
    </w:p>
    <w:p>
      <w:pPr>
        <w:pStyle w:val="BlockText"/>
      </w:pPr>
      <w:r>
        <w:rPr>
          <w:rFonts w:hint="eastAsia"/>
        </w:rPr>
        <w:t xml:space="preserve">哪些基金值得关注</w:t>
      </w:r>
    </w:p>
    <w:p>
      <w:pPr>
        <w:pStyle w:val="BlockText"/>
      </w:pPr>
      <w:r>
        <w:rPr>
          <w:rFonts w:hint="eastAsia"/>
        </w:rPr>
        <w:t xml:space="preserve">当前适不适合买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技术栈"/>
    <w:p>
      <w:pPr>
        <w:pStyle w:val="Heading1"/>
      </w:pPr>
      <w:r>
        <w:rPr>
          <w:rFonts w:hint="eastAsia"/>
        </w:rPr>
        <w:t xml:space="preserve">技术栈</w:t>
      </w:r>
    </w:p>
    <w:bookmarkStart w:id="25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1"/>
        </w:numPr>
      </w:pPr>
      <w:r>
        <w:t xml:space="preserve">Vue 3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Pinia</w:t>
      </w:r>
    </w:p>
    <w:p>
      <w:pPr>
        <w:pStyle w:val="Compact"/>
        <w:numPr>
          <w:ilvl w:val="0"/>
          <w:numId w:val="1001"/>
        </w:numPr>
      </w:pPr>
      <w:r>
        <w:t xml:space="preserve">Vant 4</w:t>
      </w:r>
    </w:p>
    <w:p>
      <w:pPr>
        <w:pStyle w:val="Compact"/>
        <w:numPr>
          <w:ilvl w:val="0"/>
          <w:numId w:val="1001"/>
        </w:numPr>
      </w:pPr>
      <w:r>
        <w:t xml:space="preserve">ECharts</w:t>
      </w:r>
    </w:p>
    <w:p>
      <w:pPr>
        <w:pStyle w:val="Compact"/>
        <w:numPr>
          <w:ilvl w:val="0"/>
          <w:numId w:val="1001"/>
        </w:numPr>
      </w:pPr>
      <w:r>
        <w:t xml:space="preserve">vite-plugin-pwa</w:t>
      </w:r>
    </w:p>
    <w:p>
      <w:r>
        <w:pict>
          <v:rect style="width:0;height:1.5pt" o:hralign="center" o:hrstd="t" o:hr="t"/>
        </w:pict>
      </w:r>
    </w:p>
    <w:bookmarkEnd w:id="25"/>
    <w:bookmarkStart w:id="26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Python 3.12+</w:t>
      </w:r>
    </w:p>
    <w:p>
      <w:r>
        <w:pict>
          <v:rect style="width:0;height:1.5pt" o:hralign="center" o:hrstd="t" o:hr="t"/>
        </w:pict>
      </w:r>
    </w:p>
    <w:bookmarkEnd w:id="26"/>
    <w:bookmarkStart w:id="27" w:name="数据分析"/>
    <w:p>
      <w:pPr>
        <w:pStyle w:val="Heading2"/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Pandas-TA</w:t>
      </w:r>
    </w:p>
    <w:p>
      <w:r>
        <w:pict>
          <v:rect style="width:0;height:1.5pt" o:hralign="center" o:hrstd="t" o:hr="t"/>
        </w:pict>
      </w:r>
    </w:p>
    <w:bookmarkEnd w:id="27"/>
    <w:bookmarkStart w:id="28" w:name="数据源"/>
    <w:p>
      <w:pPr>
        <w:pStyle w:val="Heading2"/>
      </w:pPr>
      <w:r>
        <w:rPr>
          <w:rFonts w:hint="eastAsia"/>
        </w:rPr>
        <w:t xml:space="preserve">数据源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天天基金公开接口</w:t>
      </w:r>
    </w:p>
    <w:p>
      <w:pPr>
        <w:pStyle w:val="Compact"/>
        <w:numPr>
          <w:ilvl w:val="0"/>
          <w:numId w:val="1004"/>
        </w:numPr>
      </w:pPr>
      <w:r>
        <w:t xml:space="preserve">AKShare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Tushare（可选）</w:t>
      </w:r>
    </w:p>
    <w:p>
      <w:r>
        <w:pict>
          <v:rect style="width:0;height:1.5pt" o:hralign="center" o:hrstd="t" o:hr="t"/>
        </w:pict>
      </w:r>
    </w:p>
    <w:bookmarkEnd w:id="28"/>
    <w:bookmarkStart w:id="29" w:name="存储"/>
    <w:p>
      <w:pPr>
        <w:pStyle w:val="Heading2"/>
      </w:pPr>
      <w:r>
        <w:rPr>
          <w:rFonts w:hint="eastAsia"/>
        </w:rPr>
        <w:t xml:space="preserve">存储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IndexedDB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0" w:name="功能规划"/>
    <w:p>
      <w:pPr>
        <w:pStyle w:val="Heading1"/>
      </w:pPr>
      <w:r>
        <w:rPr>
          <w:rFonts w:hint="eastAsia"/>
        </w:rPr>
        <w:t xml:space="preserve">功能规划</w:t>
      </w:r>
    </w:p>
    <w:bookmarkStart w:id="48" w:name="v1-核心功能"/>
    <w:p>
      <w:pPr>
        <w:pStyle w:val="Heading2"/>
      </w:pPr>
      <w:r>
        <w:t xml:space="preserve">V1 </w:t>
      </w:r>
      <w:r>
        <w:rPr>
          <w:rFonts w:hint="eastAsia"/>
        </w:rPr>
        <w:t xml:space="preserve">核心功能</w:t>
      </w:r>
    </w:p>
    <w:bookmarkStart w:id="31" w:name="基金筛选"/>
    <w:p>
      <w:pPr>
        <w:pStyle w:val="Heading3"/>
      </w:pPr>
      <w:r>
        <w:t xml:space="preserve">1. </w:t>
      </w:r>
      <w:r>
        <w:rPr>
          <w:rFonts w:hint="eastAsia"/>
        </w:rPr>
        <w:t xml:space="preserve">基金筛选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股票型基金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混合型基金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指数基金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ETF联接基金</w:t>
      </w:r>
    </w:p>
    <w:p>
      <w:pPr>
        <w:pStyle w:val="FirstParagraph"/>
      </w:pPr>
      <w:r>
        <w:rPr>
          <w:rFonts w:hint="eastAsia"/>
        </w:rPr>
        <w:t xml:space="preserve">筛选条件：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基金类型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成立时间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基金规模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管理费率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基金经理任期</w:t>
      </w:r>
    </w:p>
    <w:p>
      <w:r>
        <w:pict>
          <v:rect style="width:0;height:1.5pt" o:hralign="center" o:hrstd="t" o:hr="t"/>
        </w:pict>
      </w:r>
    </w:p>
    <w:bookmarkEnd w:id="31"/>
    <w:bookmarkStart w:id="36" w:name="基金评分"/>
    <w:p>
      <w:pPr>
        <w:pStyle w:val="Heading3"/>
      </w:pPr>
      <w:r>
        <w:t xml:space="preserve">2. </w:t>
      </w:r>
      <w:r>
        <w:rPr>
          <w:rFonts w:hint="eastAsia"/>
        </w:rPr>
        <w:t xml:space="preserve">基金评分</w:t>
      </w:r>
    </w:p>
    <w:p>
      <w:pPr>
        <w:pStyle w:val="FirstParagraph"/>
      </w:pPr>
      <w:r>
        <w:rPr>
          <w:rFonts w:hint="eastAsia"/>
        </w:rPr>
        <w:t xml:space="preserve">参考晨星评分思想。</w:t>
      </w:r>
    </w:p>
    <w:p>
      <w:pPr>
        <w:pStyle w:val="BodyText"/>
      </w:pPr>
      <w:r>
        <w:rPr>
          <w:rFonts w:hint="eastAsia"/>
        </w:rPr>
        <w:t xml:space="preserve">评分区间：</w:t>
      </w:r>
    </w:p>
    <w:p>
      <w:pPr>
        <w:pStyle w:val="BodyText"/>
      </w:pPr>
      <w:r>
        <w:rPr>
          <w:rFonts w:hint="eastAsia"/>
        </w:rPr>
        <w:t xml:space="preserve">0～100分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评分维度：</w:t>
      </w:r>
    </w:p>
    <w:bookmarkStart w:id="32" w:name="收益能力40"/>
    <w:p>
      <w:pPr>
        <w:pStyle w:val="Heading4"/>
      </w:pPr>
      <w:r>
        <w:rPr>
          <w:rFonts w:hint="eastAsia"/>
        </w:rPr>
        <w:t xml:space="preserve">收益能力（40%）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近1年收益率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近3年收益率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同类排名</w:t>
      </w:r>
    </w:p>
    <w:p>
      <w:r>
        <w:pict>
          <v:rect style="width:0;height:1.5pt" o:hralign="center" o:hrstd="t" o:hr="t"/>
        </w:pict>
      </w:r>
    </w:p>
    <w:bookmarkEnd w:id="32"/>
    <w:bookmarkStart w:id="33" w:name="风险控制30"/>
    <w:p>
      <w:pPr>
        <w:pStyle w:val="Heading4"/>
      </w:pPr>
      <w:r>
        <w:rPr>
          <w:rFonts w:hint="eastAsia"/>
        </w:rPr>
        <w:t xml:space="preserve">风险控制（30%）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最大回撤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波动率</w:t>
      </w:r>
    </w:p>
    <w:p>
      <w:r>
        <w:pict>
          <v:rect style="width:0;height:1.5pt" o:hralign="center" o:hrstd="t" o:hr="t"/>
        </w:pict>
      </w:r>
    </w:p>
    <w:bookmarkEnd w:id="33"/>
    <w:bookmarkStart w:id="34" w:name="管理能力20"/>
    <w:p>
      <w:pPr>
        <w:pStyle w:val="Heading4"/>
      </w:pPr>
      <w:r>
        <w:rPr>
          <w:rFonts w:hint="eastAsia"/>
        </w:rPr>
        <w:t xml:space="preserve">管理能力（20%）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基金经理任期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历史管理业绩</w:t>
      </w:r>
    </w:p>
    <w:p>
      <w:r>
        <w:pict>
          <v:rect style="width:0;height:1.5pt" o:hralign="center" o:hrstd="t" o:hr="t"/>
        </w:pict>
      </w:r>
    </w:p>
    <w:bookmarkEnd w:id="34"/>
    <w:bookmarkStart w:id="35" w:name="成本因素10"/>
    <w:p>
      <w:pPr>
        <w:pStyle w:val="Heading4"/>
      </w:pPr>
      <w:r>
        <w:rPr>
          <w:rFonts w:hint="eastAsia"/>
        </w:rPr>
        <w:t xml:space="preserve">成本因素（10%）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管理费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托管费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综合评分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同类排名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五星评级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自选基金池"/>
    <w:p>
      <w:pPr>
        <w:pStyle w:val="Heading3"/>
      </w:pPr>
      <w:r>
        <w:t xml:space="preserve">3. </w:t>
      </w:r>
      <w:r>
        <w:rPr>
          <w:rFonts w:hint="eastAsia"/>
        </w:rPr>
        <w:t xml:space="preserve">自选基金池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添加基金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删除基金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收藏基金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当前净值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今日涨跌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综合评分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买卖信号</w:t>
      </w:r>
    </w:p>
    <w:p>
      <w:r>
        <w:pict>
          <v:rect style="width:0;height:1.5pt" o:hralign="center" o:hrstd="t" o:hr="t"/>
        </w:pict>
      </w:r>
    </w:p>
    <w:bookmarkEnd w:id="37"/>
    <w:bookmarkStart w:id="38" w:name="基金对比"/>
    <w:p>
      <w:pPr>
        <w:pStyle w:val="Heading3"/>
      </w:pPr>
      <w:r>
        <w:t xml:space="preserve">4. </w:t>
      </w:r>
      <w:r>
        <w:rPr>
          <w:rFonts w:hint="eastAsia"/>
        </w:rPr>
        <w:t xml:space="preserve">基金对比</w:t>
      </w:r>
    </w:p>
    <w:p>
      <w:pPr>
        <w:pStyle w:val="FirstParagraph"/>
      </w:pPr>
      <w:r>
        <w:rPr>
          <w:rFonts w:hint="eastAsia"/>
        </w:rPr>
        <w:t xml:space="preserve">支持同时对比：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2只基金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3只基金</w:t>
      </w:r>
    </w:p>
    <w:p>
      <w:pPr>
        <w:pStyle w:val="FirstParagraph"/>
      </w:pPr>
      <w:r>
        <w:rPr>
          <w:rFonts w:hint="eastAsia"/>
        </w:rPr>
        <w:t xml:space="preserve">对比维度：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收益率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最大回撤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波动率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夏普比率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基金规模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基金经理</w:t>
      </w:r>
    </w:p>
    <w:p>
      <w:r>
        <w:pict>
          <v:rect style="width:0;height:1.5pt" o:hralign="center" o:hrstd="t" o:hr="t"/>
        </w:pict>
      </w:r>
    </w:p>
    <w:bookmarkEnd w:id="38"/>
    <w:bookmarkStart w:id="42" w:name="择时系统"/>
    <w:p>
      <w:pPr>
        <w:pStyle w:val="Heading3"/>
      </w:pPr>
      <w:r>
        <w:t xml:space="preserve">5. </w:t>
      </w:r>
      <w:r>
        <w:rPr>
          <w:rFonts w:hint="eastAsia"/>
        </w:rPr>
        <w:t xml:space="preserve">择时系统</w:t>
      </w:r>
    </w:p>
    <w:p>
      <w:pPr>
        <w:pStyle w:val="FirstParagraph"/>
      </w:pPr>
      <w:r>
        <w:rPr>
          <w:rFonts w:hint="eastAsia"/>
        </w:rPr>
        <w:t xml:space="preserve">采用三层信号模型。</w:t>
      </w:r>
    </w:p>
    <w:p>
      <w:r>
        <w:pict>
          <v:rect style="width:0;height:1.5pt" o:hralign="center" o:hrstd="t" o:hr="t"/>
        </w:pict>
      </w:r>
    </w:p>
    <w:bookmarkStart w:id="39" w:name="第一层估值"/>
    <w:p>
      <w:pPr>
        <w:pStyle w:val="Heading4"/>
      </w:pPr>
      <w:r>
        <w:rPr>
          <w:rFonts w:hint="eastAsia"/>
        </w:rPr>
        <w:t xml:space="preserve">第一层：估值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PE百分位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PB百分位</w:t>
      </w:r>
    </w:p>
    <w:p>
      <w:pPr>
        <w:pStyle w:val="FirstParagraph"/>
      </w:pPr>
      <w:r>
        <w:rPr>
          <w:rFonts w:hint="eastAsia"/>
        </w:rPr>
        <w:t xml:space="preserve">信号：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低估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高估</w:t>
      </w:r>
    </w:p>
    <w:p>
      <w:r>
        <w:pict>
          <v:rect style="width:0;height:1.5pt" o:hralign="center" o:hrstd="t" o:hr="t"/>
        </w:pict>
      </w:r>
    </w:p>
    <w:bookmarkEnd w:id="39"/>
    <w:bookmarkStart w:id="40" w:name="第二层趋势"/>
    <w:p>
      <w:pPr>
        <w:pStyle w:val="Heading4"/>
      </w:pPr>
      <w:r>
        <w:rPr>
          <w:rFonts w:hint="eastAsia"/>
        </w:rPr>
        <w:t xml:space="preserve">第二层：趋势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19"/>
        </w:numPr>
      </w:pPr>
      <w:r>
        <w:t xml:space="preserve">MA20</w:t>
      </w:r>
    </w:p>
    <w:p>
      <w:pPr>
        <w:pStyle w:val="Compact"/>
        <w:numPr>
          <w:ilvl w:val="0"/>
          <w:numId w:val="1019"/>
        </w:numPr>
      </w:pPr>
      <w:r>
        <w:t xml:space="preserve">MA60</w:t>
      </w:r>
    </w:p>
    <w:p>
      <w:pPr>
        <w:pStyle w:val="Compact"/>
        <w:numPr>
          <w:ilvl w:val="0"/>
          <w:numId w:val="1019"/>
        </w:numPr>
      </w:pPr>
      <w:r>
        <w:t xml:space="preserve">MA120</w:t>
      </w:r>
    </w:p>
    <w:p>
      <w:pPr>
        <w:pStyle w:val="FirstParagraph"/>
      </w:pPr>
      <w:r>
        <w:rPr>
          <w:rFonts w:hint="eastAsia"/>
        </w:rPr>
        <w:t xml:space="preserve">信号：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上升趋势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横盘趋势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下降趋势</w:t>
      </w:r>
    </w:p>
    <w:p>
      <w:r>
        <w:pict>
          <v:rect style="width:0;height:1.5pt" o:hralign="center" o:hrstd="t" o:hr="t"/>
        </w:pict>
      </w:r>
    </w:p>
    <w:bookmarkEnd w:id="40"/>
    <w:bookmarkStart w:id="41" w:name="第三层情绪"/>
    <w:p>
      <w:pPr>
        <w:pStyle w:val="Heading4"/>
      </w:pPr>
      <w:r>
        <w:rPr>
          <w:rFonts w:hint="eastAsia"/>
        </w:rPr>
        <w:t xml:space="preserve">第三层：情绪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21"/>
        </w:numPr>
      </w:pPr>
      <w:r>
        <w:t xml:space="preserve">RSI</w:t>
      </w:r>
    </w:p>
    <w:p>
      <w:pPr>
        <w:pStyle w:val="FirstParagraph"/>
      </w:pPr>
      <w:r>
        <w:rPr>
          <w:rFonts w:hint="eastAsia"/>
        </w:rPr>
        <w:t xml:space="preserve">信号：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超卖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超买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信号合成"/>
    <w:p>
      <w:pPr>
        <w:pStyle w:val="Heading3"/>
      </w:pPr>
      <w:r>
        <w:rPr>
          <w:rFonts w:hint="eastAsia"/>
        </w:rPr>
        <w:t xml:space="preserve">信号合成</w:t>
      </w:r>
    </w:p>
    <w:p>
      <w:pPr>
        <w:pStyle w:val="FirstParagraph"/>
      </w:pPr>
      <w:r>
        <w:rPr>
          <w:rFonts w:hint="eastAsia"/>
        </w:rPr>
        <w:t xml:space="preserve">最终输出：</w:t>
      </w:r>
    </w:p>
    <w:bookmarkStart w:id="43" w:name="买入"/>
    <w:p>
      <w:pPr>
        <w:pStyle w:val="Heading4"/>
      </w:pPr>
      <w:r>
        <w:rPr>
          <w:rFonts w:hint="eastAsia"/>
        </w:rPr>
        <w:t xml:space="preserve">买入</w:t>
      </w:r>
    </w:p>
    <w:p>
      <w:pPr>
        <w:pStyle w:val="FirstParagraph"/>
      </w:pPr>
      <w:r>
        <w:rPr>
          <w:rFonts w:hint="eastAsia"/>
        </w:rPr>
        <w:t xml:space="preserve">适合分批建仓</w:t>
      </w:r>
    </w:p>
    <w:p>
      <w:r>
        <w:pict>
          <v:rect style="width:0;height:1.5pt" o:hralign="center" o:hrstd="t" o:hr="t"/>
        </w:pict>
      </w:r>
    </w:p>
    <w:bookmarkEnd w:id="43"/>
    <w:bookmarkStart w:id="44" w:name="定投"/>
    <w:p>
      <w:pPr>
        <w:pStyle w:val="Heading4"/>
      </w:pPr>
      <w:r>
        <w:rPr>
          <w:rFonts w:hint="eastAsia"/>
        </w:rPr>
        <w:t xml:space="preserve">定投</w:t>
      </w:r>
    </w:p>
    <w:p>
      <w:pPr>
        <w:pStyle w:val="FirstParagraph"/>
      </w:pPr>
      <w:r>
        <w:rPr>
          <w:rFonts w:hint="eastAsia"/>
        </w:rPr>
        <w:t xml:space="preserve">适合持续买入</w:t>
      </w:r>
    </w:p>
    <w:p>
      <w:r>
        <w:pict>
          <v:rect style="width:0;height:1.5pt" o:hralign="center" o:hrstd="t" o:hr="t"/>
        </w:pict>
      </w:r>
    </w:p>
    <w:bookmarkEnd w:id="44"/>
    <w:bookmarkStart w:id="45" w:name="持有"/>
    <w:p>
      <w:pPr>
        <w:pStyle w:val="Heading4"/>
      </w:pPr>
      <w:r>
        <w:rPr>
          <w:rFonts w:hint="eastAsia"/>
        </w:rPr>
        <w:t xml:space="preserve">持有</w:t>
      </w:r>
    </w:p>
    <w:p>
      <w:pPr>
        <w:pStyle w:val="FirstParagraph"/>
      </w:pPr>
      <w:r>
        <w:rPr>
          <w:rFonts w:hint="eastAsia"/>
        </w:rPr>
        <w:t xml:space="preserve">继续观察</w:t>
      </w:r>
    </w:p>
    <w:p>
      <w:r>
        <w:pict>
          <v:rect style="width:0;height:1.5pt" o:hralign="center" o:hrstd="t" o:hr="t"/>
        </w:pict>
      </w:r>
    </w:p>
    <w:bookmarkEnd w:id="45"/>
    <w:bookmarkStart w:id="46" w:name="减仓"/>
    <w:p>
      <w:pPr>
        <w:pStyle w:val="Heading4"/>
      </w:pPr>
      <w:r>
        <w:rPr>
          <w:rFonts w:hint="eastAsia"/>
        </w:rPr>
        <w:t xml:space="preserve">减仓</w:t>
      </w:r>
    </w:p>
    <w:p>
      <w:pPr>
        <w:pStyle w:val="FirstParagraph"/>
      </w:pPr>
      <w:r>
        <w:rPr>
          <w:rFonts w:hint="eastAsia"/>
        </w:rPr>
        <w:t xml:space="preserve">逐步落袋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pwa能力"/>
    <w:p>
      <w:pPr>
        <w:pStyle w:val="Heading2"/>
      </w:pPr>
      <w:r>
        <w:t xml:space="preserve">6. </w:t>
      </w:r>
      <w:r>
        <w:rPr>
          <w:rFonts w:hint="eastAsia"/>
        </w:rPr>
        <w:t xml:space="preserve">PWA能力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手机安装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桌面安装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离线访问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本地缓存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24"/>
        </w:numPr>
      </w:pPr>
      <w:r>
        <w:t xml:space="preserve">Service Worker</w:t>
      </w:r>
    </w:p>
    <w:p>
      <w:pPr>
        <w:pStyle w:val="Compact"/>
        <w:numPr>
          <w:ilvl w:val="0"/>
          <w:numId w:val="1024"/>
        </w:numPr>
      </w:pPr>
      <w:r>
        <w:t xml:space="preserve">IndexedDB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5"/>
        </w:numPr>
      </w:pPr>
      <w:r>
        <w:t xml:space="preserve">vite-plugin-pwa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页面设计"/>
    <w:p>
      <w:pPr>
        <w:pStyle w:val="Heading1"/>
      </w:pPr>
      <w:r>
        <w:rPr>
          <w:rFonts w:hint="eastAsia"/>
        </w:rPr>
        <w:t xml:space="preserve">页面设计</w:t>
      </w:r>
    </w:p>
    <w:p>
      <w:r>
        <w:pict>
          <v:rect style="width:0;height:1.5pt" o:hralign="center" o:hrstd="t" o:hr="t"/>
        </w:pict>
      </w:r>
    </w:p>
    <w:bookmarkStart w:id="51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市场温度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当前择时信号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推荐基金TOP10</w:t>
      </w:r>
    </w:p>
    <w:p>
      <w:r>
        <w:pict>
          <v:rect style="width:0;height:1.5pt" o:hralign="center" o:hrstd="t" o:hr="t"/>
        </w:pict>
      </w:r>
    </w:p>
    <w:bookmarkEnd w:id="51"/>
    <w:bookmarkStart w:id="52" w:name="选基页"/>
    <w:p>
      <w:pPr>
        <w:pStyle w:val="Heading2"/>
      </w:pPr>
      <w:r>
        <w:rPr>
          <w:rFonts w:hint="eastAsia"/>
        </w:rPr>
        <w:t xml:space="preserve">选基页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条件筛选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排名列表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基金名称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综合评分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五星评级</w:t>
      </w:r>
    </w:p>
    <w:p>
      <w:r>
        <w:pict>
          <v:rect style="width:0;height:1.5pt" o:hralign="center" o:hrstd="t" o:hr="t"/>
        </w:pict>
      </w:r>
    </w:p>
    <w:bookmarkEnd w:id="52"/>
    <w:bookmarkStart w:id="53" w:name="自选页"/>
    <w:p>
      <w:pPr>
        <w:pStyle w:val="Heading2"/>
      </w:pPr>
      <w:r>
        <w:rPr>
          <w:rFonts w:hint="eastAsia"/>
        </w:rPr>
        <w:t xml:space="preserve">自选页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自选基金列表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买卖信号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涨跌情况</w:t>
      </w:r>
    </w:p>
    <w:p>
      <w:r>
        <w:pict>
          <v:rect style="width:0;height:1.5pt" o:hralign="center" o:hrstd="t" o:hr="t"/>
        </w:pict>
      </w:r>
    </w:p>
    <w:bookmarkEnd w:id="53"/>
    <w:bookmarkStart w:id="54" w:name="基金详情页"/>
    <w:p>
      <w:pPr>
        <w:pStyle w:val="Heading2"/>
      </w:pPr>
      <w:r>
        <w:rPr>
          <w:rFonts w:hint="eastAsia"/>
        </w:rPr>
        <w:t xml:space="preserve">基金详情页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净值走势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收益曲线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风险指标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评分明细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当前信号</w:t>
      </w:r>
    </w:p>
    <w:p>
      <w:r>
        <w:pict>
          <v:rect style="width:0;height:1.5pt" o:hralign="center" o:hrstd="t" o:hr="t"/>
        </w:pict>
      </w:r>
    </w:p>
    <w:bookmarkEnd w:id="54"/>
    <w:bookmarkStart w:id="55" w:name="对比页"/>
    <w:p>
      <w:pPr>
        <w:pStyle w:val="Heading2"/>
      </w:pPr>
      <w:r>
        <w:rPr>
          <w:rFonts w:hint="eastAsia"/>
        </w:rPr>
        <w:t xml:space="preserve">对比页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多基金横向比较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api设计"/>
    <w:p>
      <w:pPr>
        <w:pStyle w:val="Heading1"/>
      </w:pPr>
      <w:r>
        <w:rPr>
          <w:rFonts w:hint="eastAsia"/>
        </w:rPr>
        <w:t xml:space="preserve">API设计</w:t>
      </w:r>
    </w:p>
    <w:bookmarkStart w:id="57" w:name="基金列表"/>
    <w:p>
      <w:pPr>
        <w:pStyle w:val="Heading2"/>
      </w:pPr>
      <w:r>
        <w:rPr>
          <w:rFonts w:hint="eastAsia"/>
        </w:rPr>
        <w:t xml:space="preserve">基金列表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/api/funds</w:t>
      </w:r>
    </w:p>
    <w:p>
      <w:r>
        <w:pict>
          <v:rect style="width:0;height:1.5pt" o:hralign="center" o:hrstd="t" o:hr="t"/>
        </w:pict>
      </w:r>
    </w:p>
    <w:bookmarkEnd w:id="57"/>
    <w:bookmarkStart w:id="58" w:name="基金详情"/>
    <w:p>
      <w:pPr>
        <w:pStyle w:val="Heading2"/>
      </w:pPr>
      <w:r>
        <w:rPr>
          <w:rFonts w:hint="eastAsia"/>
        </w:rPr>
        <w:t xml:space="preserve">基金详情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/api/fund/{code}</w:t>
      </w:r>
    </w:p>
    <w:p>
      <w:r>
        <w:pict>
          <v:rect style="width:0;height:1.5pt" o:hralign="center" o:hrstd="t" o:hr="t"/>
        </w:pict>
      </w:r>
    </w:p>
    <w:bookmarkEnd w:id="58"/>
    <w:bookmarkStart w:id="59" w:name="基金评分-1"/>
    <w:p>
      <w:pPr>
        <w:pStyle w:val="Heading2"/>
      </w:pPr>
      <w:r>
        <w:rPr>
          <w:rFonts w:hint="eastAsia"/>
        </w:rPr>
        <w:t xml:space="preserve">基金评分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/api/fund/{code}/score</w:t>
      </w:r>
    </w:p>
    <w:p>
      <w:r>
        <w:pict>
          <v:rect style="width:0;height:1.5pt" o:hralign="center" o:hrstd="t" o:hr="t"/>
        </w:pict>
      </w:r>
    </w:p>
    <w:bookmarkEnd w:id="59"/>
    <w:bookmarkStart w:id="60" w:name="择时信号"/>
    <w:p>
      <w:pPr>
        <w:pStyle w:val="Heading2"/>
      </w:pPr>
      <w:r>
        <w:rPr>
          <w:rFonts w:hint="eastAsia"/>
        </w:rPr>
        <w:t xml:space="preserve">择时信号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/api/fund/{code}/signal</w:t>
      </w:r>
    </w:p>
    <w:p>
      <w:r>
        <w:pict>
          <v:rect style="width:0;height:1.5pt" o:hralign="center" o:hrstd="t" o:hr="t"/>
        </w:pict>
      </w:r>
    </w:p>
    <w:bookmarkEnd w:id="60"/>
    <w:bookmarkStart w:id="61" w:name="自选基金"/>
    <w:p>
      <w:pPr>
        <w:pStyle w:val="Heading2"/>
      </w:pPr>
      <w:r>
        <w:rPr>
          <w:rFonts w:hint="eastAsia"/>
        </w:rPr>
        <w:t xml:space="preserve">自选基金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/api/watchlist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/api/watchlist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/api/watchlist/{code}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项目目录"/>
    <w:p>
      <w:pPr>
        <w:pStyle w:val="Heading1"/>
      </w:pPr>
      <w:r>
        <w:rPr>
          <w:rFonts w:hint="eastAsia"/>
        </w:rPr>
        <w:t xml:space="preserve">项目目录</w:t>
      </w:r>
    </w:p>
    <w:p>
      <w:pPr>
        <w:pStyle w:val="SourceCode"/>
      </w:pPr>
      <w:r>
        <w:rPr>
          <w:rStyle w:val="VerbatimChar"/>
        </w:rPr>
        <w:t xml:space="preserve">fundselect-pwa/</w:t>
      </w:r>
      <w:r>
        <w:br/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├── strategy/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bookmarkEnd w:id="63"/>
    <w:bookmarkStart w:id="67" w:name="部署方案"/>
    <w:p>
      <w:pPr>
        <w:pStyle w:val="Heading1"/>
      </w:pPr>
      <w:r>
        <w:rPr>
          <w:rFonts w:hint="eastAsia"/>
        </w:rPr>
        <w:t xml:space="preserve">部署方案</w:t>
      </w:r>
    </w:p>
    <w:bookmarkStart w:id="64" w:name="前端-1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t xml:space="preserve">GitHub Pages</w:t>
      </w:r>
    </w:p>
    <w:p>
      <w:pPr>
        <w:pStyle w:val="BodyText"/>
      </w:pPr>
      <w:r>
        <w:rPr>
          <w:rFonts w:hint="eastAsia"/>
        </w:rPr>
        <w:t xml:space="preserve">自动部署：</w:t>
      </w:r>
    </w:p>
    <w:p>
      <w:pPr>
        <w:pStyle w:val="BodyText"/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64"/>
    <w:bookmarkStart w:id="65" w:name="后端-1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部署任选：</w:t>
      </w:r>
    </w:p>
    <w:p>
      <w:pPr>
        <w:pStyle w:val="Compact"/>
        <w:numPr>
          <w:ilvl w:val="0"/>
          <w:numId w:val="1032"/>
        </w:numPr>
      </w:pPr>
      <w:r>
        <w:t xml:space="preserve">Railway</w:t>
      </w:r>
    </w:p>
    <w:p>
      <w:pPr>
        <w:pStyle w:val="Compact"/>
        <w:numPr>
          <w:ilvl w:val="0"/>
          <w:numId w:val="1032"/>
        </w:numPr>
      </w:pPr>
      <w:r>
        <w:t xml:space="preserve">Render</w:t>
      </w:r>
    </w:p>
    <w:p>
      <w:r>
        <w:pict>
          <v:rect style="width:0;height:1.5pt" o:hralign="center" o:hrstd="t" o:hr="t"/>
        </w:pict>
      </w:r>
    </w:p>
    <w:bookmarkEnd w:id="65"/>
    <w:bookmarkStart w:id="66" w:name="数据库"/>
    <w:p>
      <w:pPr>
        <w:pStyle w:val="Heading2"/>
      </w:pPr>
      <w:r>
        <w:rPr>
          <w:rFonts w:hint="eastAsia"/>
        </w:rPr>
        <w:t xml:space="preserve">数据库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rPr>
          <w:rFonts w:hint="eastAsia"/>
        </w:rPr>
        <w:t xml:space="preserve">无需额外服务器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后续规划v2"/>
    <w:p>
      <w:pPr>
        <w:pStyle w:val="Heading1"/>
      </w:pPr>
      <w:r>
        <w:rPr>
          <w:rFonts w:hint="eastAsia"/>
        </w:rPr>
        <w:t xml:space="preserve">后续规划（V2）</w:t>
      </w:r>
    </w:p>
    <w:p>
      <w:pPr>
        <w:pStyle w:val="FirstParagraph"/>
      </w:pPr>
      <w:r>
        <w:rPr>
          <w:rFonts w:hint="eastAsia"/>
        </w:rPr>
        <w:t xml:space="preserve">暂不开发。</w:t>
      </w:r>
    </w:p>
    <w:p>
      <w:pPr>
        <w:pStyle w:val="BodyText"/>
      </w:pPr>
      <w:r>
        <w:rPr>
          <w:rFonts w:hint="eastAsia"/>
        </w:rPr>
        <w:t xml:space="preserve">待V1稳定后考虑：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回测系统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基金组合分析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定投计算器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消息推送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AI基金解读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多账户资产管理</w:t>
      </w:r>
    </w:p>
    <w:p>
      <w:r>
        <w:pict>
          <v:rect style="width:0;height:1.5pt" o:hralign="center" o:hrstd="t" o:hr="t"/>
        </w:pict>
      </w:r>
    </w:p>
    <w:bookmarkEnd w:id="68"/>
    <w:bookmarkStart w:id="69" w:name="风险提示"/>
    <w:p>
      <w:pPr>
        <w:pStyle w:val="Heading1"/>
      </w:pPr>
      <w:r>
        <w:rPr>
          <w:rFonts w:hint="eastAsia"/>
        </w:rPr>
        <w:t xml:space="preserve">风险提示</w:t>
      </w:r>
    </w:p>
    <w:p>
      <w:pPr>
        <w:pStyle w:val="FirstParagraph"/>
      </w:pPr>
      <w:r>
        <w:rPr>
          <w:rFonts w:hint="eastAsia"/>
        </w:rPr>
        <w:t xml:space="preserve">本项目仅供个人学习与投资辅助使用。</w:t>
      </w:r>
    </w:p>
    <w:p>
      <w:pPr>
        <w:pStyle w:val="BodyText"/>
      </w:pPr>
      <w:r>
        <w:rPr>
          <w:rFonts w:hint="eastAsia"/>
        </w:rPr>
        <w:t xml:space="preserve">所有评分、信号和分析结果均基于历史数据计算。</w:t>
      </w:r>
    </w:p>
    <w:p>
      <w:pPr>
        <w:pStyle w:val="BodyText"/>
      </w:pPr>
      <w:r>
        <w:rPr>
          <w:rFonts w:hint="eastAsia"/>
        </w:rPr>
        <w:t xml:space="preserve">不构成任何投资建议。</w:t>
      </w:r>
    </w:p>
    <w:p>
      <w:pPr>
        <w:pStyle w:val="BodyText"/>
      </w:pPr>
      <w:r>
        <w:rPr>
          <w:rFonts w:hint="eastAsia"/>
        </w:rPr>
        <w:t xml:space="preserve">投资有风险，决策需谨慎。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2026-06-25T16:28:21Z</dcterms:created>
  <dcterms:modified xsi:type="dcterms:W3CDTF">2026-06-25T16:28:21Z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