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680" w:rsidRDefault="009B183B">
      <w:r>
        <w:t>Aurelle Kamga</w:t>
      </w:r>
    </w:p>
    <w:p w:rsidR="00DF508B" w:rsidRDefault="00DF508B">
      <w:r>
        <w:t>Economics Student- Data Analysis</w:t>
      </w:r>
    </w:p>
    <w:p w:rsidR="00DF508B" w:rsidRDefault="00DF508B"/>
    <w:p w:rsidR="009B183B" w:rsidRDefault="009B183B"/>
    <w:p w:rsidR="009B183B" w:rsidRDefault="009B183B"/>
    <w:p w:rsidR="009B183B" w:rsidRPr="009B183B" w:rsidRDefault="009B183B" w:rsidP="009B1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9B183B">
        <w:rPr>
          <w:rFonts w:ascii="Times New Roman" w:eastAsia="Times New Roman" w:hAnsi="Times New Roman" w:cs="Times New Roman"/>
          <w:b/>
          <w:bCs/>
          <w:kern w:val="36"/>
          <w:sz w:val="48"/>
          <w:szCs w:val="48"/>
          <w:lang w:eastAsia="de-DE"/>
        </w:rPr>
        <w:t>Inflation Analysis in Major European Economies (2025)</w:t>
      </w: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Project Objective</w:t>
      </w:r>
    </w:p>
    <w:p w:rsid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This project analyzes the evolution of inflation rates in major euro area economies using official macroeconomic data. The objective is to compare inflation dynamics across Germany, Spain, France and Italy and identify differences in price developments during 2025.</w:t>
      </w:r>
    </w:p>
    <w:p w:rsid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p>
    <w:p w:rsidR="00DF508B" w:rsidRDefault="009B183B" w:rsidP="00DF508B">
      <w:pPr>
        <w:keepNext/>
        <w:spacing w:before="100" w:beforeAutospacing="1" w:after="100" w:afterAutospacing="1" w:line="240" w:lineRule="auto"/>
      </w:pPr>
      <w:r>
        <w:rPr>
          <w:noProof/>
          <w:lang w:eastAsia="de-DE"/>
        </w:rPr>
        <w:drawing>
          <wp:inline distT="0" distB="0" distL="0" distR="0" wp14:anchorId="0F383006" wp14:editId="79970442">
            <wp:extent cx="5760720" cy="1866265"/>
            <wp:effectExtent l="0" t="0" r="11430" b="635"/>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B183B" w:rsidRPr="009B183B" w:rsidRDefault="00DF508B" w:rsidP="00DF508B">
      <w:pPr>
        <w:pStyle w:val="Beschriftung"/>
        <w:rPr>
          <w:rFonts w:ascii="Times New Roman" w:eastAsia="Times New Roman" w:hAnsi="Times New Roman" w:cs="Times New Roman"/>
          <w:sz w:val="24"/>
          <w:szCs w:val="24"/>
          <w:lang w:eastAsia="de-DE"/>
        </w:rPr>
      </w:pPr>
      <w:r>
        <w:t xml:space="preserve">Figure </w:t>
      </w:r>
      <w:r>
        <w:fldChar w:fldCharType="begin"/>
      </w:r>
      <w:r>
        <w:instrText xml:space="preserve"> SEQ Figure \* ARABIC </w:instrText>
      </w:r>
      <w:r>
        <w:fldChar w:fldCharType="separate"/>
      </w:r>
      <w:r>
        <w:rPr>
          <w:noProof/>
        </w:rPr>
        <w:t>1</w:t>
      </w:r>
      <w:r>
        <w:fldChar w:fldCharType="end"/>
      </w:r>
      <w:r>
        <w:t>: Inflation Rate(HICP)-Germany, Spain, France, Italy</w:t>
      </w:r>
    </w:p>
    <w:p w:rsid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Data Source</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The dataset used for this analysis is the Harmonised Index of Consumer Prices (HICP), obtained from Eurostat.</w:t>
      </w:r>
      <w:r w:rsidRPr="009B183B">
        <w:rPr>
          <w:rFonts w:ascii="Times New Roman" w:eastAsia="Times New Roman" w:hAnsi="Times New Roman" w:cs="Times New Roman"/>
          <w:sz w:val="24"/>
          <w:szCs w:val="24"/>
          <w:lang w:eastAsia="de-DE"/>
        </w:rPr>
        <w:br/>
        <w:t>The HICP measures the annual rate of change in consumer prices and is widely used to assess inflation across European Union countries.</w:t>
      </w:r>
    </w:p>
    <w:p w:rsidR="009B183B" w:rsidRP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Tools Used</w:t>
      </w:r>
    </w:p>
    <w:p w:rsidR="009B183B" w:rsidRPr="009B183B" w:rsidRDefault="009B183B" w:rsidP="009B18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Microsoft Excel</w:t>
      </w:r>
    </w:p>
    <w:p w:rsidR="009B183B" w:rsidRPr="009B183B" w:rsidRDefault="009B183B" w:rsidP="009B18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lastRenderedPageBreak/>
        <w:t>Data visualization techniques</w:t>
      </w:r>
    </w:p>
    <w:p w:rsidR="009B183B" w:rsidRPr="009B183B" w:rsidRDefault="009B183B" w:rsidP="009B183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Macroeconomic data analysis</w:t>
      </w:r>
    </w:p>
    <w:p w:rsidR="009B183B" w:rsidRP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Methodology</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The analysis followed several steps:</w:t>
      </w:r>
    </w:p>
    <w:p w:rsidR="009B183B" w:rsidRPr="009B183B" w:rsidRDefault="009B183B" w:rsidP="009B1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Selection of HICP monthly inflation data from Eurostat.</w:t>
      </w:r>
    </w:p>
    <w:p w:rsidR="009B183B" w:rsidRPr="009B183B" w:rsidRDefault="009B183B" w:rsidP="009B1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Cleaning and structuring the dataset in Excel.</w:t>
      </w:r>
    </w:p>
    <w:p w:rsidR="009B183B" w:rsidRPr="009B183B" w:rsidRDefault="009B183B" w:rsidP="009B1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Organizing the data by country and time period.</w:t>
      </w:r>
    </w:p>
    <w:p w:rsidR="009B183B" w:rsidRPr="009B183B" w:rsidRDefault="009B183B" w:rsidP="009B1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Creating a comparative line chart to visualize inflation trends.</w:t>
      </w:r>
    </w:p>
    <w:p w:rsidR="009B183B" w:rsidRPr="009B183B" w:rsidRDefault="009B183B" w:rsidP="009B1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Interpreting differences in inflation dynamics among the selected countries.</w:t>
      </w:r>
    </w:p>
    <w:p w:rsidR="009B183B" w:rsidRP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Key Findings</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The analysis reveals noticeable differences in inflation levels among the selected euro area economies.</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Spain consistently shows the highest inflation rate during the observed period. After a slight decline in April, inflation rises steadily and reaches its highest level around June and July, suggesting stronger price pressures in the Spanish economy.</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Germany exhibits moderate inflation levels, generally fluctuating between 2% and 2.5%. The inflation trend remains relatively stable compared to Spain.</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France records the lowest inflation rates among the four countries. Inflation remains below 1.2% throughout the period, indicating a more stable price environment.</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Italy lies between Germany and France in terms of inflation levels, although a slight downward trend can be observed during the later months of the period.</w:t>
      </w:r>
    </w:p>
    <w:p w:rsidR="009B183B" w:rsidRP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Conclusion</w:t>
      </w:r>
    </w:p>
    <w:p w:rsidR="009B183B" w:rsidRPr="009B183B" w:rsidRDefault="009B183B" w:rsidP="009B183B">
      <w:p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This project demonstrates the ability to work with official macroeconomic datasets, structure and visualize data using Excel, and interpret economic indicators. The analysis highlights how inflation dynamics can differ significantly across euro area countries due to varying economic conditions and price pressures.</w:t>
      </w:r>
    </w:p>
    <w:p w:rsidR="009B183B" w:rsidRPr="009B183B" w:rsidRDefault="009B183B" w:rsidP="009B183B">
      <w:pPr>
        <w:spacing w:after="0" w:line="240" w:lineRule="auto"/>
        <w:rPr>
          <w:rFonts w:ascii="Times New Roman" w:eastAsia="Times New Roman" w:hAnsi="Times New Roman" w:cs="Times New Roman"/>
          <w:sz w:val="24"/>
          <w:szCs w:val="24"/>
          <w:lang w:eastAsia="de-DE"/>
        </w:rPr>
      </w:pPr>
    </w:p>
    <w:p w:rsidR="009B183B" w:rsidRPr="009B183B" w:rsidRDefault="009B183B" w:rsidP="009B183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183B">
        <w:rPr>
          <w:rFonts w:ascii="Times New Roman" w:eastAsia="Times New Roman" w:hAnsi="Times New Roman" w:cs="Times New Roman"/>
          <w:b/>
          <w:bCs/>
          <w:sz w:val="36"/>
          <w:szCs w:val="36"/>
          <w:lang w:eastAsia="de-DE"/>
        </w:rPr>
        <w:t>Skills Demonstrated</w:t>
      </w:r>
    </w:p>
    <w:p w:rsidR="009B183B" w:rsidRPr="009B183B" w:rsidRDefault="009B183B" w:rsidP="009B18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Data analysis</w:t>
      </w:r>
    </w:p>
    <w:p w:rsidR="009B183B" w:rsidRPr="009B183B" w:rsidRDefault="009B183B" w:rsidP="009B18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lastRenderedPageBreak/>
        <w:t>Excel data management</w:t>
      </w:r>
    </w:p>
    <w:p w:rsidR="009B183B" w:rsidRPr="009B183B" w:rsidRDefault="009B183B" w:rsidP="009B18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Economic interpretation of macroeconomic indicators</w:t>
      </w:r>
    </w:p>
    <w:p w:rsidR="009B183B" w:rsidRPr="009B183B" w:rsidRDefault="009B183B" w:rsidP="009B183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183B">
        <w:rPr>
          <w:rFonts w:ascii="Times New Roman" w:eastAsia="Times New Roman" w:hAnsi="Times New Roman" w:cs="Times New Roman"/>
          <w:sz w:val="24"/>
          <w:szCs w:val="24"/>
          <w:lang w:eastAsia="de-DE"/>
        </w:rPr>
        <w:t>Data visualization</w:t>
      </w:r>
    </w:p>
    <w:sdt>
      <w:sdtPr>
        <w:id w:val="2057352256"/>
        <w:docPartObj>
          <w:docPartGallery w:val="Bibliographies"/>
          <w:docPartUnique/>
        </w:docPartObj>
      </w:sdtPr>
      <w:sdtEndPr>
        <w:rPr>
          <w:rFonts w:asciiTheme="minorHAnsi" w:eastAsiaTheme="minorHAnsi" w:hAnsiTheme="minorHAnsi" w:cstheme="minorBidi"/>
          <w:b w:val="0"/>
          <w:bCs w:val="0"/>
          <w:kern w:val="0"/>
          <w:sz w:val="22"/>
          <w:szCs w:val="22"/>
          <w:lang w:eastAsia="en-US"/>
        </w:rPr>
      </w:sdtEndPr>
      <w:sdtContent>
        <w:p w:rsidR="00B271D5" w:rsidRDefault="00B271D5">
          <w:pPr>
            <w:pStyle w:val="berschrift1"/>
          </w:pPr>
          <w:r>
            <w:t>Literaturverzeichnis</w:t>
          </w:r>
        </w:p>
        <w:p w:rsidR="00B62CB8" w:rsidRDefault="00B271D5">
          <w:sdt>
            <w:sdtPr>
              <w:id w:val="111145805"/>
              <w:bibliography/>
            </w:sdtPr>
            <w:sdtContent>
              <w:r w:rsidR="00B62CB8">
                <w:t>Eurostat(2025). Harmonised Index of Consumer Prices (HICP</w:t>
              </w:r>
            </w:sdtContent>
          </w:sdt>
          <w:r w:rsidR="00B62CB8">
            <w:t>). Monthly Data (Annual Rate of Change). Available at:</w:t>
          </w:r>
          <w:r w:rsidR="00B62CB8" w:rsidRPr="00B62CB8">
            <w:t xml:space="preserve"> </w:t>
          </w:r>
          <w:hyperlink r:id="rId9" w:history="1">
            <w:r w:rsidR="00B62CB8" w:rsidRPr="00B06A9B">
              <w:rPr>
                <w:rStyle w:val="Hyperlink"/>
              </w:rPr>
              <w:t>https://ec.europa.eu/eurostat/web/main/search/-/search/estatsearchportlet_WAR_estatsearchportlet_INSTANCE_bHVzuvn1SZ8J?p_auth=w5pxeW4e&amp;_estatsearchportlet_WAR_estatsearchportlet_INSTANCE_bHVzuvn1SZ8J_text=HICP+-+inflation+rate</w:t>
            </w:r>
          </w:hyperlink>
        </w:p>
        <w:p w:rsidR="00B271D5" w:rsidRDefault="00B271D5"/>
      </w:sdtContent>
    </w:sdt>
    <w:p w:rsidR="009B183B" w:rsidRDefault="009B183B">
      <w:bookmarkStart w:id="0" w:name="_GoBack"/>
      <w:bookmarkEnd w:id="0"/>
    </w:p>
    <w:sectPr w:rsidR="009B183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64C7" w:rsidRDefault="007564C7" w:rsidP="009B183B">
      <w:pPr>
        <w:spacing w:after="0" w:line="240" w:lineRule="auto"/>
      </w:pPr>
      <w:r>
        <w:separator/>
      </w:r>
    </w:p>
  </w:endnote>
  <w:endnote w:type="continuationSeparator" w:id="0">
    <w:p w:rsidR="007564C7" w:rsidRDefault="007564C7" w:rsidP="009B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64C7" w:rsidRDefault="007564C7" w:rsidP="009B183B">
      <w:pPr>
        <w:spacing w:after="0" w:line="240" w:lineRule="auto"/>
      </w:pPr>
      <w:r>
        <w:separator/>
      </w:r>
    </w:p>
  </w:footnote>
  <w:footnote w:type="continuationSeparator" w:id="0">
    <w:p w:rsidR="007564C7" w:rsidRDefault="007564C7" w:rsidP="009B1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440CAD"/>
    <w:multiLevelType w:val="multilevel"/>
    <w:tmpl w:val="D24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F02C5"/>
    <w:multiLevelType w:val="multilevel"/>
    <w:tmpl w:val="EBD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05817"/>
    <w:multiLevelType w:val="multilevel"/>
    <w:tmpl w:val="40BC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CDF"/>
    <w:rsid w:val="00117D76"/>
    <w:rsid w:val="003E0F24"/>
    <w:rsid w:val="003E5CDF"/>
    <w:rsid w:val="005E5592"/>
    <w:rsid w:val="007564C7"/>
    <w:rsid w:val="009B183B"/>
    <w:rsid w:val="00B271D5"/>
    <w:rsid w:val="00B62CB8"/>
    <w:rsid w:val="00DF508B"/>
    <w:rsid w:val="00F71F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72FE"/>
  <w15:chartTrackingRefBased/>
  <w15:docId w15:val="{D674C605-0F7C-46F6-88D0-028FEE38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link w:val="berschrift1Zchn"/>
    <w:uiPriority w:val="9"/>
    <w:qFormat/>
    <w:rsid w:val="009B18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9B183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183B"/>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9B183B"/>
    <w:rPr>
      <w:rFonts w:ascii="Times New Roman" w:eastAsia="Times New Roman" w:hAnsi="Times New Roman" w:cs="Times New Roman"/>
      <w:b/>
      <w:bCs/>
      <w:sz w:val="36"/>
      <w:szCs w:val="36"/>
      <w:lang w:eastAsia="de-DE"/>
    </w:rPr>
  </w:style>
  <w:style w:type="character" w:customStyle="1" w:styleId="bzpyqfadein">
    <w:name w:val="bz_pyq_fadein"/>
    <w:basedOn w:val="Absatz-Standardschriftart"/>
    <w:rsid w:val="009B183B"/>
  </w:style>
  <w:style w:type="paragraph" w:styleId="StandardWeb">
    <w:name w:val="Normal (Web)"/>
    <w:basedOn w:val="Standard"/>
    <w:uiPriority w:val="99"/>
    <w:semiHidden/>
    <w:unhideWhenUsed/>
    <w:rsid w:val="009B183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whitespace-normal">
    <w:name w:val="whitespace-normal"/>
    <w:basedOn w:val="Absatz-Standardschriftart"/>
    <w:rsid w:val="009B183B"/>
  </w:style>
  <w:style w:type="paragraph" w:styleId="Kopfzeile">
    <w:name w:val="header"/>
    <w:basedOn w:val="Standard"/>
    <w:link w:val="KopfzeileZchn"/>
    <w:uiPriority w:val="99"/>
    <w:unhideWhenUsed/>
    <w:rsid w:val="009B183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B183B"/>
  </w:style>
  <w:style w:type="paragraph" w:styleId="Fuzeile">
    <w:name w:val="footer"/>
    <w:basedOn w:val="Standard"/>
    <w:link w:val="FuzeileZchn"/>
    <w:uiPriority w:val="99"/>
    <w:unhideWhenUsed/>
    <w:rsid w:val="009B183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B183B"/>
  </w:style>
  <w:style w:type="paragraph" w:styleId="Beschriftung">
    <w:name w:val="caption"/>
    <w:basedOn w:val="Standard"/>
    <w:next w:val="Standard"/>
    <w:uiPriority w:val="35"/>
    <w:unhideWhenUsed/>
    <w:qFormat/>
    <w:rsid w:val="00DF508B"/>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B62C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09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c.europa.eu/eurostat/web/main/search/-/search/estatsearchportlet_WAR_estatsearchportlet_INSTANCE_bHVzuvn1SZ8J?p_auth=w5pxeW4e&amp;_estatsearchportlet_WAR_estatsearchportlet_INSTANCE_bHVzuvn1SZ8J_text=HICP+-+inflation+rat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urel\AppData\Roaming\Microsoft\Excel\prc_hicp_manr__custom_20527014_spreadsheet%20(version%201).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Inflation Rate (HICP)- Germany, Spain, France,</a:t>
            </a:r>
            <a:r>
              <a:rPr lang="de-DE" baseline="0"/>
              <a:t> Italy</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9.9372703412073493E-2"/>
          <c:y val="0.17634259259259263"/>
          <c:w val="0.88396062992125979"/>
          <c:h val="0.61498432487605714"/>
        </c:manualLayout>
      </c:layout>
      <c:lineChart>
        <c:grouping val="standard"/>
        <c:varyColors val="0"/>
        <c:ser>
          <c:idx val="0"/>
          <c:order val="0"/>
          <c:tx>
            <c:v>Germany</c:v>
          </c:tx>
          <c:spPr>
            <a:ln w="28575" cap="rnd">
              <a:solidFill>
                <a:schemeClr val="accent1"/>
              </a:solidFill>
              <a:round/>
            </a:ln>
            <a:effectLst/>
          </c:spPr>
          <c:marker>
            <c:symbol val="none"/>
          </c:marker>
          <c:cat>
            <c:strRef>
              <c:f>'Sheet 1'!$B$9:$K$9</c:f>
              <c:strCache>
                <c:ptCount val="9"/>
                <c:pt idx="0">
                  <c:v>2025-03</c:v>
                </c:pt>
                <c:pt idx="2">
                  <c:v>2025-04</c:v>
                </c:pt>
                <c:pt idx="4">
                  <c:v>2025-05</c:v>
                </c:pt>
                <c:pt idx="6">
                  <c:v>2025-06</c:v>
                </c:pt>
                <c:pt idx="8">
                  <c:v>2025-07</c:v>
                </c:pt>
              </c:strCache>
            </c:strRef>
          </c:cat>
          <c:val>
            <c:numRef>
              <c:f>('Sheet 1'!$F$11,'Sheet 1'!$H$11,'Sheet 1'!$J$11,'Sheet 1'!$L$11,'Sheet 1'!$N$11,'Sheet 1'!$P$11,'Sheet 1'!$R$11,'Sheet 1'!$T$11)</c:f>
              <c:numCache>
                <c:formatCode>0.00</c:formatCode>
                <c:ptCount val="8"/>
                <c:pt idx="0">
                  <c:v>2.2999999999999998</c:v>
                </c:pt>
                <c:pt idx="1">
                  <c:v>2.2999999999999998</c:v>
                </c:pt>
                <c:pt idx="2">
                  <c:v>1.8</c:v>
                </c:pt>
                <c:pt idx="3" formatCode="#,##0.##########">
                  <c:v>2.1</c:v>
                </c:pt>
                <c:pt idx="4" formatCode="#,##0.##########">
                  <c:v>2.4</c:v>
                </c:pt>
                <c:pt idx="5" formatCode="#,##0.##########">
                  <c:v>2.2999999999999998</c:v>
                </c:pt>
                <c:pt idx="6" formatCode="#,##0.##########">
                  <c:v>2.6</c:v>
                </c:pt>
                <c:pt idx="7" formatCode="#,##0.0">
                  <c:v>2</c:v>
                </c:pt>
              </c:numCache>
            </c:numRef>
          </c:val>
          <c:smooth val="0"/>
          <c:extLst>
            <c:ext xmlns:c16="http://schemas.microsoft.com/office/drawing/2014/chart" uri="{C3380CC4-5D6E-409C-BE32-E72D297353CC}">
              <c16:uniqueId val="{00000000-A1D3-4004-AAC1-6DA2AC1712DA}"/>
            </c:ext>
          </c:extLst>
        </c:ser>
        <c:ser>
          <c:idx val="2"/>
          <c:order val="1"/>
          <c:tx>
            <c:v>Spain</c:v>
          </c:tx>
          <c:spPr>
            <a:ln w="28575" cap="rnd">
              <a:solidFill>
                <a:schemeClr val="accent3"/>
              </a:solidFill>
              <a:round/>
            </a:ln>
            <a:effectLst/>
          </c:spPr>
          <c:marker>
            <c:symbol val="none"/>
          </c:marker>
          <c:cat>
            <c:strRef>
              <c:f>'Sheet 1'!$B$9:$K$9</c:f>
              <c:strCache>
                <c:ptCount val="9"/>
                <c:pt idx="0">
                  <c:v>2025-03</c:v>
                </c:pt>
                <c:pt idx="2">
                  <c:v>2025-04</c:v>
                </c:pt>
                <c:pt idx="4">
                  <c:v>2025-05</c:v>
                </c:pt>
                <c:pt idx="6">
                  <c:v>2025-06</c:v>
                </c:pt>
                <c:pt idx="8">
                  <c:v>2025-07</c:v>
                </c:pt>
              </c:strCache>
            </c:strRef>
          </c:cat>
          <c:val>
            <c:numRef>
              <c:f>('Sheet 1'!$B$12,'Sheet 1'!$D$12,'Sheet 1'!$F$12,'Sheet 1'!$H$12,'Sheet 1'!$J$12,'Sheet 1'!$L$12,'Sheet 1'!$N$12,'Sheet 1'!$P$12,'Sheet 1'!$R$12,'Sheet 1'!$T$12)</c:f>
              <c:numCache>
                <c:formatCode>0.00</c:formatCode>
                <c:ptCount val="10"/>
                <c:pt idx="0">
                  <c:v>2.2000000000000002</c:v>
                </c:pt>
                <c:pt idx="1">
                  <c:v>2.2000000000000002</c:v>
                </c:pt>
                <c:pt idx="2">
                  <c:v>2</c:v>
                </c:pt>
                <c:pt idx="3">
                  <c:v>2.2999999999999998</c:v>
                </c:pt>
                <c:pt idx="4">
                  <c:v>2.7</c:v>
                </c:pt>
                <c:pt idx="5" formatCode="#,##0.##########">
                  <c:v>2.7</c:v>
                </c:pt>
                <c:pt idx="6" formatCode="#,##0.0">
                  <c:v>3</c:v>
                </c:pt>
                <c:pt idx="7" formatCode="#,##0.##########">
                  <c:v>3.2</c:v>
                </c:pt>
                <c:pt idx="8" formatCode="#,##0.##########">
                  <c:v>3.2</c:v>
                </c:pt>
                <c:pt idx="9" formatCode="#,##0.0">
                  <c:v>3</c:v>
                </c:pt>
              </c:numCache>
            </c:numRef>
          </c:val>
          <c:smooth val="0"/>
          <c:extLst>
            <c:ext xmlns:c16="http://schemas.microsoft.com/office/drawing/2014/chart" uri="{C3380CC4-5D6E-409C-BE32-E72D297353CC}">
              <c16:uniqueId val="{00000001-A1D3-4004-AAC1-6DA2AC1712DA}"/>
            </c:ext>
          </c:extLst>
        </c:ser>
        <c:ser>
          <c:idx val="4"/>
          <c:order val="2"/>
          <c:tx>
            <c:v>France</c:v>
          </c:tx>
          <c:spPr>
            <a:ln w="28575" cap="rnd">
              <a:solidFill>
                <a:schemeClr val="accent5"/>
              </a:solidFill>
              <a:round/>
            </a:ln>
            <a:effectLst/>
          </c:spPr>
          <c:marker>
            <c:symbol val="none"/>
          </c:marker>
          <c:cat>
            <c:strRef>
              <c:f>'Sheet 1'!$B$9:$K$9</c:f>
              <c:strCache>
                <c:ptCount val="9"/>
                <c:pt idx="0">
                  <c:v>2025-03</c:v>
                </c:pt>
                <c:pt idx="2">
                  <c:v>2025-04</c:v>
                </c:pt>
                <c:pt idx="4">
                  <c:v>2025-05</c:v>
                </c:pt>
                <c:pt idx="6">
                  <c:v>2025-06</c:v>
                </c:pt>
                <c:pt idx="8">
                  <c:v>2025-07</c:v>
                </c:pt>
              </c:strCache>
            </c:strRef>
          </c:cat>
          <c:val>
            <c:numRef>
              <c:f>('Sheet 1'!$B$13,'Sheet 1'!$D$13,'Sheet 1'!$F$13,'Sheet 1'!$H$13,'Sheet 1'!$J$13,'Sheet 1'!$L$13,'Sheet 1'!$N$13,'Sheet 1'!$P$13,'Sheet 1'!$R$13,'Sheet 1'!$T$13)</c:f>
              <c:numCache>
                <c:formatCode>0.00</c:formatCode>
                <c:ptCount val="10"/>
                <c:pt idx="0">
                  <c:v>0.9</c:v>
                </c:pt>
                <c:pt idx="1">
                  <c:v>0.9</c:v>
                </c:pt>
                <c:pt idx="2">
                  <c:v>0.6</c:v>
                </c:pt>
                <c:pt idx="3">
                  <c:v>0.9</c:v>
                </c:pt>
                <c:pt idx="4">
                  <c:v>0.9</c:v>
                </c:pt>
                <c:pt idx="5" formatCode="#,##0.##########">
                  <c:v>0.8</c:v>
                </c:pt>
                <c:pt idx="6" formatCode="#,##0.##########">
                  <c:v>1.1000000000000001</c:v>
                </c:pt>
                <c:pt idx="7" formatCode="#,##0.##########">
                  <c:v>0.8</c:v>
                </c:pt>
                <c:pt idx="8" formatCode="#,##0.##########">
                  <c:v>0.8</c:v>
                </c:pt>
                <c:pt idx="9" formatCode="#,##0.##########">
                  <c:v>0.7</c:v>
                </c:pt>
              </c:numCache>
            </c:numRef>
          </c:val>
          <c:smooth val="0"/>
          <c:extLst>
            <c:ext xmlns:c16="http://schemas.microsoft.com/office/drawing/2014/chart" uri="{C3380CC4-5D6E-409C-BE32-E72D297353CC}">
              <c16:uniqueId val="{00000002-A1D3-4004-AAC1-6DA2AC1712DA}"/>
            </c:ext>
          </c:extLst>
        </c:ser>
        <c:ser>
          <c:idx val="6"/>
          <c:order val="3"/>
          <c:tx>
            <c:v>Italy</c:v>
          </c:tx>
          <c:spPr>
            <a:ln w="28575" cap="rnd">
              <a:solidFill>
                <a:schemeClr val="accent1">
                  <a:lumMod val="60000"/>
                </a:schemeClr>
              </a:solidFill>
              <a:round/>
            </a:ln>
            <a:effectLst/>
          </c:spPr>
          <c:marker>
            <c:symbol val="none"/>
          </c:marker>
          <c:cat>
            <c:strRef>
              <c:f>'Sheet 1'!$B$9:$K$9</c:f>
              <c:strCache>
                <c:ptCount val="9"/>
                <c:pt idx="0">
                  <c:v>2025-03</c:v>
                </c:pt>
                <c:pt idx="2">
                  <c:v>2025-04</c:v>
                </c:pt>
                <c:pt idx="4">
                  <c:v>2025-05</c:v>
                </c:pt>
                <c:pt idx="6">
                  <c:v>2025-06</c:v>
                </c:pt>
                <c:pt idx="8">
                  <c:v>2025-07</c:v>
                </c:pt>
              </c:strCache>
            </c:strRef>
          </c:cat>
          <c:val>
            <c:numRef>
              <c:f>('Sheet 1'!$B$14,'Sheet 1'!$D$14,'Sheet 1'!$F$14,'Sheet 1'!$H$14,'Sheet 1'!$J$14,'Sheet 1'!$L$14,'Sheet 1'!$N$14,'Sheet 1'!$P$14,'Sheet 1'!$R$14,'Sheet 1'!$T$14)</c:f>
              <c:numCache>
                <c:formatCode>0.00</c:formatCode>
                <c:ptCount val="10"/>
                <c:pt idx="0">
                  <c:v>2.1</c:v>
                </c:pt>
                <c:pt idx="1">
                  <c:v>2</c:v>
                </c:pt>
                <c:pt idx="2">
                  <c:v>1.7</c:v>
                </c:pt>
                <c:pt idx="3">
                  <c:v>1.8</c:v>
                </c:pt>
                <c:pt idx="4">
                  <c:v>1.7</c:v>
                </c:pt>
                <c:pt idx="5" formatCode="#,##0.##########">
                  <c:v>1.6</c:v>
                </c:pt>
                <c:pt idx="6" formatCode="#,##0.##########">
                  <c:v>1.8</c:v>
                </c:pt>
                <c:pt idx="7" formatCode="#,##0.##########">
                  <c:v>1.3</c:v>
                </c:pt>
                <c:pt idx="8" formatCode="#,##0.##########">
                  <c:v>1.1000000000000001</c:v>
                </c:pt>
                <c:pt idx="9" formatCode="#,##0.##########">
                  <c:v>1.2</c:v>
                </c:pt>
              </c:numCache>
            </c:numRef>
          </c:val>
          <c:smooth val="0"/>
          <c:extLst>
            <c:ext xmlns:c16="http://schemas.microsoft.com/office/drawing/2014/chart" uri="{C3380CC4-5D6E-409C-BE32-E72D297353CC}">
              <c16:uniqueId val="{00000003-A1D3-4004-AAC1-6DA2AC1712DA}"/>
            </c:ext>
          </c:extLst>
        </c:ser>
        <c:dLbls>
          <c:showLegendKey val="0"/>
          <c:showVal val="0"/>
          <c:showCatName val="0"/>
          <c:showSerName val="0"/>
          <c:showPercent val="0"/>
          <c:showBubbleSize val="0"/>
        </c:dLbls>
        <c:smooth val="0"/>
        <c:axId val="268057336"/>
        <c:axId val="268062584"/>
      </c:lineChart>
      <c:catAx>
        <c:axId val="268057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68062584"/>
        <c:crosses val="autoZero"/>
        <c:auto val="1"/>
        <c:lblAlgn val="ctr"/>
        <c:lblOffset val="100"/>
        <c:noMultiLvlLbl val="0"/>
      </c:catAx>
      <c:valAx>
        <c:axId val="2680625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68057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574E8-F679-443E-BB19-F056FD210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2650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Technische Universität Kaiserslautern</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Aurelle Kamga</dc:creator>
  <cp:keywords/>
  <dc:description/>
  <cp:lastModifiedBy>Aurelle Kamga</cp:lastModifiedBy>
  <cp:revision>2</cp:revision>
  <dcterms:created xsi:type="dcterms:W3CDTF">2026-03-15T13:11:00Z</dcterms:created>
  <dcterms:modified xsi:type="dcterms:W3CDTF">2026-03-15T13:11:00Z</dcterms:modified>
</cp:coreProperties>
</file>