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drawing>
          <wp:inline distT="0" distB="0" distL="0" distR="0" wp14:anchorId="75AC21D2" wp14:editId="679A7A36">
            <wp:extent cx="6480313" cy="3889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488" cy="38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FA" w:rsidRDefault="002E76FA">
      <w:pPr>
        <w:rPr>
          <w:rFonts w:ascii="Arial" w:hAnsi="Arial" w:cs="Arial"/>
          <w:sz w:val="28"/>
          <w:szCs w:val="24"/>
        </w:rPr>
      </w:pPr>
    </w:p>
    <w:p w:rsidR="00680A65" w:rsidRP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 xml:space="preserve">Ein intelligenter Agent interagiert mit seiner Umgebung mittels Sensoren und Effektoren und verfolgt gewisse Ziele: </w:t>
      </w:r>
    </w:p>
    <w:p w:rsid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Unterscheidung von Agenten nach Art und Weise ihrer Umwelt-Interaktionen: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reaktive Agenten: •steuern über ein Reiz-Antwort-Schema ihr Verhalten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reflektive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Agenten: •agieren planbasiert, verarbeiten also explizit Pläne, Ziele und Intentionen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 xml:space="preserve">situierte Agenten: •verbinden einfaches Reagieren und </w:t>
      </w:r>
      <w:r>
        <w:rPr>
          <w:rFonts w:ascii="Arial" w:hAnsi="Arial" w:cs="Arial"/>
          <w:sz w:val="28"/>
          <w:szCs w:val="24"/>
        </w:rPr>
        <w:t>be</w:t>
      </w:r>
      <w:r w:rsidRPr="002E76FA">
        <w:rPr>
          <w:rFonts w:ascii="Arial" w:hAnsi="Arial" w:cs="Arial"/>
          <w:sz w:val="28"/>
          <w:szCs w:val="24"/>
        </w:rPr>
        <w:t>legtes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Handeln in dynamischer Umwelt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autonome Agenten: •sind zwischen reflektiven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und situierten Agenten einzuordnen (wer</w:t>
      </w:r>
      <w:r>
        <w:rPr>
          <w:rFonts w:ascii="Arial" w:hAnsi="Arial" w:cs="Arial"/>
          <w:sz w:val="28"/>
          <w:szCs w:val="24"/>
        </w:rPr>
        <w:t>den meist in Robotik verwendet)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rationale Agenten: •entsprechen reflektiven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Agenten, allerdings mit ausgep</w:t>
      </w:r>
      <w:r>
        <w:rPr>
          <w:rFonts w:ascii="Arial" w:hAnsi="Arial" w:cs="Arial"/>
          <w:sz w:val="28"/>
          <w:szCs w:val="24"/>
        </w:rPr>
        <w:t>rägter Bewertungsfunktionalität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soziale Agenten: •sind in der Lage, ihr Handeln an Gemeinziel auszurichten</w:t>
      </w:r>
    </w:p>
    <w:p w:rsidR="002E76FA" w:rsidRDefault="002E76FA" w:rsidP="002E76FA">
      <w:pPr>
        <w:rPr>
          <w:rFonts w:ascii="Arial" w:hAnsi="Arial" w:cs="Arial"/>
          <w:sz w:val="28"/>
          <w:szCs w:val="24"/>
        </w:rPr>
      </w:pPr>
    </w:p>
    <w:p w:rsidR="002E76FA" w:rsidRPr="002E76FA" w:rsidRDefault="002E76FA" w:rsidP="002E76FA">
      <w:pPr>
        <w:rPr>
          <w:rFonts w:ascii="Arial" w:hAnsi="Arial" w:cs="Arial"/>
          <w:sz w:val="32"/>
          <w:szCs w:val="24"/>
        </w:rPr>
      </w:pPr>
      <w:r w:rsidRPr="002E76FA">
        <w:rPr>
          <w:rFonts w:ascii="Arial" w:hAnsi="Arial" w:cs="Arial"/>
          <w:sz w:val="32"/>
          <w:szCs w:val="24"/>
        </w:rPr>
        <w:lastRenderedPageBreak/>
        <w:t>Stimulus-Response-Agent</w:t>
      </w:r>
    </w:p>
    <w:p w:rsidR="002E76FA" w:rsidRDefault="002E76FA" w:rsidP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einfacher reaktiver Agent: antwortet unmittelbar auf Wahrnehmungen</w:t>
      </w:r>
    </w:p>
    <w:p w:rsidR="002E76FA" w:rsidRDefault="002E76FA" w:rsidP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drawing>
          <wp:inline distT="0" distB="0" distL="0" distR="0" wp14:anchorId="62B2D8FA" wp14:editId="1AB62D9D">
            <wp:extent cx="5760720" cy="29629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FA" w:rsidRPr="002E76FA" w:rsidRDefault="002E76FA" w:rsidP="002E76FA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sectPr w:rsidR="002E76FA" w:rsidRPr="002E7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8E"/>
    <w:rsid w:val="002E76FA"/>
    <w:rsid w:val="00680A65"/>
    <w:rsid w:val="00F8208E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62C5D-B791-4717-9E66-20726F01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2021-02-08T15:01:00Z</dcterms:created>
  <dcterms:modified xsi:type="dcterms:W3CDTF">2021-02-08T15:09:00Z</dcterms:modified>
</cp:coreProperties>
</file>