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Tableau d’équivalence </w:t>
      </w:r>
      <w:r w:rsidDel="00000000" w:rsidR="00000000" w:rsidRPr="00000000">
        <w:rPr>
          <w:b w:val="1"/>
          <w:sz w:val="32"/>
          <w:szCs w:val="32"/>
          <w:rtl w:val="0"/>
        </w:rPr>
        <w:t xml:space="preserve">CSV vers XML-TEI :</w:t>
      </w:r>
    </w:p>
    <w:p w:rsidR="00000000" w:rsidDel="00000000" w:rsidP="00000000" w:rsidRDefault="00000000" w:rsidRPr="00000000" w14:paraId="00000002">
      <w:pPr>
        <w:jc w:val="center"/>
        <w:rPr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traduction des champs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9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260"/>
        <w:gridCol w:w="4185"/>
        <w:gridCol w:w="6495"/>
        <w:tblGridChange w:id="0">
          <w:tblGrid>
            <w:gridCol w:w="1650"/>
            <w:gridCol w:w="1260"/>
            <w:gridCol w:w="4185"/>
            <w:gridCol w:w="64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Numérotation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(colonne)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colonne (lettre)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colonne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Balise TEI correspondant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Nommage_fichier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&lt;TEI xmlns="http://www.tei-c.org/ns/1.0"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xml:id="Nommage_fichier"</w:t>
            </w:r>
            <w:r w:rsidDel="00000000" w:rsidR="00000000" w:rsidRPr="00000000">
              <w:rPr>
                <w:highlight w:val="white"/>
                <w:rtl w:val="0"/>
              </w:rPr>
              <w:t xml:space="preserve">&gt;&lt;/TEI&gt;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Type_source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&lt;bibl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type="source_type"</w:t>
            </w:r>
            <w:r w:rsidDel="00000000" w:rsidR="00000000" w:rsidRPr="00000000">
              <w:rPr>
                <w:highlight w:val="white"/>
                <w:rtl w:val="0"/>
              </w:rPr>
              <w:t xml:space="preserve">&gt;&lt;/bibl&gt;</w:t>
            </w:r>
          </w:p>
          <w:p w:rsidR="00000000" w:rsidDel="00000000" w:rsidP="00000000" w:rsidRDefault="00000000" w:rsidRPr="00000000" w14:paraId="0000001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Chemin : </w:t>
            </w:r>
            <w:r w:rsidDel="00000000" w:rsidR="00000000" w:rsidRPr="00000000">
              <w:rPr>
                <w:rtl w:val="0"/>
              </w:rPr>
              <w:t xml:space="preserve">TEI/teiHeader/fileDesc/sourceDesc/bibl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Contributeur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&lt;editor role="metadata"&gt;</w:t>
            </w:r>
          </w:p>
          <w:p w:rsidR="00000000" w:rsidDel="00000000" w:rsidP="00000000" w:rsidRDefault="00000000" w:rsidRPr="00000000" w14:paraId="00000019">
            <w:pPr>
              <w:ind w:left="283.4645669291342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&lt;persName&gt;&lt;/persName&gt;</w:t>
            </w:r>
          </w:p>
          <w:p w:rsidR="00000000" w:rsidDel="00000000" w:rsidP="00000000" w:rsidRDefault="00000000" w:rsidRPr="00000000" w14:paraId="0000001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&lt;/editor&gt;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  <w:t xml:space="preserve">Chemin : TEI/teiHeader/fileDesc/titleStmt/editor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source : </w:t>
            </w:r>
            <w:hyperlink r:id="rId6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https://tei-openedition.readthedocs.io/fr/latest/tei.teiHeader.html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&lt;title&gt;&lt;/title&gt;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indiquer à deux endroits (dans le </w:t>
            </w:r>
            <w:r w:rsidDel="00000000" w:rsidR="00000000" w:rsidRPr="00000000">
              <w:rPr>
                <w:b w:val="1"/>
                <w:rtl w:val="0"/>
              </w:rPr>
              <w:t xml:space="preserve">&lt;titleStmt&gt; </w:t>
            </w:r>
            <w:r w:rsidDel="00000000" w:rsidR="00000000" w:rsidRPr="00000000">
              <w:rPr>
                <w:rtl w:val="0"/>
              </w:rPr>
              <w:t xml:space="preserve">et dans le </w:t>
            </w:r>
            <w:r w:rsidDel="00000000" w:rsidR="00000000" w:rsidRPr="00000000">
              <w:rPr>
                <w:b w:val="1"/>
                <w:rtl w:val="0"/>
              </w:rPr>
              <w:t xml:space="preserve">&lt;sourceDesc&gt;</w:t>
            </w:r>
            <w:r w:rsidDel="00000000" w:rsidR="00000000" w:rsidRPr="00000000">
              <w:rPr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chemin vers la balise &lt;title&gt; du &lt;titleStmt&gt; : TEI/teiHeader/fileDesc/titleStmt/title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chemin vers la balise &lt;title&gt; du &lt;sourceDesc&gt; :</w:t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TEI/teiHeader/fileDesc/sourceDesc/bibl/title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Auteur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 et peut-être futurs types de sources)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&lt;author&gt;&lt;/author&gt;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Chemin : TEI/teiHeader/fileDesc/sourceDesc/bibl/author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Directeur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périodiques et quelques catalogues d’exposition)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&lt;editor role="director"&gt;&lt;/editor&gt;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  <w:t xml:space="preserve">Chemin : TEI/teiHeader/fileDesc/sourceDesc/bibl/editor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Editeur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&lt;publisher&gt;&lt;/publisher&gt;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TEI/teiHeader/fileDesc/sourceDesc/bibl/publisher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Editeur_scientifique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&lt;editor&gt;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&lt;/editor&gt;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Chemin : TEI/teiHeader/fileDesc/sourceDesc/bibl/editor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Lieu_publication_en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&lt;pubPlace&gt;&lt;/pubPlace&gt;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TEI/teiHeader/fileDesc/sourceDesc/bibl/pubPlace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Date_publication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Catalogues d’exposition ou autres ouvrages :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&lt;date when="yyyy"&gt;yyyy&lt;/date&gt;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Périodiques :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&lt;date when="yyyy-mm-dd"&gt;yyyy-mm-dd&lt;/date&gt;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TEI/teiHeader/fileDesc/sourceDesc/bibl/date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Annee_1er_numero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périodiques uniquement)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&lt;date type="first_publication_number" when= "yyyy-mm-dd"&gt;yyyy-mm-dd&lt;/date&gt;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Chemin : TEI/teiHeader/fileDesc/sourceDesc/bibl/date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Annee_dernier_numero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périodiques uniquement)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&lt;date type="last_publication_number" when= "yyyy-mm-dd"&gt;yyyy-mm-dd&lt;/date&gt;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TEI/teiHeader/fileDesc/sourceDesc/bibl/date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Langue_source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&lt;profileDesc&gt;</w:t>
            </w:r>
          </w:p>
          <w:p w:rsidR="00000000" w:rsidDel="00000000" w:rsidP="00000000" w:rsidRDefault="00000000" w:rsidRPr="00000000" w14:paraId="0000006B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&lt;langUsage&gt;</w:t>
            </w:r>
          </w:p>
          <w:p w:rsidR="00000000" w:rsidDel="00000000" w:rsidP="00000000" w:rsidRDefault="00000000" w:rsidRPr="00000000" w14:paraId="0000006C">
            <w:pPr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&lt;language ident=""/&gt;</w:t>
            </w:r>
          </w:p>
          <w:p w:rsidR="00000000" w:rsidDel="00000000" w:rsidP="00000000" w:rsidRDefault="00000000" w:rsidRPr="00000000" w14:paraId="0000006D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&lt;/langUsage&gt;</w:t>
            </w:r>
          </w:p>
          <w:p w:rsidR="00000000" w:rsidDel="00000000" w:rsidP="00000000" w:rsidRDefault="00000000" w:rsidRPr="00000000" w14:paraId="0000006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&lt;/profileDesc&gt;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TEI/teiHeader/profileDesc/langUsage/language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&lt;extent&gt;&lt;/extent&gt;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TEI/teiHeader/fileDesc/sourceDesc/bibl/extent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Licence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&lt;availability&gt;</w:t>
            </w:r>
          </w:p>
          <w:p w:rsidR="00000000" w:rsidDel="00000000" w:rsidP="00000000" w:rsidRDefault="00000000" w:rsidRPr="00000000" w14:paraId="0000007C">
            <w:pPr>
              <w:ind w:left="283.4645669291342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&lt;licence target=</w:t>
            </w:r>
            <w:r w:rsidDel="00000000" w:rsidR="00000000" w:rsidRPr="00000000">
              <w:rPr>
                <w:b w:val="1"/>
                <w:rtl w:val="0"/>
              </w:rPr>
              <w:t xml:space="preserve">"lien_licence"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&gt;&lt;/licence&gt;</w:t>
            </w:r>
          </w:p>
          <w:p w:rsidR="00000000" w:rsidDel="00000000" w:rsidP="00000000" w:rsidRDefault="00000000" w:rsidRPr="00000000" w14:paraId="0000007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&lt;/availability&gt;</w:t>
            </w:r>
          </w:p>
          <w:p w:rsidR="00000000" w:rsidDel="00000000" w:rsidP="00000000" w:rsidRDefault="00000000" w:rsidRPr="00000000" w14:paraId="0000007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hd w:fill="65fcfc" w:val="clear"/>
              </w:rPr>
            </w:pPr>
            <w:r w:rsidDel="00000000" w:rsidR="00000000" w:rsidRPr="00000000">
              <w:rPr>
                <w:rtl w:val="0"/>
              </w:rPr>
              <w:t xml:space="preserve">Chemin : TEI/teiHeader/fileDesc/publicationStmt/availability/licence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Source_diffuseur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&lt;ref facs="URL_source"&gt;Si URL absente, nom de la source&lt;/ref&gt;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TEI/teiHeader/fileDesc/sourceDesc/bibl/relatedItem/msDesc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/additional/surrogates/ref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Depot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&lt;repository&gt;&lt;/repository&gt;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TEI/teiHeader/fileDesc/sourceDesc/bibl/relatedItem/msDesc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/msIdentifier/repository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Numerise_par</w:t>
            </w:r>
          </w:p>
        </w:tc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&lt;name role="digitisation" when="yyyy-mm-dd"&gt;&lt;/name&gt;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Date_numerisation</w:t>
            </w:r>
          </w:p>
        </w:tc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TEI/teiHeader/fileDesc/sourceDesc/bibl/relatedItem/msDesc</w:t>
            </w:r>
          </w:p>
          <w:p w:rsidR="00000000" w:rsidDel="00000000" w:rsidP="00000000" w:rsidRDefault="00000000" w:rsidRPr="00000000" w14:paraId="00000096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/additional/surrogates/</w:t>
            </w:r>
            <w:r w:rsidDel="00000000" w:rsidR="00000000" w:rsidRPr="00000000">
              <w:rPr>
                <w:highlight w:val="white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Type_evenement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&lt;event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type="event_type" </w:t>
            </w:r>
            <w:r w:rsidDel="00000000" w:rsidR="00000000" w:rsidRPr="00000000">
              <w:rPr>
                <w:highlight w:val="white"/>
                <w:rtl w:val="0"/>
              </w:rPr>
              <w:t xml:space="preserve">subtype="travelling_or_fixed" from="yyyy-mm-dd" to="yyyy-mm-dd"&gt;&lt;/event&gt;</w:t>
            </w:r>
          </w:p>
          <w:p w:rsidR="00000000" w:rsidDel="00000000" w:rsidP="00000000" w:rsidRDefault="00000000" w:rsidRPr="00000000" w14:paraId="0000009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Chemin : TEI/teiHeader/fileDesc/sourceDesc/listEvent/event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Date_debut_exposition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&lt;event type="event_type"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subtype="travelling_or_fixed"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from="yyyy-mm-dd" to="yyyy-mm-dd"</w:t>
            </w:r>
            <w:r w:rsidDel="00000000" w:rsidR="00000000" w:rsidRPr="00000000">
              <w:rPr>
                <w:rtl w:val="0"/>
              </w:rPr>
              <w:t xml:space="preserve">&gt;&lt;/event&gt;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Date_fin_exposition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  <w:shd w:fill="65fcfc" w:val="clear"/>
              </w:rPr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Notes_catalogue_expo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&lt;note&gt;&lt;/note&gt;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TEI/teiHeader/fileDesc/sourceDesc/bibl/note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Titre_exposition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&lt;head&gt;&lt;/head&gt;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TEI/teiHeader/fileDesc/sourceDesc/listEvent/event/head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Exposition_itinerante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event type="event_type"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subtype="travelling_or_fixed"</w:t>
            </w:r>
            <w:r w:rsidDel="00000000" w:rsidR="00000000" w:rsidRPr="00000000">
              <w:rPr>
                <w:rtl w:val="0"/>
              </w:rPr>
              <w:t xml:space="preserve"> from="yyyy-mm-dd" to="yyyy-mm-dd"</w:t>
            </w:r>
            <w:r w:rsidDel="00000000" w:rsidR="00000000" w:rsidRPr="00000000">
              <w:rPr>
                <w:highlight w:val="white"/>
                <w:rtl w:val="0"/>
              </w:rPr>
              <w:t xml:space="preserve">&gt;&lt;/event&gt;</w:t>
            </w:r>
          </w:p>
          <w:p w:rsidR="00000000" w:rsidDel="00000000" w:rsidP="00000000" w:rsidRDefault="00000000" w:rsidRPr="00000000" w14:paraId="000000BC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Ville_exposition_en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0C3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0C4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&lt;settlement&gt;&lt;/settlement&gt;</w:t>
            </w:r>
          </w:p>
          <w:p w:rsidR="00000000" w:rsidDel="00000000" w:rsidP="00000000" w:rsidRDefault="00000000" w:rsidRPr="00000000" w14:paraId="000000C5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0C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</w:p>
          <w:p w:rsidR="00000000" w:rsidDel="00000000" w:rsidP="00000000" w:rsidRDefault="00000000" w:rsidRPr="00000000" w14:paraId="000000C7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/listPlace/place/placeName/choice/reg/address/settlement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Pays_en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0D1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0D2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&lt;country&gt;&lt;/country&gt;</w:t>
            </w:r>
          </w:p>
          <w:p w:rsidR="00000000" w:rsidDel="00000000" w:rsidP="00000000" w:rsidRDefault="00000000" w:rsidRPr="00000000" w14:paraId="000000D3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/listPlace/place/placeName/choice/reg/address/country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Etat_en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0DE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0DF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&lt;region&gt;&lt;/region&gt;</w:t>
            </w:r>
          </w:p>
          <w:p w:rsidR="00000000" w:rsidDel="00000000" w:rsidP="00000000" w:rsidRDefault="00000000" w:rsidRPr="00000000" w14:paraId="000000E0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/listPlace/place/placeName/choice/reg/address/region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Titre_groupe_exposition</w:t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&lt;head type="exhibition_group_type"&gt;&lt;/head&gt;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Type_groupe_exposition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b w:val="1"/>
                <w:shd w:fill="9900ff" w:val="clear"/>
              </w:rPr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Titre_section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&lt;head&gt;&lt;/head&gt;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/listPlace/place/head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Adresse_section_decrite_dans_catalogue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&lt;orig&gt;</w:t>
            </w:r>
          </w:p>
          <w:p w:rsidR="00000000" w:rsidDel="00000000" w:rsidP="00000000" w:rsidRDefault="00000000" w:rsidRPr="00000000" w14:paraId="000000FD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n="address_from_source"&gt;</w:t>
            </w:r>
          </w:p>
          <w:p w:rsidR="00000000" w:rsidDel="00000000" w:rsidP="00000000" w:rsidRDefault="00000000" w:rsidRPr="00000000" w14:paraId="000000FE">
            <w:pPr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&lt;addrLine&gt;&lt;/addrLine&gt;</w:t>
            </w:r>
          </w:p>
          <w:p w:rsidR="00000000" w:rsidDel="00000000" w:rsidP="00000000" w:rsidRDefault="00000000" w:rsidRPr="00000000" w14:paraId="000000FF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10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&lt;/orig&gt;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/listPlace/place/placeName/choice/orig/address/</w:t>
            </w:r>
            <w:r w:rsidDel="00000000" w:rsidR="00000000" w:rsidRPr="00000000">
              <w:rPr>
                <w:highlight w:val="white"/>
                <w:rtl w:val="0"/>
              </w:rPr>
              <w:t xml:space="preserve">addrLine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Lieu_exposition_section_unique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108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&lt;orgName type="place_type"&gt;&lt;/orgName&gt;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Type_lieu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/listPlace/place/placeName/orgName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Numero_et_nom_rue_section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114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115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&lt;street&gt;&lt;/street&gt;</w:t>
            </w:r>
          </w:p>
          <w:p w:rsidR="00000000" w:rsidDel="00000000" w:rsidP="00000000" w:rsidRDefault="00000000" w:rsidRPr="00000000" w14:paraId="00000116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11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</w:p>
          <w:p w:rsidR="00000000" w:rsidDel="00000000" w:rsidP="00000000" w:rsidRDefault="00000000" w:rsidRPr="00000000" w14:paraId="0000011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/listPlace/place/placeName/choice/reg/address/street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AJ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Etage_section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124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125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&lt;addrLine n="floor"&gt;&lt;/addrLine&gt;</w:t>
            </w:r>
          </w:p>
          <w:p w:rsidR="00000000" w:rsidDel="00000000" w:rsidP="00000000" w:rsidRDefault="00000000" w:rsidRPr="00000000" w14:paraId="00000126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127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Chemin : TEI/teiHeader/fileDesc/sourceDesc/listEvent/event/desc</w:t>
            </w:r>
          </w:p>
          <w:p w:rsidR="00000000" w:rsidDel="00000000" w:rsidP="00000000" w:rsidRDefault="00000000" w:rsidRPr="00000000" w14:paraId="0000012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/listPlace/place/placeName/choice/reg/address/addrLine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Lieu-dit_section</w:t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130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131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&lt;addrLine n="locality"&gt;&lt;/addrLine&gt;</w:t>
            </w:r>
          </w:p>
          <w:p w:rsidR="00000000" w:rsidDel="00000000" w:rsidP="00000000" w:rsidRDefault="00000000" w:rsidRPr="00000000" w14:paraId="00000132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133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Chemin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TEI/teiHeader/fileDesc/sourceDesc/listEvent/event/desc</w:t>
            </w:r>
          </w:p>
          <w:p w:rsidR="00000000" w:rsidDel="00000000" w:rsidP="00000000" w:rsidRDefault="00000000" w:rsidRPr="00000000" w14:paraId="0000013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/listPlace/place/placeName/choice/reg/address/addrLine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Complement_adresse_section</w:t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&lt;reg&gt;</w:t>
            </w:r>
          </w:p>
          <w:p w:rsidR="00000000" w:rsidDel="00000000" w:rsidP="00000000" w:rsidRDefault="00000000" w:rsidRPr="00000000" w14:paraId="0000013D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&lt;address n="section_address"&gt;</w:t>
            </w:r>
          </w:p>
          <w:p w:rsidR="00000000" w:rsidDel="00000000" w:rsidP="00000000" w:rsidRDefault="00000000" w:rsidRPr="00000000" w14:paraId="0000013E">
            <w:pPr>
              <w:ind w:left="850.3937007874009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&lt;addrLine n="additional_address"&gt;&lt;/addrLine&gt;</w:t>
            </w:r>
          </w:p>
          <w:p w:rsidR="00000000" w:rsidDel="00000000" w:rsidP="00000000" w:rsidRDefault="00000000" w:rsidRPr="00000000" w14:paraId="0000013F">
            <w:pPr>
              <w:ind w:left="283.4645669291342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&lt;/address&gt;</w:t>
            </w:r>
          </w:p>
          <w:p w:rsidR="00000000" w:rsidDel="00000000" w:rsidP="00000000" w:rsidRDefault="00000000" w:rsidRPr="00000000" w14:paraId="00000140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&lt;/reg&gt;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Chemin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TEI/teiHeader/fileDesc/sourceDesc/listEvent/event/desc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/listPlace/place/placeName/choice/reg/address/addrLine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Notes_section</w:t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(concerne : catalogues d’exposition)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&lt;note&gt;&lt;/note&gt;</w:t>
            </w:r>
          </w:p>
          <w:p w:rsidR="00000000" w:rsidDel="00000000" w:rsidP="00000000" w:rsidRDefault="00000000" w:rsidRPr="00000000" w14:paraId="0000014B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Chemin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TEI/teiHeader/fileDesc/sourceDesc/listEvent/event/desc /listPlace/place/note</w:t>
            </w:r>
          </w:p>
        </w:tc>
      </w:tr>
    </w:tbl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Auriane Quoix</w:t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juin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i-openedition.readthedocs.io/fr/latest/tei.teiHeader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