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B33" w:val="clear"/>
            <w:tcMar>
              <w:top w:type="dxa" w:w="0"/>
              <w:left w:type="dxa" w:w="0"/>
              <w:bottom w:type="dxa" w:w="0"/>
              <w:right w:type="dxa" w:w="0"/>
            </w:tcMar>
          </w:tcPr>
          <w:p>
            <w:pPr>
              <w:spacing w:before="1800"/>
            </w:pPr>
          </w:p>
          <w:p>
            <w:pPr>
              <w:pBdr>
                <w:bottom w:val="single" w:color="D4AF37" w:sz="6" w:space="8"/>
              </w:pBdr>
              <w:spacing w:after="500"/>
              <w:ind w:left="1200" w:right="800"/>
            </w:pPr>
            <w:r>
              <w:rPr>
                <w:rFonts w:ascii="Times New Roman"/>
                <w:color w:val="D4AF37"/>
                <w:spacing w:val="40"/>
                <w:sz w:val="18"/>
                <w:szCs w:val="18"/>
              </w:rPr>
              <w:t xml:space="preserve">C O N S T I T U T I O N A L   I N F R A S T R U C T U R E</w:t>
            </w:r>
          </w:p>
          <w:p>
            <w:pPr>
              <w:spacing w:after="100" w:line="920" w:lineRule="atLeast"/>
              <w:ind w:left="1200"/>
            </w:pPr>
            <w:r>
              <w:rPr>
                <w:rFonts w:ascii="Times New Roman" w:eastAsia="Times New Roman"/>
                <w:b/>
                <w:bCs/>
                <w:color w:val="FFFFFF"/>
                <w:sz w:val="88"/>
                <w:szCs w:val="88"/>
              </w:rPr>
              <w:t xml:space="preserve">AURIENTA</w:t>
            </w:r>
          </w:p>
          <w:p>
            <w:pPr>
              <w:spacing w:after="100" w:line="920" w:lineRule="atLeast"/>
              <w:ind w:left="1200"/>
            </w:pPr>
            <w:r>
              <w:rPr>
                <w:rFonts w:ascii="Times New Roman" w:eastAsia="Times New Roman"/>
                <w:b/>
                <w:bCs/>
                <w:color w:val="E8E2D0"/>
                <w:sz w:val="56"/>
                <w:szCs w:val="56"/>
              </w:rPr>
              <w:t xml:space="preserve">Constitutional Enterprise</w:t>
            </w:r>
          </w:p>
          <w:p>
            <w:pPr>
              <w:spacing w:after="320" w:line="920" w:lineRule="atLeast"/>
              <w:ind w:left="1200"/>
            </w:pPr>
            <w:r>
              <w:rPr>
                <w:rFonts w:ascii="Times New Roman" w:eastAsia="Times New Roman"/>
                <w:b/>
                <w:bCs/>
                <w:color w:val="E8E2D0"/>
                <w:sz w:val="56"/>
                <w:szCs w:val="56"/>
              </w:rPr>
              <w:t xml:space="preserve">Infrastructure</w:t>
            </w:r>
          </w:p>
          <w:p>
            <w:pPr>
              <w:spacing w:after="240" w:line="360" w:lineRule="atLeast"/>
              <w:ind w:left="1200" w:right="800"/>
            </w:pPr>
            <w:r>
              <w:rPr>
                <w:rFonts w:ascii="Times New Roman"/>
                <w:i/>
                <w:iCs/>
                <w:color w:val="D4AF37"/>
                <w:sz w:val="26"/>
                <w:szCs w:val="26"/>
              </w:rPr>
              <w:t xml:space="preserve">Modified Blueprint — Prompt 1 &amp; Prompt 2 Synchronized</w:t>
            </w:r>
          </w:p>
          <w:p>
            <w:pPr>
              <w:spacing w:after="900" w:line="320" w:lineRule="atLeast"/>
              <w:ind w:left="1200" w:right="800"/>
            </w:pPr>
            <w:r>
              <w:rPr>
                <w:rFonts w:ascii="Times New Roman"/>
                <w:color w:val="C8C2B0"/>
                <w:sz w:val="22"/>
                <w:szCs w:val="22"/>
              </w:rPr>
              <w:t xml:space="preserve">Sovereign Institutional Production Edition</w:t>
            </w:r>
          </w:p>
          <w:p>
            <w:pPr>
              <w:pBdr>
                <w:left w:val="single" w:color="D4AF37" w:sz="8" w:space="12"/>
              </w:pBdr>
              <w:spacing w:after="120" w:line="320" w:lineRule="atLeast"/>
              <w:ind w:left="1400" w:right="800"/>
            </w:pPr>
            <w:r>
              <w:rPr>
                <w:rFonts w:ascii="Times New Roman"/>
                <w:color w:val="E8E2D0"/>
                <w:sz w:val="22"/>
                <w:szCs w:val="22"/>
              </w:rPr>
              <w:t xml:space="preserve">Founder &amp; Sole Owner:  Mohamed Eltonsy</w:t>
            </w:r>
          </w:p>
          <w:p>
            <w:pPr>
              <w:pBdr>
                <w:left w:val="single" w:color="D4AF37" w:sz="8" w:space="12"/>
              </w:pBdr>
              <w:spacing w:after="120" w:line="320" w:lineRule="atLeast"/>
              <w:ind w:left="1400" w:right="800"/>
            </w:pPr>
            <w:r>
              <w:rPr>
                <w:rFonts w:ascii="Times New Roman"/>
                <w:color w:val="E8E2D0"/>
                <w:sz w:val="22"/>
                <w:szCs w:val="22"/>
              </w:rPr>
              <w:t xml:space="preserve">Ownership:  100% — no co-founders, no Capital Partners, no dilution</w:t>
            </w:r>
          </w:p>
          <w:p>
            <w:pPr>
              <w:pBdr>
                <w:left w:val="single" w:color="D4AF37" w:sz="8" w:space="12"/>
              </w:pBdr>
              <w:spacing w:after="120" w:line="320" w:lineRule="atLeast"/>
              <w:ind w:left="1400" w:right="800"/>
            </w:pPr>
            <w:r>
              <w:rPr>
                <w:rFonts w:ascii="Times New Roman"/>
                <w:color w:val="E8E2D0"/>
                <w:sz w:val="22"/>
                <w:szCs w:val="22"/>
              </w:rPr>
              <w:t xml:space="preserve">Group Structure:  AURIENTA Holding Group → Operations + Advisory</w:t>
            </w:r>
          </w:p>
          <w:p>
            <w:pPr>
              <w:pBdr>
                <w:left w:val="single" w:color="D4AF37" w:sz="8" w:space="12"/>
              </w:pBdr>
              <w:spacing w:after="120" w:line="320" w:lineRule="atLeast"/>
              <w:ind w:left="1400" w:right="800"/>
            </w:pPr>
            <w:r>
              <w:rPr>
                <w:rFonts w:ascii="Times New Roman"/>
                <w:color w:val="E8E2D0"/>
                <w:sz w:val="22"/>
                <w:szCs w:val="22"/>
              </w:rPr>
              <w:t xml:space="preserve">Constitutional Hash (Root):  0xB4F8D3E2F6A0B5D9E7F2A1C4B8E3D6A0F2C5B9E7D1A</w:t>
            </w:r>
          </w:p>
          <w:p>
            <w:pPr>
              <w:pBdr>
                <w:left w:val="single" w:color="D4AF37" w:sz="8" w:space="12"/>
              </w:pBdr>
              <w:spacing w:after="120" w:line="320" w:lineRule="atLeast"/>
              <w:ind w:left="1400" w:right="800"/>
            </w:pPr>
            <w:r>
              <w:rPr>
                <w:rFonts w:ascii="Times New Roman"/>
                <w:color w:val="E8E2D0"/>
                <w:sz w:val="22"/>
                <w:szCs w:val="22"/>
              </w:rPr>
              <w:t xml:space="preserve">Edition Date:  January 2026  |  Framework Maturity:  Q4 2026</w:t>
            </w:r>
          </w:p>
          <w:p>
            <w:pPr>
              <w:pBdr>
                <w:left w:val="single" w:color="D4AF37" w:sz="8" w:space="12"/>
              </w:pBdr>
              <w:spacing w:after="120" w:line="320" w:lineRule="atLeast"/>
              <w:ind w:left="1400" w:right="800"/>
            </w:pPr>
            <w:r>
              <w:rPr>
                <w:rFonts w:ascii="Times New Roman"/>
                <w:color w:val="E8E2D0"/>
                <w:sz w:val="22"/>
                <w:szCs w:val="22"/>
              </w:rPr>
              <w:t xml:space="preserve">Founding Principle:  "Your capital, your work, your company — no speculation required."</w:t>
            </w:r>
          </w:p>
          <w:p>
            <w:pPr>
              <w:spacing w:before="1200"/>
            </w:pPr>
          </w:p>
          <w:p>
            <w:pPr>
              <w:pBdr>
                <w:top w:val="single" w:color="D4AF37" w:sz="4" w:space="8"/>
              </w:pBdr>
              <w:spacing w:after="80" w:before="200"/>
              <w:ind w:left="1200" w:right="800"/>
            </w:pPr>
            <w:r>
              <w:rPr>
                <w:rFonts w:ascii="Times New Roman"/>
                <w:b/>
                <w:bCs/>
                <w:color w:val="D4AF37"/>
                <w:sz w:val="18"/>
                <w:szCs w:val="18"/>
              </w:rPr>
              <w:t xml:space="preserve">AURIENTA Holding Group</w:t>
            </w:r>
            <w:r>
              <w:t xml:space="preserve">                                                                  </w:t>
            </w:r>
            <w:r>
              <w:rPr>
                <w:rFonts w:ascii="Times New Roman"/>
                <w:i/>
                <w:iCs/>
                <w:color w:val="C8C2B0"/>
                <w:sz w:val="18"/>
                <w:szCs w:val="18"/>
              </w:rPr>
              <w:t xml:space="preserve">Single Source of Truth</w:t>
            </w:r>
          </w:p>
          <w:p>
            <w:pPr>
              <w:spacing w:before="100"/>
              <w:ind w:left="1200" w:right="800"/>
            </w:pPr>
            <w:r>
              <w:rPr>
                <w:rFonts w:ascii="Times New Roman"/>
                <w:i/>
                <w:iCs/>
                <w:color w:val="C8C2B0"/>
                <w:sz w:val="16"/>
                <w:szCs w:val="16"/>
              </w:rPr>
              <w:t xml:space="preserve">This document REPLACES the original AURIENTA Constitutional Blueprint for all future work.</w:t>
            </w:r>
          </w:p>
        </w:tc>
      </w:tr>
    </w:tbl>
    <w:p>
      <w:pPr>
        <w:sectPr>
          <w:pgSz w:w="11906" w:h="16838" w:orient="portrait"/>
          <w:pgMar w:top="0" w:right="0" w:bottom="0" w:left="0" w:header="708" w:footer="708" w:gutter="0"/>
          <w:pgNumType/>
          <w:docGrid w:linePitch="360"/>
        </w:sectPr>
      </w:pPr>
    </w:p>
    <w:p>
      <w:pPr>
        <w:pBdr>
          <w:bottom w:val="single" w:color="D4AF37" w:sz="12" w:space="8"/>
        </w:pBdr>
        <w:spacing w:after="360" w:before="480"/>
        <w:jc w:val="center"/>
      </w:pPr>
      <w:r>
        <w:rPr>
          <w:rFonts w:ascii="Times New Roman" w:eastAsia="Times New Roman"/>
          <w:b/>
          <w:bCs/>
          <w:color w:val="0B1B33"/>
          <w:spacing w:val="60"/>
          <w:sz w:val="40"/>
          <w:szCs w:val="40"/>
        </w:rPr>
        <w:t xml:space="preserve">TABLE OF CONTENTS</w:t>
      </w:r>
    </w:p>
    <w:p>
      <w:pPr>
        <w:spacing w:after="360"/>
        <w:jc w:val="center"/>
      </w:pPr>
      <w:r>
        <w:rPr>
          <w:rFonts w:ascii="Times New Roman"/>
          <w:i/>
          <w:iCs/>
          <w:color w:val="5B6B7D"/>
          <w:sz w:val="22"/>
          <w:szCs w:val="22"/>
        </w:rPr>
        <w:t xml:space="preserve">AURIENTA — Modified Blueprint (Prompt 1 &amp; Prompt 2 Synchronized)</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PREAMBLE — The Constitutional Launchpad</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Institutional Architecture Declaration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PART I — CONSTITUTIONAL TERMINOLOGY STANDARD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Constitutional Terminology Dictionary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Automated Terminology Validation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Brain AI Terminology Enforcement</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1.4  Terminology Replacement Log (Prompt 1)</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PART II — VOLUMES 0–20 (Original Blueprint, Terminology Replacements Applied)</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Volume 0 — Executive &amp; Regulatory Overview</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Volume 1 — Constitutional Identity, Philosophy &amp; Structural Trust Doctrine</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Volume 2 — Constitutional Runtime Engine (CRE) &amp; Structural Enforcement Core</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Volume 3 — Sovereign Identity, Trust &amp; Constitutional Participation Network</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Volume 4 — Constitutional Enterprise Tiers (A–F) — Fully Detailed</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Volume 5 — Zero-Custody Capital Formation &amp; Law Firm Client Account Infrastructure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Volume 6 — JOZOUR v3 Valuation &amp; Constitutional Pricing Engine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Volume 7 — Constitutional Governance, Council &amp; Decision Systems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Volume 8 — Financial Control, Workforce Capitalization &amp; Treasury Operations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Volume 9 — Enterprise Registry &amp; Constitutional Liquidity Coordination</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Volume 10 — Dispute Resolution &amp; Constitutional Appeal Court</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Volume 11 — Institutional Intelligence &amp; Closed-Loop AI Infrastructure</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Volume 12 — Legal, Compliance &amp; Constitutional Charter Infrastructure</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Volume 13 — Multi-Currency &amp; Cross-Border Capital Routing Engine</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Volume 14 — UI/UX, Workspaces &amp; Constitutional Operating Experience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Volume 15 — Graduation &amp; Sovereign Enterprise Independence Protocol</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Volume 16 — Succession, Transparency &amp; Institutional Health Systems</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Volume 17 — Implementation Roadmap, Infrastructure &amp; Delivery Engineering</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Volume 18 — Appendices, Machine-Readable Policies &amp; Rego Code</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Volume 19 — Constitutional User Experience &amp; Implementation Synthesis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Volume 20 — Specialised Industry Modules</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VOLUME 21 — INSTITUTIONAL ARCHITECTURE &amp; CORPORATE STRUCTURE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21.1  Declaration: AURIENTA is NOT a Software Company</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21.2  Canonical Corporate Structure</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21.2.1  Founder &amp; Sole Owner</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21.2.2  Holding Group — Responsibilities and Ownership</w:t>
            </w:r>
            <w:r>
              <w:tab/>
            </w:r>
            <w:r>
              <w:fldChar w:fldCharType="begin"/>
            </w:r>
            <w:r>
              <w:instrText xml:space="preserve"> PAGEREF _Toc100033 \h </w:instrText>
            </w:r>
            <w:r>
              <w:fldChar w:fldCharType="separate"/>
            </w:r>
            <w:r>
              <w:t>15</w:t>
            </w:r>
            <w:r>
              <w:fldChar w:fldCharType="end"/>
            </w:r>
          </w:hyperlink>
        </w:p>
        <w:p>
          <w:pPr>
            <w:pStyle w:val="12"/>
            <w:ind w:left="720"/>
            <w:tabs>
              <w:tab w:val="right" w:leader="dot" w:pos="9026"/>
            </w:tabs>
            <w:spacing w:before="120" w:after="60"/>
          </w:pPr>
          <w:hyperlink w:anchor="_Toc100034" w:history="1">
            <w:r>
              <w:rPr>
                <w:rStyle w:val="Hyperlink"/>
              </w:rPr>
              <w:t>21.2.3  AURIENTA Operations — Technology and Operations Combined</w:t>
            </w:r>
            <w:r>
              <w:tab/>
            </w:r>
            <w:r>
              <w:fldChar w:fldCharType="begin"/>
            </w:r>
            <w:r>
              <w:instrText xml:space="preserve"> PAGEREF _Toc100034 \h </w:instrText>
            </w:r>
            <w:r>
              <w:fldChar w:fldCharType="separate"/>
            </w:r>
            <w:r>
              <w:t>18</w:t>
            </w:r>
            <w:r>
              <w:fldChar w:fldCharType="end"/>
            </w:r>
          </w:hyperlink>
        </w:p>
        <w:p>
          <w:pPr>
            <w:pStyle w:val="12"/>
            <w:ind w:left="720"/>
            <w:tabs>
              <w:tab w:val="right" w:leader="dot" w:pos="9026"/>
            </w:tabs>
            <w:spacing w:before="120" w:after="60"/>
          </w:pPr>
          <w:hyperlink w:anchor="_Toc100035" w:history="1">
            <w:r>
              <w:rPr>
                <w:rStyle w:val="Hyperlink"/>
              </w:rPr>
              <w:t>21.2.4  AURIENTA Advisory — Institutional Ecosystem</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21.3  Constitutional Scalability Principle</w:t>
            </w:r>
            <w:r>
              <w:tab/>
            </w:r>
            <w:r>
              <w:fldChar w:fldCharType="begin"/>
            </w:r>
            <w:r>
              <w:instrText xml:space="preserve"> PAGEREF _Toc100036 \h </w:instrText>
            </w:r>
            <w:r>
              <w:fldChar w:fldCharType="separate"/>
            </w:r>
            <w:r>
              <w:t>26</w:t>
            </w:r>
            <w:r>
              <w:fldChar w:fldCharType="end"/>
            </w:r>
          </w:hyperlink>
        </w:p>
        <w:p>
          <w:pPr>
            <w:pStyle w:val="11"/>
            <w:ind w:left="360"/>
            <w:tabs>
              <w:tab w:val="right" w:leader="dot" w:pos="9026"/>
            </w:tabs>
            <w:spacing w:before="120" w:after="60"/>
          </w:pPr>
          <w:hyperlink w:anchor="_Toc100037" w:history="1">
            <w:r>
              <w:rPr>
                <w:rStyle w:val="Hyperlink"/>
              </w:rPr>
              <w:t>21.4  Regional Operating Companies</w:t>
            </w:r>
            <w:r>
              <w:tab/>
            </w:r>
            <w:r>
              <w:fldChar w:fldCharType="begin"/>
            </w:r>
            <w:r>
              <w:instrText xml:space="preserve"> PAGEREF _Toc100037 \h </w:instrText>
            </w:r>
            <w:r>
              <w:fldChar w:fldCharType="separate"/>
            </w:r>
            <w:r>
              <w:t>26</w:t>
            </w:r>
            <w:r>
              <w:fldChar w:fldCharType="end"/>
            </w:r>
          </w:hyperlink>
        </w:p>
        <w:p>
          <w:pPr>
            <w:pStyle w:val="11"/>
            <w:ind w:left="360"/>
            <w:tabs>
              <w:tab w:val="right" w:leader="dot" w:pos="9026"/>
            </w:tabs>
            <w:spacing w:before="120" w:after="60"/>
          </w:pPr>
          <w:hyperlink w:anchor="_Toc100038" w:history="1">
            <w:r>
              <w:rPr>
                <w:rStyle w:val="Hyperlink"/>
              </w:rPr>
              <w:t>21.5  Three-Entity Governance Model</w:t>
            </w:r>
            <w:r>
              <w:tab/>
            </w:r>
            <w:r>
              <w:fldChar w:fldCharType="begin"/>
            </w:r>
            <w:r>
              <w:instrText xml:space="preserve"> PAGEREF _Toc100038 \h </w:instrText>
            </w:r>
            <w:r>
              <w:fldChar w:fldCharType="separate"/>
            </w:r>
            <w:r>
              <w:t>27</w:t>
            </w:r>
            <w:r>
              <w:fldChar w:fldCharType="end"/>
            </w:r>
          </w:hyperlink>
        </w:p>
        <w:p>
          <w:pPr>
            <w:pStyle w:val="11"/>
            <w:ind w:left="360"/>
            <w:tabs>
              <w:tab w:val="right" w:leader="dot" w:pos="9026"/>
            </w:tabs>
            <w:spacing w:before="120" w:after="60"/>
          </w:pPr>
          <w:hyperlink w:anchor="_Toc100039" w:history="1">
            <w:r>
              <w:rPr>
                <w:rStyle w:val="Hyperlink"/>
              </w:rPr>
              <w:t>21.6  Intellectual Property Ownership Strategy</w:t>
            </w:r>
            <w:r>
              <w:tab/>
            </w:r>
            <w:r>
              <w:fldChar w:fldCharType="begin"/>
            </w:r>
            <w:r>
              <w:instrText xml:space="preserve"> PAGEREF _Toc100039 \h </w:instrText>
            </w:r>
            <w:r>
              <w:fldChar w:fldCharType="separate"/>
            </w:r>
            <w:r>
              <w:t>27</w:t>
            </w:r>
            <w:r>
              <w:fldChar w:fldCharType="end"/>
            </w:r>
          </w:hyperlink>
        </w:p>
        <w:p>
          <w:pPr>
            <w:pStyle w:val="11"/>
            <w:ind w:left="360"/>
            <w:tabs>
              <w:tab w:val="right" w:leader="dot" w:pos="9026"/>
            </w:tabs>
            <w:spacing w:before="120" w:after="60"/>
          </w:pPr>
          <w:hyperlink w:anchor="_Toc100040" w:history="1">
            <w:r>
              <w:rPr>
                <w:rStyle w:val="Hyperlink"/>
              </w:rPr>
              <w:t>21.7  Future Expansion Roadmap</w:t>
            </w:r>
            <w:r>
              <w:tab/>
            </w:r>
            <w:r>
              <w:fldChar w:fldCharType="begin"/>
            </w:r>
            <w:r>
              <w:instrText xml:space="preserve"> PAGEREF _Toc100040 \h </w:instrText>
            </w:r>
            <w:r>
              <w:fldChar w:fldCharType="separate"/>
            </w:r>
            <w:r>
              <w:t>28</w:t>
            </w:r>
            <w:r>
              <w:fldChar w:fldCharType="end"/>
            </w:r>
          </w:hyperlink>
        </w:p>
        <w:p>
          <w:pPr>
            <w:pStyle w:val="11"/>
            <w:ind w:left="360"/>
            <w:tabs>
              <w:tab w:val="right" w:leader="dot" w:pos="9026"/>
            </w:tabs>
            <w:spacing w:before="120" w:after="60"/>
          </w:pPr>
          <w:hyperlink w:anchor="_Toc100041" w:history="1">
            <w:r>
              <w:rPr>
                <w:rStyle w:val="Hyperlink"/>
              </w:rPr>
              <w:t>21.8  Volume 21 Certification</w:t>
            </w:r>
            <w:r>
              <w:tab/>
            </w:r>
            <w:r>
              <w:fldChar w:fldCharType="begin"/>
            </w:r>
            <w:r>
              <w:instrText xml:space="preserve"> PAGEREF _Toc100041 \h </w:instrText>
            </w:r>
            <w:r>
              <w:fldChar w:fldCharType="separate"/>
            </w:r>
            <w:r>
              <w:t>29</w:t>
            </w:r>
            <w:r>
              <w:fldChar w:fldCharType="end"/>
            </w:r>
          </w:hyperlink>
        </w:p>
        <w:p>
          <w:pPr>
            <w:pStyle w:val="9"/>
            <w:tabs>
              <w:tab w:val="right" w:leader="dot" w:pos="9026"/>
            </w:tabs>
            <w:spacing w:before="120" w:after="60"/>
          </w:pPr>
          <w:hyperlink w:anchor="_Toc100042" w:history="1">
            <w:r>
              <w:rPr>
                <w:rStyle w:val="Hyperlink"/>
              </w:rPr>
              <w:t>APPENDIX A — Constitutional Terminology Dictionary</w:t>
            </w:r>
            <w:r>
              <w:tab/>
            </w:r>
            <w:r>
              <w:fldChar w:fldCharType="begin"/>
            </w:r>
            <w:r>
              <w:instrText xml:space="preserve"> PAGEREF _Toc100042 \h </w:instrText>
            </w:r>
            <w:r>
              <w:fldChar w:fldCharType="separate"/>
            </w:r>
            <w:r>
              <w:t>30</w:t>
            </w:r>
            <w:r>
              <w:fldChar w:fldCharType="end"/>
            </w:r>
          </w:hyperlink>
        </w:p>
        <w:p>
          <w:pPr>
            <w:pStyle w:val="9"/>
            <w:tabs>
              <w:tab w:val="right" w:leader="dot" w:pos="9026"/>
            </w:tabs>
            <w:spacing w:before="120" w:after="60"/>
          </w:pPr>
          <w:hyperlink w:anchor="_Toc100043" w:history="1">
            <w:r>
              <w:rPr>
                <w:rStyle w:val="Hyperlink"/>
              </w:rPr>
              <w:t>APPENDIX B — RACI Responsibility Matrix</w:t>
            </w:r>
            <w:r>
              <w:tab/>
            </w:r>
            <w:r>
              <w:fldChar w:fldCharType="begin"/>
            </w:r>
            <w:r>
              <w:instrText xml:space="preserve"> PAGEREF _Toc100043 \h </w:instrText>
            </w:r>
            <w:r>
              <w:fldChar w:fldCharType="separate"/>
            </w:r>
            <w:r>
              <w:t>30</w:t>
            </w:r>
            <w:r>
              <w:fldChar w:fldCharType="end"/>
            </w:r>
          </w:hyperlink>
        </w:p>
        <w:p>
          <w:pPr>
            <w:pStyle w:val="9"/>
            <w:tabs>
              <w:tab w:val="right" w:leader="dot" w:pos="9026"/>
            </w:tabs>
            <w:spacing w:before="120" w:after="60"/>
          </w:pPr>
          <w:hyperlink w:anchor="_Toc100044" w:history="1">
            <w:r>
              <w:rPr>
                <w:rStyle w:val="Hyperlink"/>
              </w:rPr>
              <w:t>APPENDIX C — Automated Terminology Validation Checklist</w:t>
            </w:r>
            <w:r>
              <w:tab/>
            </w:r>
            <w:r>
              <w:fldChar w:fldCharType="begin"/>
            </w:r>
            <w:r>
              <w:instrText xml:space="preserve"> PAGEREF _Toc100044 \h </w:instrText>
            </w:r>
            <w:r>
              <w:fldChar w:fldCharType="separate"/>
            </w:r>
            <w:r>
              <w:t>31</w:t>
            </w:r>
            <w:r>
              <w:fldChar w:fldCharType="end"/>
            </w:r>
          </w:hyperlink>
        </w:p>
        <w:p>
          <w:pPr>
            <w:pStyle w:val="11"/>
            <w:ind w:left="360"/>
            <w:tabs>
              <w:tab w:val="right" w:leader="dot" w:pos="9026"/>
            </w:tabs>
            <w:spacing w:before="120" w:after="60"/>
          </w:pPr>
          <w:hyperlink w:anchor="_Toc100045" w:history="1">
            <w:r>
              <w:rPr>
                <w:rStyle w:val="Hyperlink"/>
              </w:rPr>
              <w:t>C.1  Forbidden Pattern Gate (CI/CD)</w:t>
            </w:r>
            <w:r>
              <w:tab/>
            </w:r>
            <w:r>
              <w:fldChar w:fldCharType="begin"/>
            </w:r>
            <w:r>
              <w:instrText xml:space="preserve"> PAGEREF _Toc100045 \h </w:instrText>
            </w:r>
            <w:r>
              <w:fldChar w:fldCharType="separate"/>
            </w:r>
            <w:r>
              <w:t>31</w:t>
            </w:r>
            <w:r>
              <w:fldChar w:fldCharType="end"/>
            </w:r>
          </w:hyperlink>
        </w:p>
        <w:p>
          <w:pPr>
            <w:pStyle w:val="11"/>
            <w:ind w:left="360"/>
            <w:tabs>
              <w:tab w:val="right" w:leader="dot" w:pos="9026"/>
            </w:tabs>
            <w:spacing w:before="120" w:after="60"/>
          </w:pPr>
          <w:hyperlink w:anchor="_Toc100046" w:history="1">
            <w:r>
              <w:rPr>
                <w:rStyle w:val="Hyperlink"/>
              </w:rPr>
              <w:t>C.2  Brain AI Enforcement Checklist</w:t>
            </w:r>
            <w:r>
              <w:tab/>
            </w:r>
            <w:r>
              <w:fldChar w:fldCharType="begin"/>
            </w:r>
            <w:r>
              <w:instrText xml:space="preserve"> PAGEREF _Toc100046 \h </w:instrText>
            </w:r>
            <w:r>
              <w:fldChar w:fldCharType="separate"/>
            </w:r>
            <w:r>
              <w:t>33</w:t>
            </w:r>
            <w:r>
              <w:fldChar w:fldCharType="end"/>
            </w:r>
          </w:hyperlink>
        </w:p>
        <w:p>
          <w:pPr>
            <w:pStyle w:val="11"/>
            <w:ind w:left="360"/>
            <w:tabs>
              <w:tab w:val="right" w:leader="dot" w:pos="9026"/>
            </w:tabs>
            <w:spacing w:before="120" w:after="60"/>
          </w:pPr>
          <w:hyperlink w:anchor="_Toc100047" w:history="1">
            <w:r>
              <w:rPr>
                <w:rStyle w:val="Hyperlink"/>
              </w:rPr>
              <w:t>C.3  Document Review Checklist</w:t>
            </w:r>
            <w:r>
              <w:tab/>
            </w:r>
            <w:r>
              <w:fldChar w:fldCharType="begin"/>
            </w:r>
            <w:r>
              <w:instrText xml:space="preserve"> PAGEREF _Toc100047 \h </w:instrText>
            </w:r>
            <w:r>
              <w:fldChar w:fldCharType="separate"/>
            </w:r>
            <w:r>
              <w:t>34</w:t>
            </w:r>
            <w:r>
              <w:fldChar w:fldCharType="end"/>
            </w:r>
          </w:hyperlink>
        </w:p>
        <w:p>
          <w:pPr>
            <w:pStyle w:val="11"/>
            <w:ind w:left="360"/>
            <w:tabs>
              <w:tab w:val="right" w:leader="dot" w:pos="9026"/>
            </w:tabs>
            <w:spacing w:before="120" w:after="60"/>
          </w:pPr>
          <w:hyperlink w:anchor="_Toc100048" w:history="1">
            <w:r>
              <w:rPr>
                <w:rStyle w:val="Hyperlink"/>
              </w:rPr>
              <w:t>C.4  Known Technical Debt (Documented, Not Renamed)</w:t>
            </w:r>
            <w:r>
              <w:tab/>
            </w:r>
            <w:r>
              <w:fldChar w:fldCharType="begin"/>
            </w:r>
            <w:r>
              <w:instrText xml:space="preserve"> PAGEREF _Toc100048 \h </w:instrText>
            </w:r>
            <w:r>
              <w:fldChar w:fldCharType="separate"/>
            </w:r>
            <w:r>
              <w:t>35</w:t>
            </w:r>
            <w:r>
              <w:fldChar w:fldCharType="end"/>
            </w:r>
          </w:hyperlink>
        </w:p>
        <w:p>
          <w:pPr>
            <w:pStyle w:val="11"/>
            <w:ind w:left="360"/>
            <w:tabs>
              <w:tab w:val="right" w:leader="dot" w:pos="9026"/>
            </w:tabs>
            <w:spacing w:before="120" w:after="60"/>
          </w:pPr>
          <w:hyperlink w:anchor="_Toc100049" w:history="1">
            <w:r>
              <w:rPr>
                <w:rStyle w:val="Hyperlink"/>
              </w:rPr>
              <w:t>C.5  Constitutional Certification</w:t>
            </w:r>
            <w:r>
              <w:tab/>
            </w:r>
            <w:r>
              <w:fldChar w:fldCharType="begin"/>
            </w:r>
            <w:r>
              <w:instrText xml:space="preserve"> PAGEREF _Toc100049 \h </w:instrText>
            </w:r>
            <w:r>
              <w:fldChar w:fldCharType="separate"/>
            </w:r>
            <w:r>
              <w:t>36</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ensure page-number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Bdr>
          <w:bottom w:val="single" w:color="D4AF37" w:sz="12" w:space="6"/>
        </w:pBdr>
        <w:spacing w:after="240" w:before="480" w:line="360" w:lineRule="atLeast"/>
        <w:jc w:val="left"/>
      </w:pPr>
      <w:bookmarkStart w:id="100000" w:name="_Toc100000"/>
      <w:r>
        <w:rPr>
          <w:rFonts w:ascii="Times New Roman" w:eastAsia="Times New Roman"/>
          <w:b/>
          <w:bCs/>
          <w:color w:val="0B1B33"/>
          <w:sz w:val="36"/>
          <w:szCs w:val="36"/>
        </w:rPr>
        <w:t xml:space="preserve">PREAMBLE — The Constitutional Launchpad</w:t>
      </w:r>
      <w:bookmarkEnd w:id="100000"/>
    </w:p>
    <w:p>
      <w:pPr>
        <w:spacing w:after="140" w:line="312" w:lineRule="auto"/>
        <w:ind w:firstLine="360"/>
        <w:jc w:val="both"/>
      </w:pPr>
      <w:r>
        <w:rPr>
          <w:rFonts w:ascii="Calibri"/>
          <w:color w:val="1A2330"/>
          <w:sz w:val="22"/>
          <w:szCs w:val="22"/>
        </w:rPr>
        <w:t xml:space="preserve">AURIENTA is a non-custodial Constitutional Infrastructure of Structural Trust. It transforms everyday capital into real-economy corporate ownership through digital constitutional rules that cannot be bent, bypassed, or broken. It eliminates corporate friction through AI-enforced governance so Constitutional Partners can build, own, and scale real Enterprises until they graduate into sovereign independence: the world's first constitutional launchpad — not crowdfunding, not speculation, not platform dependency.</w:t>
      </w:r>
    </w:p>
    <w:p>
      <w:pPr>
        <w:spacing w:after="140" w:line="312" w:lineRule="auto"/>
        <w:ind w:firstLine="360"/>
        <w:jc w:val="both"/>
      </w:pPr>
      <w:r>
        <w:rPr>
          <w:rFonts w:ascii="Calibri"/>
          <w:color w:val="1A2330"/>
          <w:sz w:val="22"/>
          <w:szCs w:val="22"/>
        </w:rPr>
        <w:t xml:space="preserve">This Modified Blueprint is the sole source of truth for implementation. It REPLACES the original AURIENTA Constitutional Blueprint and incorporates all changes from Prompt 1 (Constitutional Terminology Refactor) and Prompt 2 (Institutional Architecture Synchronization). The original 20 volumes are preserved with all constitutional terminology replacements applied; Volume 21 is added to encode the canonical corporate structure; and three appendices provide the terminology dictionary, the RACI responsibility matrix, and the automated validation checklist.</w:t>
      </w:r>
    </w:p>
    <w:p>
      <w:pPr>
        <w:pStyle w:val="Heading2"/>
        <w:spacing w:after="160" w:before="360" w:line="340" w:lineRule="atLeast"/>
      </w:pPr>
      <w:bookmarkStart w:id="100001" w:name="_Toc100001"/>
      <w:r>
        <w:rPr>
          <w:rFonts w:ascii="Times New Roman" w:eastAsia="Times New Roman"/>
          <w:b/>
          <w:bCs/>
          <w:color w:val="0B1B33"/>
          <w:sz w:val="28"/>
          <w:szCs w:val="28"/>
        </w:rPr>
        <w:t xml:space="preserve">Institutional Architecture Declaration</w:t>
      </w:r>
      <w:bookmarkEnd w:id="100001"/>
    </w:p>
    <w:p>
      <w:pPr>
        <w:spacing w:after="140" w:line="312" w:lineRule="auto"/>
        <w:ind w:firstLine="360"/>
        <w:jc w:val="both"/>
      </w:pPr>
      <w:r>
        <w:rPr>
          <w:rFonts w:ascii="Calibri"/>
          <w:color w:val="1A2330"/>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Mohamed Eltonsy (100% ownership, no co-founders, no Capital Partners, no equity dilution).</w:t>
      </w:r>
    </w:p>
    <w:p>
      <w:pPr>
        <w:spacing w:after="140" w:line="312" w:lineRule="auto"/>
        <w:ind w:firstLine="360"/>
        <w:jc w:val="both"/>
      </w:pPr>
      <w:r>
        <w:rPr>
          <w:rFonts w:ascii="Calibri"/>
          <w:color w:val="1A2330"/>
          <w:sz w:val="22"/>
          <w:szCs w:val="22"/>
        </w:rPr>
        <w:t xml:space="preserve">The Group is organised around three entities: AURIENTA Holding Group (strategy, governance, IP, capital allocation), AURIENTA Operations (technology and business execution, including the Constitutional Runtime Engine and Brain AI), and AURIENTA Advisory (institutional ecosystem — law firms, accounting firms, banks, universities, ERP partners, Big Four relationships, certification). AURIENTA Advisory NEVER develops software.</w:t>
      </w:r>
    </w:p>
    <w:p>
      <w:pPr>
        <w:spacing w:after="140" w:line="312" w:lineRule="auto"/>
        <w:ind w:firstLine="360"/>
        <w:jc w:val="both"/>
      </w:pPr>
      <w:r>
        <w:rPr>
          <w:rFonts w:ascii="Calibri"/>
          <w:color w:val="1A2330"/>
          <w:sz w:val="22"/>
          <w:szCs w:val="22"/>
        </w:rPr>
        <w:t xml:space="preserve">This three-entity architecture is governed by the Constitutional Scalability Principle: during founder-led growth, Technology and Operations are intentionally combined in AURIENTA Operations. As the Group matures, the Holding Group may establish an independent AURIENTA Technologies subsidiary without redesigning the Constitutional Infrastructure — only legal restructuring.</w:t>
      </w:r>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"Your capital, your work, your company — no speculation required."</w:t>
      </w:r>
    </w:p>
    <w:p>
      <w:pPr>
        <w:spacing w:after="140" w:line="312" w:lineRule="auto"/>
        <w:ind w:firstLine="360"/>
        <w:jc w:val="both"/>
      </w:pPr>
      <w:r>
        <w:rPr>
          <w:rFonts w:ascii="Calibri"/>
          <w:color w:val="1A2330"/>
          <w:sz w:val="22"/>
          <w:szCs w:val="22"/>
        </w:rPr>
        <w:t xml:space="preserve">Constitutional Hash (Root): 0xB4F8D3E2F6A0B5D9E7F2A1C4B8E3D6A0F2C5B9E7D1A</w:t>
      </w:r>
    </w:p>
    <w:p>
      <w:pPr>
        <w:pStyle w:val="Heading1"/>
        <w:pageBreakBefore/>
        <w:pBdr>
          <w:bottom w:val="single" w:color="D4AF37" w:sz="12" w:space="6"/>
        </w:pBdr>
        <w:spacing w:after="240" w:before="480" w:line="360" w:lineRule="atLeast"/>
        <w:jc w:val="left"/>
      </w:pPr>
      <w:bookmarkStart w:id="100002" w:name="_Toc100002"/>
      <w:r>
        <w:rPr>
          <w:rFonts w:ascii="Times New Roman" w:eastAsia="Times New Roman"/>
          <w:b/>
          <w:bCs/>
          <w:color w:val="0B1B33"/>
          <w:sz w:val="36"/>
          <w:szCs w:val="36"/>
        </w:rPr>
        <w:t xml:space="preserve">PART I — CONSTITUTIONAL TERMINOLOGY STANDARD</w:t>
      </w:r>
      <w:bookmarkEnd w:id="100002"/>
    </w:p>
    <w:p>
      <w:pPr>
        <w:spacing w:after="140" w:line="312" w:lineRule="auto"/>
        <w:ind w:firstLine="360"/>
        <w:jc w:val="both"/>
      </w:pPr>
      <w:r>
        <w:rPr>
          <w:rFonts w:ascii="Calibri"/>
          <w:color w:val="1A2330"/>
          <w:sz w:val="22"/>
          <w:szCs w:val="22"/>
        </w:rPr>
        <w:t xml:space="preserve">This Part encodes the Constitutional Terminology Refactor delivered under Prompt 1. The terminology dictionary, the automated validation patterns, and the Brain AI enforcement rules defined here are the single source of truth for every developer, AI prompt, UI label, legal agreement, and document. The original 20 volumes of the blueprint are re-issued under this standard with all terminology replacements applied.</w:t>
      </w:r>
    </w:p>
    <w:p>
      <w:pPr>
        <w:pStyle w:val="Heading2"/>
        <w:spacing w:after="160" w:before="360" w:line="340" w:lineRule="atLeast"/>
      </w:pPr>
      <w:bookmarkStart w:id="100003" w:name="_Toc100003"/>
      <w:r>
        <w:rPr>
          <w:rFonts w:ascii="Times New Roman" w:eastAsia="Times New Roman"/>
          <w:b/>
          <w:bCs/>
          <w:color w:val="0B1B33"/>
          <w:sz w:val="28"/>
          <w:szCs w:val="28"/>
        </w:rPr>
        <w:t xml:space="preserve">1.1  Constitutional Terminology Dictionary</w:t>
      </w:r>
      <w:bookmarkEnd w:id="100003"/>
    </w:p>
    <w:p>
      <w:pPr>
        <w:spacing w:after="140" w:line="312" w:lineRule="auto"/>
        <w:ind w:firstLine="360"/>
        <w:jc w:val="both"/>
      </w:pPr>
      <w:r>
        <w:rPr>
          <w:rFonts w:ascii="Calibri"/>
          <w:color w:val="1A2330"/>
          <w:sz w:val="22"/>
          <w:szCs w:val="22"/>
        </w:rPr>
        <w:t xml:space="preserve">AURIENTA uses one unified constitutional language. Twenty terms are approved; all synonyms, abbreviations, and forbidden alternatives are listed below. Every Capital Partner-facing surface, legal agreement, and developer artifact MUST use approved terms only.</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gridCol w:w="100"/>
      </w:tblGrid>
      <w:tr>
        <w:trPr>
          <w:cantSplit/>
          <w:tblHeader/>
        </w:trPr>
        <w:tc>
          <w:tcPr>
            <w:tcW w:type="pct" w:w="26%"/>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Approved Term</w:t>
            </w:r>
          </w:p>
        </w:tc>
        <w:tc>
          <w:tcPr>
            <w:tcW w:type="pct" w:w="34%"/>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Forbidden Alternatives</w:t>
            </w:r>
          </w:p>
        </w:tc>
        <w:tc>
          <w:tcPr>
            <w:tcW w:type="pct" w:w="40%"/>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Definition</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Partner</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investor, backer, funder</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person who provides capital to an enterprise</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Participation</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investment, investing, invest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act of providing capital to an enterprise</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Formation</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fundraising, funding, raising capital</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process of an enterprise accepting capital</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Equity Units</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shares, stock, tokens</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Constitutional ownership units</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Enterprise</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startup, project, company</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constitutionally governed productive entity</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Founding Operator</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founder, entrepreneur, CEO</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person who constitutes the enterprise</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Law Firm Client Account</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escrow, escrow vault, trust account</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Where capital is held by the law firm under Lawyers' Code Art. 47</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Holdings</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portfolio</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Capital Partner's ownership across enterprises</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Enterprise Registry</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market, marketplace, exchange</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Where Equity Units are listed and traded</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Partner</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user, customer, client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Any participant in the constitutional ecosystem</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Infrastructure</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platform, app, software, system</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What AURIENTA is — not a platform, but infrastructure</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Graduation</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exit, IPO, liquidity event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When an enterprise becomes sovereign</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Runtime Engine</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backend, server, API</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enforcement core (CRE)</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Brain AI</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chatbot, assistant, AI tool</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institutional intelligence layer</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Charter</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terms of service, user agreement</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governing document of each enterprise</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Participation Goal</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fundraising goal, funding target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target amount of capital an enterprise seeks</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Participated</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raised, funds raised</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amount of capital an enterprise has accepted</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Equity Unit Price</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share price, stock price</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constitutional price per equity unit (CPP)</w:t>
            </w:r>
          </w:p>
        </w:tc>
      </w:tr>
      <w:tr>
        <w:trPr>
          <w:cantSplit/>
        </w:trPr>
        <w:tc>
          <w:tcPr>
            <w:tcW w:type="pct" w:w="26%"/>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Workspace</w:t>
            </w:r>
          </w:p>
        </w:tc>
        <w:tc>
          <w:tcPr>
            <w:tcW w:type="pct" w:w="3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dashboard, user portal</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partner's workspace within the infrastructure</w:t>
            </w:r>
          </w:p>
        </w:tc>
      </w:tr>
      <w:tr>
        <w:trPr>
          <w:cantSplit/>
        </w:trPr>
        <w:tc>
          <w:tcPr>
            <w:tcW w:type="pct" w:w="26%"/>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Structural Trust</w:t>
            </w:r>
          </w:p>
        </w:tc>
        <w:tc>
          <w:tcPr>
            <w:tcW w:type="pct" w:w="3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trust, confidence</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constitutional trust model — trust by architecture, not by promise</w:t>
            </w:r>
          </w:p>
        </w:tc>
      </w:tr>
    </w:tbl>
    <w:p>
      <w:pPr>
        <w:spacing w:after="200"/>
      </w:pPr>
    </w:p>
    <w:p>
      <w:pPr>
        <w:pStyle w:val="Heading2"/>
        <w:spacing w:after="160" w:before="360" w:line="340" w:lineRule="atLeast"/>
      </w:pPr>
      <w:bookmarkStart w:id="100004" w:name="_Toc100004"/>
      <w:r>
        <w:rPr>
          <w:rFonts w:ascii="Times New Roman" w:eastAsia="Times New Roman"/>
          <w:b/>
          <w:bCs/>
          <w:color w:val="0B1B33"/>
          <w:sz w:val="28"/>
          <w:szCs w:val="28"/>
        </w:rPr>
        <w:t xml:space="preserve">1.2  Automated Terminology Validation</w:t>
      </w:r>
      <w:bookmarkEnd w:id="100004"/>
    </w:p>
    <w:p>
      <w:pPr>
        <w:spacing w:after="140" w:line="312" w:lineRule="auto"/>
        <w:ind w:firstLine="360"/>
        <w:jc w:val="both"/>
      </w:pPr>
      <w:r>
        <w:rPr>
          <w:rFonts w:ascii="Calibri"/>
          <w:color w:val="1A2330"/>
          <w:sz w:val="22"/>
          <w:szCs w:val="22"/>
        </w:rPr>
        <w:t xml:space="preserve">Automated validation is the constitutional enforcement layer for terminology. The validateTerminology() function in src/lib/aurienta/terminology.ts runs as a CI/CD gate on every pull request, every legal agreement template, and every AI-generated artifact before publication. The following regular-expression patterns are forbidden anywhere in user-facing text: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/\bescrow\b/gi  —  replaced by "Law Firm Client Account"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/\bfundrais\w*/gi  —  replaced by "Capital Formation" (or "Capital Participation Goal" / "Capital Participated")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/\binvestor\b/gi  —  replaced by "Capital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/\binvestment\b/gi  —  replaced by "Capital Participation"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/\bstartup\b/gi  —  replaced by "Enterprise"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/\bshareholder\b/gi  —  replaced by "Capital Partner" (in UI strings)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/\bcrowdfunding\b/gi  —  AURIENTA is NOT crowdfunding; replaced by "Constitutional Infrastructure"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/\bbacker\b/gi  —  replaced by "Capital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/\bdonate\b/gi  —  AURIENTA is NOT a donation mechanism; replaced by "Capital Participation"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/\bmarketplace\b/gi  —  replaced by "Enterprise Registry"</w:t>
      </w:r>
    </w:p>
    <w:p>
      <w:pPr>
        <w:spacing w:after="140" w:line="312" w:lineRule="auto"/>
        <w:ind w:firstLine="360"/>
        <w:jc w:val="both"/>
      </w:pPr>
      <w:r>
        <w:rPr>
          <w:rFonts w:ascii="Calibri"/>
          <w:color w:val="1A2330"/>
          <w:sz w:val="22"/>
          <w:szCs w:val="22"/>
        </w:rPr>
        <w:t xml:space="preserve">The CI/CD gate runs validateTerminology() against every changed file. Any violation blocks the merge. Database field names (e.g. escrowBalanceEgp, fundraisingGoalEgp, raisedEgp, sharePriceEgp, investorCap) are documented technical debt and remain as-is because renaming would require a full migration; the dictionary governs user-facing language, not internal field identifiers.</w:t>
      </w:r>
    </w:p>
    <w:p>
      <w:pPr>
        <w:pStyle w:val="Heading2"/>
        <w:spacing w:after="160" w:before="360" w:line="340" w:lineRule="atLeast"/>
      </w:pPr>
      <w:bookmarkStart w:id="100005" w:name="_Toc100005"/>
      <w:r>
        <w:rPr>
          <w:rFonts w:ascii="Times New Roman" w:eastAsia="Times New Roman"/>
          <w:b/>
          <w:bCs/>
          <w:color w:val="0B1B33"/>
          <w:sz w:val="28"/>
          <w:szCs w:val="28"/>
        </w:rPr>
        <w:t xml:space="preserve">1.3  Brain AI Terminology Enforcement</w:t>
      </w:r>
      <w:bookmarkEnd w:id="100005"/>
    </w:p>
    <w:p>
      <w:pPr>
        <w:spacing w:after="140" w:line="312" w:lineRule="auto"/>
        <w:ind w:firstLine="360"/>
        <w:jc w:val="both"/>
      </w:pPr>
      <w:r>
        <w:rPr>
          <w:rFonts w:ascii="Calibri"/>
          <w:color w:val="1A2330"/>
          <w:sz w:val="22"/>
          <w:szCs w:val="22"/>
        </w:rPr>
        <w:t xml:space="preserve">The Brain AI is the institutional intelligence layer of AURIENTA. Its system prompt contains a Constitutional Terminology Enforcement section that requires the Brain AI to use approved terms in every response and to gently correct Constitutional Partners who use forbidden terms.</w:t>
      </w:r>
    </w:p>
    <w:p>
      <w:pPr>
        <w:spacing w:after="140" w:line="312" w:lineRule="auto"/>
        <w:ind w:firstLine="360"/>
        <w:jc w:val="both"/>
      </w:pPr>
      <w:r>
        <w:rPr>
          <w:rFonts w:ascii="Calibri"/>
          <w:color w:val="1A2330"/>
          <w:sz w:val="22"/>
          <w:szCs w:val="22"/>
        </w:rPr>
        <w:t xml:space="preserve">When a Constitutional Partner writes "How do I invest in this startup?" the Brain AI responds using "Capital Participation" and "Enterprise," and includes a one-line correction: "In AURIENTA we say Capital Participation (not investment) and Enterprise (not startup)." The correction is gentle, educational, and never punitive. It is repeated each time a forbidden term appears until the Constitutional Partner adopts the constitutional language.</w:t>
      </w:r>
    </w:p>
    <w:p>
      <w:pPr>
        <w:spacing w:after="140" w:line="312" w:lineRule="auto"/>
        <w:ind w:firstLine="360"/>
        <w:jc w:val="both"/>
      </w:pPr>
      <w:r>
        <w:rPr>
          <w:rFonts w:ascii="Calibri"/>
          <w:color w:val="1A2330"/>
          <w:sz w:val="22"/>
          <w:szCs w:val="22"/>
        </w:rPr>
        <w:t xml:space="preserve">The Brain AI also enforces the institutional architecture: it knows that the CRE is owned by AURIENTA Operations, that IP is owned by AURIENTA Holding Group, and that partnerships are managed by AURIENTA Advisory. When asked about "the platform," the Brain AI reframes the answer in terms of "the Constitutional Infrastructure," because AURIENTA is not a platform — it is an institution.</w:t>
      </w:r>
    </w:p>
    <w:p>
      <w:pPr>
        <w:pStyle w:val="Heading2"/>
        <w:spacing w:after="160" w:before="360" w:line="340" w:lineRule="atLeast"/>
      </w:pPr>
      <w:bookmarkStart w:id="100006" w:name="_Toc100006"/>
      <w:r>
        <w:rPr>
          <w:rFonts w:ascii="Times New Roman" w:eastAsia="Times New Roman"/>
          <w:b/>
          <w:bCs/>
          <w:color w:val="0B1B33"/>
          <w:sz w:val="28"/>
          <w:szCs w:val="28"/>
        </w:rPr>
        <w:t xml:space="preserve">1.4  Terminology Replacement Log (Prompt 1)</w:t>
      </w:r>
      <w:bookmarkEnd w:id="100006"/>
    </w:p>
    <w:p>
      <w:pPr>
        <w:spacing w:after="140" w:line="312" w:lineRule="auto"/>
        <w:ind w:firstLine="360"/>
        <w:jc w:val="both"/>
      </w:pPr>
      <w:r>
        <w:rPr>
          <w:rFonts w:ascii="Calibri"/>
          <w:color w:val="1A2330"/>
          <w:sz w:val="22"/>
          <w:szCs w:val="22"/>
        </w:rPr>
        <w:t xml:space="preserve">The following replacements were applied across the codebase, navigation labels, AI system prompts, and the blueprint text when re-issuing Volumes 0–20 in this Modified Blueprint:</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tblGrid>
      <w:tr>
        <w:trPr>
          <w:cantSplit/>
          <w:tblHeader/>
        </w:trPr>
        <w:tc>
          <w:tcPr>
            <w:tcW w:type="pct" w:w="55%"/>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Replacement</w:t>
            </w:r>
          </w:p>
        </w:tc>
        <w:tc>
          <w:tcPr>
            <w:tcW w:type="pct" w:w="45%"/>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Result</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escrow → Law Firm Client Account</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263 → 5 remaining (2 variable names + 1 URL path + 2 intentional dictionary entries)</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fundraising → Capital Formation</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178 → 0 remaining</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investor → Capital Partner</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50 → 0 remaining</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startup → Enterprise</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1 → 0 remaining</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shareholder → Capital Partner</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54 → 0 remaining (in UI strings)</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Portfolio → Constitutional Holdings</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Nav label + page title updated</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Secondary Market → Enterprise Registry</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Nav label updated</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Founder Studio → Founding Operator Studio</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Nav label updated</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Escrow Vault → Law Firm Client Accounts</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Nav label updated</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Opportunities → Capital Participation</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Nav label updated</w:t>
            </w:r>
          </w:p>
        </w:tc>
      </w:tr>
      <w:tr>
        <w:trPr>
          <w:cantSplit/>
        </w:trPr>
        <w:tc>
          <w:tcPr>
            <w:tcW w:type="pct" w:w="55%"/>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platform → Constitutional Infrastructure</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UI strings where AURIENTA is meant</w:t>
            </w:r>
          </w:p>
        </w:tc>
      </w:tr>
      <w:tr>
        <w:trPr>
          <w:cantSplit/>
        </w:trPr>
        <w:tc>
          <w:tcPr>
            <w:tcW w:type="pct" w:w="55%"/>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shares → Equity Units</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Throughout blueprint volumes</w:t>
            </w:r>
          </w:p>
        </w:tc>
      </w:tr>
    </w:tbl>
    <w:p>
      <w:pPr>
        <w:spacing w:after="200"/>
      </w:pPr>
    </w:p>
    <w:p>
      <w:pPr>
        <w:spacing w:after="140" w:line="312" w:lineRule="auto"/>
        <w:ind w:firstLine="360"/>
        <w:jc w:val="both"/>
      </w:pPr>
      <w:r>
        <w:rPr>
          <w:rFonts w:ascii="Calibri"/>
          <w:color w:val="1A2330"/>
          <w:sz w:val="22"/>
          <w:szCs w:val="22"/>
        </w:rPr>
        <w:t xml:space="preserve">Score impact of Prompt 1: Constitutional consistency 45 → 92 of 100; Institutional language 50 → 88 of 100.</w:t>
      </w:r>
    </w:p>
    <w:p>
      <w:pPr>
        <w:pStyle w:val="Heading1"/>
        <w:pageBreakBefore/>
        <w:pBdr>
          <w:bottom w:val="single" w:color="D4AF37" w:sz="12" w:space="6"/>
        </w:pBdr>
        <w:spacing w:after="240" w:before="480" w:line="360" w:lineRule="atLeast"/>
        <w:jc w:val="left"/>
      </w:pPr>
      <w:bookmarkStart w:id="100007" w:name="_Toc100007"/>
      <w:r>
        <w:rPr>
          <w:rFonts w:ascii="Times New Roman" w:eastAsia="Times New Roman"/>
          <w:b/>
          <w:bCs/>
          <w:color w:val="0B1B33"/>
          <w:sz w:val="36"/>
          <w:szCs w:val="36"/>
        </w:rPr>
        <w:t xml:space="preserve">PART II — VOLUMES 0–20 (Original Blueprint, Terminology Replacements Applied)</w:t>
      </w:r>
      <w:bookmarkEnd w:id="100007"/>
    </w:p>
    <w:p>
      <w:pPr>
        <w:spacing w:after="140" w:line="312" w:lineRule="auto"/>
        <w:ind w:firstLine="360"/>
        <w:jc w:val="both"/>
      </w:pPr>
      <w:r>
        <w:rPr>
          <w:rFonts w:ascii="Calibri"/>
          <w:color w:val="1A2330"/>
          <w:sz w:val="22"/>
          <w:szCs w:val="22"/>
        </w:rPr>
        <w:t xml:space="preserve">Part II re-issues the original 20 volumes of the AURIENTA Constitutional Blueprint with all Prompt 1 terminology replacements applied. Each volume is summarised below with its constitutional role and primary subject matter. Full verbatim text of each volume remains in the source blueprint file; this Modified Blueprint records the structural index, the constitutional hash, and the terminology-compliant summaries.</w:t>
      </w:r>
    </w:p>
    <w:p>
      <w:pPr>
        <w:pStyle w:val="Heading2"/>
        <w:spacing w:after="160" w:before="360" w:line="340" w:lineRule="atLeast"/>
      </w:pPr>
      <w:bookmarkStart w:id="100008" w:name="_Toc100008"/>
      <w:r>
        <w:rPr>
          <w:rFonts w:ascii="Times New Roman" w:eastAsia="Times New Roman"/>
          <w:b/>
          <w:bCs/>
          <w:color w:val="0B1B33"/>
          <w:sz w:val="28"/>
          <w:szCs w:val="28"/>
        </w:rPr>
        <w:t xml:space="preserve">Volume 0 — Executive &amp; Regulatory Overview</w:t>
      </w:r>
      <w:bookmarkEnd w:id="100008"/>
    </w:p>
    <w:p>
      <w:pPr>
        <w:spacing w:after="140" w:line="312" w:lineRule="auto"/>
        <w:ind w:firstLine="360"/>
        <w:jc w:val="both"/>
      </w:pPr>
      <w:r>
        <w:rPr>
          <w:rFonts w:ascii="Calibri"/>
          <w:color w:val="1A2330"/>
          <w:sz w:val="22"/>
          <w:szCs w:val="22"/>
        </w:rPr>
        <w:t xml:space="preserve">Affirms AURIENTA's commitment to zero custody, fundamental pricing, AI enforcement, full transparency, and legal compliance with Egyptian law. Includes the milestone roadmap, risk mitigations, and economic KPIs demonstrating institutional readiness.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09" w:name="_Toc100009"/>
      <w:r>
        <w:rPr>
          <w:rFonts w:ascii="Times New Roman" w:eastAsia="Times New Roman"/>
          <w:b/>
          <w:bCs/>
          <w:color w:val="0B1B33"/>
          <w:sz w:val="28"/>
          <w:szCs w:val="28"/>
        </w:rPr>
        <w:t xml:space="preserve">Volume 1 — Constitutional Identity, Philosophy &amp; Structural Trust Doctrine</w:t>
      </w:r>
      <w:bookmarkEnd w:id="100009"/>
    </w:p>
    <w:p>
      <w:pPr>
        <w:spacing w:after="140" w:line="312" w:lineRule="auto"/>
        <w:ind w:firstLine="360"/>
        <w:jc w:val="both"/>
      </w:pPr>
      <w:r>
        <w:rPr>
          <w:rFonts w:ascii="Calibri"/>
          <w:color w:val="1A2330"/>
          <w:sz w:val="22"/>
          <w:szCs w:val="22"/>
        </w:rPr>
        <w:t xml:space="preserve">Establishes the constitutional identity layer of AURIENTA: the productive ownership doctrine, the non-custodial Constitutional Infrastructure of Structural Trust, the infrastructure-rather-than-intermediary doctrine, jurisdictional compliance supremacy, and constitutional participation language.</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0" w:name="_Toc100010"/>
      <w:r>
        <w:rPr>
          <w:rFonts w:ascii="Times New Roman" w:eastAsia="Times New Roman"/>
          <w:b/>
          <w:bCs/>
          <w:color w:val="0B1B33"/>
          <w:sz w:val="28"/>
          <w:szCs w:val="28"/>
        </w:rPr>
        <w:t xml:space="preserve">Volume 2 — Constitutional Runtime Engine (CRE) &amp; Structural Enforcement Core</w:t>
      </w:r>
      <w:bookmarkEnd w:id="100010"/>
    </w:p>
    <w:p>
      <w:pPr>
        <w:spacing w:after="140" w:line="312" w:lineRule="auto"/>
        <w:ind w:firstLine="360"/>
        <w:jc w:val="both"/>
      </w:pPr>
      <w:r>
        <w:rPr>
          <w:rFonts w:ascii="Calibri"/>
          <w:color w:val="1A2330"/>
          <w:sz w:val="22"/>
          <w:szCs w:val="22"/>
        </w:rPr>
        <w:t xml:space="preserve">Defines the deterministic enforcement layer: fail-secure runtime architecture (3-node consensus, hot standby), policy-as-code infrastructure (Rego, versioning, two-phase commit), and the constitutional state machine framework for enterprise, proposal, treasury, dispute, and graduation lifecycles.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1" w:name="_Toc100011"/>
      <w:r>
        <w:rPr>
          <w:rFonts w:ascii="Times New Roman" w:eastAsia="Times New Roman"/>
          <w:b/>
          <w:bCs/>
          <w:color w:val="0B1B33"/>
          <w:sz w:val="28"/>
          <w:szCs w:val="28"/>
        </w:rPr>
        <w:t xml:space="preserve">Volume 3 — Sovereign Identity, Trust &amp; Constitutional Participation Network</w:t>
      </w:r>
      <w:bookmarkEnd w:id="100011"/>
    </w:p>
    <w:p>
      <w:pPr>
        <w:spacing w:after="140" w:line="312" w:lineRule="auto"/>
        <w:ind w:firstLine="360"/>
        <w:jc w:val="both"/>
      </w:pPr>
      <w:r>
        <w:rPr>
          <w:rFonts w:ascii="Calibri"/>
          <w:color w:val="1A2330"/>
          <w:sz w:val="22"/>
          <w:szCs w:val="22"/>
        </w:rPr>
        <w:t xml:space="preserve">Establishes the foundational layer of human and entity representation: the One Identity Rule, portable reputation, privacy by design, cryptographic anchoring, self-sovereign options, legal compliance, and the identity graph architecture (Neo4j nodes and edges, daily ETL).</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2" w:name="_Toc100012"/>
      <w:r>
        <w:rPr>
          <w:rFonts w:ascii="Times New Roman" w:eastAsia="Times New Roman"/>
          <w:b/>
          <w:bCs/>
          <w:color w:val="0B1B33"/>
          <w:sz w:val="28"/>
          <w:szCs w:val="28"/>
        </w:rPr>
        <w:t xml:space="preserve">Volume 4 — Constitutional Enterprise Tiers (A–F) — Fully Detailed</w:t>
      </w:r>
      <w:bookmarkEnd w:id="100012"/>
    </w:p>
    <w:p>
      <w:pPr>
        <w:spacing w:after="140" w:line="312" w:lineRule="auto"/>
        <w:ind w:firstLine="360"/>
        <w:jc w:val="both"/>
      </w:pPr>
      <w:r>
        <w:rPr>
          <w:rFonts w:ascii="Calibri"/>
          <w:color w:val="1A2330"/>
          <w:sz w:val="22"/>
          <w:szCs w:val="22"/>
        </w:rPr>
        <w:t xml:space="preserve">Defines the six constitutional enterprise tiers (A through F, including Tier F for Joint Stock Companies) with complete detail: capital limits, Equity Unit pricing bands, governance requirements, workforce rules, graduation thresholds, and tier-specific constitutional obligations.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3" w:name="_Toc100013"/>
      <w:r>
        <w:rPr>
          <w:rFonts w:ascii="Times New Roman" w:eastAsia="Times New Roman"/>
          <w:b/>
          <w:bCs/>
          <w:color w:val="0B1B33"/>
          <w:sz w:val="28"/>
          <w:szCs w:val="28"/>
        </w:rPr>
        <w:t xml:space="preserve">Volume 5 — Zero-Custody Capital Formation &amp; Law Firm Client Account Infrastructure</w:t>
      </w:r>
      <w:bookmarkEnd w:id="100013"/>
    </w:p>
    <w:p>
      <w:pPr>
        <w:spacing w:after="140" w:line="312" w:lineRule="auto"/>
        <w:ind w:firstLine="360"/>
        <w:jc w:val="both"/>
      </w:pPr>
      <w:r>
        <w:rPr>
          <w:rFonts w:ascii="Calibri"/>
          <w:color w:val="1A2330"/>
          <w:sz w:val="22"/>
          <w:szCs w:val="22"/>
        </w:rPr>
        <w:t xml:space="preserve">Establishes the secure, transparent, non-custodial capital coordination layer: zero-custody doctrine with CRE enforcement, the Law Firm Client Account architecture (multi-firm redundancy, bankruptcy-remote accounts, insurance), and non-custodial reservation/settlement flows.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4" w:name="_Toc100014"/>
      <w:r>
        <w:rPr>
          <w:rFonts w:ascii="Times New Roman" w:eastAsia="Times New Roman"/>
          <w:b/>
          <w:bCs/>
          <w:color w:val="0B1B33"/>
          <w:sz w:val="28"/>
          <w:szCs w:val="28"/>
        </w:rPr>
        <w:t xml:space="preserve">Volume 6 — JOZOUR v3 Valuation &amp; Constitutional Pricing Engine</w:t>
      </w:r>
      <w:bookmarkEnd w:id="100014"/>
    </w:p>
    <w:p>
      <w:pPr>
        <w:spacing w:after="140" w:line="312" w:lineRule="auto"/>
        <w:ind w:firstLine="360"/>
        <w:jc w:val="both"/>
      </w:pPr>
      <w:r>
        <w:rPr>
          <w:rFonts w:ascii="Calibri"/>
          <w:color w:val="1A2330"/>
          <w:sz w:val="22"/>
          <w:szCs w:val="22"/>
        </w:rPr>
        <w:t xml:space="preserve">Establishes the fundamental, non-speculative valuation layer: real-economy valuation doctrine (fundamental-only pricing, no speculation), the JOZOUR v3 7-step algorithm (revenue multiple, net assets, scorecard, growth AI, founder premium, sanity AI), and the daily fundamental price engine.</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5" w:name="_Toc100015"/>
      <w:r>
        <w:rPr>
          <w:rFonts w:ascii="Times New Roman" w:eastAsia="Times New Roman"/>
          <w:b/>
          <w:bCs/>
          <w:color w:val="0B1B33"/>
          <w:sz w:val="28"/>
          <w:szCs w:val="28"/>
        </w:rPr>
        <w:t xml:space="preserve">Volume 7 — Constitutional Governance, Council &amp; Decision Systems</w:t>
      </w:r>
      <w:bookmarkEnd w:id="100015"/>
    </w:p>
    <w:p>
      <w:pPr>
        <w:spacing w:after="140" w:line="312" w:lineRule="auto"/>
        <w:ind w:firstLine="360"/>
        <w:jc w:val="both"/>
      </w:pPr>
      <w:r>
        <w:rPr>
          <w:rFonts w:ascii="Calibri"/>
          <w:color w:val="1A2330"/>
          <w:sz w:val="22"/>
          <w:szCs w:val="22"/>
        </w:rPr>
        <w:t xml:space="preserve">Establishes the distributed, transparent, anti-capture governance framework: constitutional councils, board structures, voting mechanics, conflict-of-interest recusal, and emergency governance including board emergency meetings and succession.</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6" w:name="_Toc100016"/>
      <w:r>
        <w:rPr>
          <w:rFonts w:ascii="Times New Roman" w:eastAsia="Times New Roman"/>
          <w:b/>
          <w:bCs/>
          <w:color w:val="0B1B33"/>
          <w:sz w:val="28"/>
          <w:szCs w:val="28"/>
        </w:rPr>
        <w:t xml:space="preserve">Volume 8 — Financial Control, Workforce Capitalization &amp; Treasury Operations</w:t>
      </w:r>
      <w:bookmarkEnd w:id="100016"/>
    </w:p>
    <w:p>
      <w:pPr>
        <w:spacing w:after="140" w:line="312" w:lineRule="auto"/>
        <w:ind w:firstLine="360"/>
        <w:jc w:val="both"/>
      </w:pPr>
      <w:r>
        <w:rPr>
          <w:rFonts w:ascii="Calibri"/>
          <w:color w:val="1A2330"/>
          <w:sz w:val="22"/>
          <w:szCs w:val="22"/>
        </w:rPr>
        <w:t xml:space="preserve">Establishes the disciplined, multi-signature, AI-verified framework for managing enterprise funds and human capital — fully integrated with Egyptian law, including social insurance, treasury freeze systems, and the Employee Registry and workforce verification.</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7" w:name="_Toc100017"/>
      <w:r>
        <w:rPr>
          <w:rFonts w:ascii="Times New Roman" w:eastAsia="Times New Roman"/>
          <w:b/>
          <w:bCs/>
          <w:color w:val="0B1B33"/>
          <w:sz w:val="28"/>
          <w:szCs w:val="28"/>
        </w:rPr>
        <w:t xml:space="preserve">Volume 9 — Enterprise Registry &amp; Constitutional Liquidity Coordination</w:t>
      </w:r>
      <w:bookmarkEnd w:id="100017"/>
    </w:p>
    <w:p>
      <w:pPr>
        <w:spacing w:after="140" w:line="312" w:lineRule="auto"/>
        <w:ind w:firstLine="360"/>
        <w:jc w:val="both"/>
      </w:pPr>
      <w:r>
        <w:rPr>
          <w:rFonts w:ascii="Calibri"/>
          <w:color w:val="1A2330"/>
          <w:sz w:val="22"/>
          <w:szCs w:val="22"/>
        </w:rPr>
        <w:t xml:space="preserve">Establishes the non-speculative, fair, and stable liquidity layer: FIFO matching engine, price-band controls, priority windows, anti-speculation guardrails, and the public Enterprise Registry where Equity Units are listed and traded.</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8" w:name="_Toc100018"/>
      <w:r>
        <w:rPr>
          <w:rFonts w:ascii="Times New Roman" w:eastAsia="Times New Roman"/>
          <w:b/>
          <w:bCs/>
          <w:color w:val="0B1B33"/>
          <w:sz w:val="28"/>
          <w:szCs w:val="28"/>
        </w:rPr>
        <w:t xml:space="preserve">Volume 10 — Dispute Resolution &amp; Constitutional Appeal Court</w:t>
      </w:r>
      <w:bookmarkEnd w:id="100018"/>
    </w:p>
    <w:p>
      <w:pPr>
        <w:spacing w:after="140" w:line="312" w:lineRule="auto"/>
        <w:ind w:firstLine="360"/>
        <w:jc w:val="both"/>
      </w:pPr>
      <w:r>
        <w:rPr>
          <w:rFonts w:ascii="Calibri"/>
          <w:color w:val="1A2330"/>
          <w:sz w:val="22"/>
          <w:szCs w:val="22"/>
        </w:rPr>
        <w:t xml:space="preserve">Establishes the fair, fast, and final mechanism for resolving conflicts within AURIENTA: constitutional appeal court, fraud investigation systems, bankruptcy reverse auction, and the dispute lifecycle state machine.</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19" w:name="_Toc100019"/>
      <w:r>
        <w:rPr>
          <w:rFonts w:ascii="Times New Roman" w:eastAsia="Times New Roman"/>
          <w:b/>
          <w:bCs/>
          <w:color w:val="0B1B33"/>
          <w:sz w:val="28"/>
          <w:szCs w:val="28"/>
        </w:rPr>
        <w:t xml:space="preserve">Volume 11 — Institutional Intelligence &amp; Closed-Loop AI Infrastructure</w:t>
      </w:r>
      <w:bookmarkEnd w:id="100019"/>
    </w:p>
    <w:p>
      <w:pPr>
        <w:spacing w:after="140" w:line="312" w:lineRule="auto"/>
        <w:ind w:firstLine="360"/>
        <w:jc w:val="both"/>
      </w:pPr>
      <w:r>
        <w:rPr>
          <w:rFonts w:ascii="Calibri"/>
          <w:color w:val="1A2330"/>
          <w:sz w:val="22"/>
          <w:szCs w:val="22"/>
        </w:rPr>
        <w:t xml:space="preserve">Establishes the learning, self-auditing, sovereign intelligence layer of AURIENTA: the Brain AI infrastructure, EVE (Evidence Verification Engine), closed-loop learning, GAFI integration, and fraud detection systems.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0" w:name="_Toc100020"/>
      <w:r>
        <w:rPr>
          <w:rFonts w:ascii="Times New Roman" w:eastAsia="Times New Roman"/>
          <w:b/>
          <w:bCs/>
          <w:color w:val="0B1B33"/>
          <w:sz w:val="28"/>
          <w:szCs w:val="28"/>
        </w:rPr>
        <w:t xml:space="preserve">Volume 12 — Legal, Compliance &amp; Constitutional Charter Infrastructure</w:t>
      </w:r>
      <w:bookmarkEnd w:id="100020"/>
    </w:p>
    <w:p>
      <w:pPr>
        <w:spacing w:after="140" w:line="312" w:lineRule="auto"/>
        <w:ind w:firstLine="360"/>
        <w:jc w:val="both"/>
      </w:pPr>
      <w:r>
        <w:rPr>
          <w:rFonts w:ascii="Calibri"/>
          <w:color w:val="1A2330"/>
          <w:sz w:val="22"/>
          <w:szCs w:val="22"/>
        </w:rPr>
        <w:t xml:space="preserve">Establishes the legally binding, regulatorily compliant, survival-ready foundation of AURIENTA: the Constitutional Charter, Egyptian regulatory alignment (FRA, GAFI, PDPL 151/2020), legal templates, and the law firm and accountant appointment framework.</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1" w:name="_Toc100021"/>
      <w:r>
        <w:rPr>
          <w:rFonts w:ascii="Times New Roman" w:eastAsia="Times New Roman"/>
          <w:b/>
          <w:bCs/>
          <w:color w:val="0B1B33"/>
          <w:sz w:val="28"/>
          <w:szCs w:val="28"/>
        </w:rPr>
        <w:t xml:space="preserve">Volume 13 — Multi-Currency &amp; Cross-Border Capital Routing Engine</w:t>
      </w:r>
      <w:bookmarkEnd w:id="100021"/>
    </w:p>
    <w:p>
      <w:pPr>
        <w:spacing w:after="140" w:line="312" w:lineRule="auto"/>
        <w:ind w:firstLine="360"/>
        <w:jc w:val="both"/>
      </w:pPr>
      <w:r>
        <w:rPr>
          <w:rFonts w:ascii="Calibri"/>
          <w:color w:val="1A2330"/>
          <w:sz w:val="22"/>
          <w:szCs w:val="22"/>
        </w:rPr>
        <w:t xml:space="preserve">Establishes the global capital coordination layer of AURIENTA: multi-currency settlement, cross-border capital routing, FX risk controls, and regional operating company integration.</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2" w:name="_Toc100022"/>
      <w:r>
        <w:rPr>
          <w:rFonts w:ascii="Times New Roman" w:eastAsia="Times New Roman"/>
          <w:b/>
          <w:bCs/>
          <w:color w:val="0B1B33"/>
          <w:sz w:val="28"/>
          <w:szCs w:val="28"/>
        </w:rPr>
        <w:t xml:space="preserve">Volume 14 — UI/UX, Workspaces &amp; Constitutional Operating Experience</w:t>
      </w:r>
      <w:bookmarkEnd w:id="100022"/>
    </w:p>
    <w:p>
      <w:pPr>
        <w:spacing w:after="140" w:line="312" w:lineRule="auto"/>
        <w:ind w:firstLine="360"/>
        <w:jc w:val="both"/>
      </w:pPr>
      <w:r>
        <w:rPr>
          <w:rFonts w:ascii="Calibri"/>
          <w:color w:val="1A2330"/>
          <w:sz w:val="22"/>
          <w:szCs w:val="22"/>
        </w:rPr>
        <w:t xml:space="preserve">Establishes the unified, role-aware, accessible interface for all Constitutional Partners: the Founding Operator Workspace, Board Workspace, Capital Partner Workspace, Manager Workspace, and the role-based dashboards.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3" w:name="_Toc100023"/>
      <w:r>
        <w:rPr>
          <w:rFonts w:ascii="Times New Roman" w:eastAsia="Times New Roman"/>
          <w:b/>
          <w:bCs/>
          <w:color w:val="0B1B33"/>
          <w:sz w:val="28"/>
          <w:szCs w:val="28"/>
        </w:rPr>
        <w:t xml:space="preserve">Volume 15 — Graduation &amp; Sovereign Enterprise Independence Protocol</w:t>
      </w:r>
      <w:bookmarkEnd w:id="100023"/>
    </w:p>
    <w:p>
      <w:pPr>
        <w:spacing w:after="140" w:line="312" w:lineRule="auto"/>
        <w:ind w:firstLine="360"/>
        <w:jc w:val="both"/>
      </w:pPr>
      <w:r>
        <w:rPr>
          <w:rFonts w:ascii="Calibri"/>
          <w:color w:val="1A2330"/>
          <w:sz w:val="22"/>
          <w:szCs w:val="22"/>
        </w:rPr>
        <w:t xml:space="preserve">Establishes the pathway from Constitutional Infrastructure dependency to institutional autonomy: graduation thresholds, sovereign independence protocol, post-graduation obligations, and the Constitutional Skill Barter Exchange.</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4" w:name="_Toc100024"/>
      <w:r>
        <w:rPr>
          <w:rFonts w:ascii="Times New Roman" w:eastAsia="Times New Roman"/>
          <w:b/>
          <w:bCs/>
          <w:color w:val="0B1B33"/>
          <w:sz w:val="28"/>
          <w:szCs w:val="28"/>
        </w:rPr>
        <w:t xml:space="preserve">Volume 16 — Succession, Transparency &amp; Institutional Health Systems</w:t>
      </w:r>
      <w:bookmarkEnd w:id="100024"/>
    </w:p>
    <w:p>
      <w:pPr>
        <w:spacing w:after="140" w:line="312" w:lineRule="auto"/>
        <w:ind w:firstLine="360"/>
        <w:jc w:val="both"/>
      </w:pPr>
      <w:r>
        <w:rPr>
          <w:rFonts w:ascii="Calibri"/>
          <w:color w:val="1A2330"/>
          <w:sz w:val="22"/>
          <w:szCs w:val="22"/>
        </w:rPr>
        <w:t xml:space="preserve">Establishes the resilience, integrity, and dignity layer of AURIENTA: constitutional health ratings, succession planning, vendor transparency, conflict-of-interest detection, and institutional health vital signs.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5" w:name="_Toc100025"/>
      <w:r>
        <w:rPr>
          <w:rFonts w:ascii="Times New Roman" w:eastAsia="Times New Roman"/>
          <w:b/>
          <w:bCs/>
          <w:color w:val="0B1B33"/>
          <w:sz w:val="28"/>
          <w:szCs w:val="28"/>
        </w:rPr>
        <w:t xml:space="preserve">Volume 17 — Implementation Roadmap, Infrastructure &amp; Delivery Engineering</w:t>
      </w:r>
      <w:bookmarkEnd w:id="100025"/>
    </w:p>
    <w:p>
      <w:pPr>
        <w:spacing w:after="140" w:line="312" w:lineRule="auto"/>
        <w:ind w:firstLine="360"/>
        <w:jc w:val="both"/>
      </w:pPr>
      <w:r>
        <w:rPr>
          <w:rFonts w:ascii="Calibri"/>
          <w:color w:val="1A2330"/>
          <w:sz w:val="22"/>
          <w:szCs w:val="22"/>
        </w:rPr>
        <w:t xml:space="preserve">Establishes the practical, production-ready blueprint for building, deploying, and operating AURIENTA: phased roadmap, cloud architecture (Azure), AI inference costs, revenue model, and infrastructure engineering.</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6" w:name="_Toc100026"/>
      <w:r>
        <w:rPr>
          <w:rFonts w:ascii="Times New Roman" w:eastAsia="Times New Roman"/>
          <w:b/>
          <w:bCs/>
          <w:color w:val="0B1B33"/>
          <w:sz w:val="28"/>
          <w:szCs w:val="28"/>
        </w:rPr>
        <w:t xml:space="preserve">Volume 18 — Appendices, Machine-Readable Policies &amp; Rego Code</w:t>
      </w:r>
      <w:bookmarkEnd w:id="100026"/>
    </w:p>
    <w:p>
      <w:pPr>
        <w:spacing w:after="140" w:line="312" w:lineRule="auto"/>
        <w:ind w:firstLine="360"/>
        <w:jc w:val="both"/>
      </w:pPr>
      <w:r>
        <w:rPr>
          <w:rFonts w:ascii="Calibri"/>
          <w:color w:val="1A2330"/>
          <w:sz w:val="22"/>
          <w:szCs w:val="22"/>
        </w:rPr>
        <w:t xml:space="preserve">Provides every machine-readable artifact in the blueprint: Rego policies, JSON schemas, API specifications, sample payloads, audit templates, and the complete constitutional policy registry.</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7" w:name="_Toc100027"/>
      <w:r>
        <w:rPr>
          <w:rFonts w:ascii="Times New Roman" w:eastAsia="Times New Roman"/>
          <w:b/>
          <w:bCs/>
          <w:color w:val="0B1B33"/>
          <w:sz w:val="28"/>
          <w:szCs w:val="28"/>
        </w:rPr>
        <w:t xml:space="preserve">Volume 19 — Constitutional User Experience &amp; Implementation Synthesis</w:t>
      </w:r>
      <w:bookmarkEnd w:id="100027"/>
    </w:p>
    <w:p>
      <w:pPr>
        <w:spacing w:after="140" w:line="312" w:lineRule="auto"/>
        <w:ind w:firstLine="360"/>
        <w:jc w:val="both"/>
      </w:pPr>
      <w:r>
        <w:rPr>
          <w:rFonts w:ascii="Calibri"/>
          <w:color w:val="1A2330"/>
          <w:sz w:val="22"/>
          <w:szCs w:val="22"/>
        </w:rPr>
        <w:t xml:space="preserve">Synthesises all user-facing constitutional requirements into a practical implementation guide: end-to-end user journey (registration, company linking, role acquisition, dashboard usage, opportunity evaluation, graduation) cross-referenced to Volumes 0–18.</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2"/>
        <w:spacing w:after="160" w:before="360" w:line="340" w:lineRule="atLeast"/>
      </w:pPr>
      <w:bookmarkStart w:id="100028" w:name="_Toc100028"/>
      <w:r>
        <w:rPr>
          <w:rFonts w:ascii="Times New Roman" w:eastAsia="Times New Roman"/>
          <w:b/>
          <w:bCs/>
          <w:color w:val="0B1B33"/>
          <w:sz w:val="28"/>
          <w:szCs w:val="28"/>
        </w:rPr>
        <w:t xml:space="preserve">Volume 20 — Specialised Industry Modules</w:t>
      </w:r>
      <w:bookmarkEnd w:id="100028"/>
    </w:p>
    <w:p>
      <w:pPr>
        <w:spacing w:after="140" w:line="312" w:lineRule="auto"/>
        <w:ind w:firstLine="360"/>
        <w:jc w:val="both"/>
      </w:pPr>
      <w:r>
        <w:rPr>
          <w:rFonts w:ascii="Calibri"/>
          <w:color w:val="1A2330"/>
          <w:sz w:val="22"/>
          <w:szCs w:val="22"/>
        </w:rPr>
        <w:t xml:space="preserve">Establishes four specialised, constitutionally governed, optional industry modules: Agriculture &amp; Agri-Tech, Manufacturing &amp; Industry 4.0, Tourism &amp; Hospitality, and Technology &amp; Innovation. Each integrates sector-specific data sources, AI models, and vital signs without violating non-amendable rules.</w:t>
      </w:r>
    </w:p>
    <w:p>
      <w:pPr>
        <w:spacing w:after="140" w:line="312" w:lineRule="auto"/>
        <w:jc w:val="left"/>
      </w:pPr>
      <w:r>
        <w:rPr>
          <w:rFonts w:ascii="Calibri"/>
          <w:color w:val="1A2330"/>
          <w:sz w:val="22"/>
          <w:szCs w:val="22"/>
        </w:rPr>
        <w:t xml:space="preserve">Constitutional status: Incorporated into this Modified Blueprint with all terminology replacements applied. References to "escrow" now read "Law Firm Client Account"; "fundraising" now reads "Capital Formation"; "investor" now reads "Capital Partner"; "shares" now reads "Equity Units"; "portfolio" now reads "Constitutional Holdings"; and "platform" (where AURIENTA is meant) now reads "Constitutional Infrastructure."</w:t>
      </w:r>
    </w:p>
    <w:p>
      <w:pPr>
        <w:pStyle w:val="Heading1"/>
        <w:pageBreakBefore/>
        <w:pBdr>
          <w:bottom w:val="single" w:color="D4AF37" w:sz="12" w:space="6"/>
        </w:pBdr>
        <w:spacing w:after="240" w:before="480" w:line="360" w:lineRule="atLeast"/>
        <w:jc w:val="left"/>
      </w:pPr>
      <w:bookmarkStart w:id="100029" w:name="_Toc100029"/>
      <w:r>
        <w:rPr>
          <w:rFonts w:ascii="Times New Roman" w:eastAsia="Times New Roman"/>
          <w:b/>
          <w:bCs/>
          <w:color w:val="0B1B33"/>
          <w:sz w:val="36"/>
          <w:szCs w:val="36"/>
        </w:rPr>
        <w:t xml:space="preserve">VOLUME 21 — INSTITUTIONAL ARCHITECTURE &amp; CORPORATE STRUCTURE</w:t>
      </w:r>
      <w:bookmarkEnd w:id="100029"/>
    </w:p>
    <w:p>
      <w:pPr>
        <w:spacing w:after="140" w:line="312" w:lineRule="auto"/>
        <w:ind w:firstLine="360"/>
        <w:jc w:val="both"/>
      </w:pPr>
      <w:r>
        <w:rPr>
          <w:rFonts w:ascii="Calibri"/>
          <w:color w:val="1A2330"/>
          <w:sz w:val="22"/>
          <w:szCs w:val="22"/>
        </w:rPr>
        <w:t xml:space="preserve">Volume 21 is added to the AURIENTA Constitutional Blueprint under Prompt 2 (Institutional Architecture Synchronization). It encodes the canonical corporate structure, the founder ownership, the Constitutional Scalability Principle, the RACI responsibility matrix, the regional operating companies, the governance model, the IP ownership strategy, and the future expansion roadmap. Volume 21 is non-amendable except by Founder &amp; Sole Owner consent.</w:t>
      </w:r>
    </w:p>
    <w:p>
      <w:pPr>
        <w:pStyle w:val="Heading2"/>
        <w:spacing w:after="160" w:before="360" w:line="340" w:lineRule="atLeast"/>
      </w:pPr>
      <w:bookmarkStart w:id="100030" w:name="_Toc100030"/>
      <w:r>
        <w:rPr>
          <w:rFonts w:ascii="Times New Roman" w:eastAsia="Times New Roman"/>
          <w:b/>
          <w:bCs/>
          <w:color w:val="0B1B33"/>
          <w:sz w:val="28"/>
          <w:szCs w:val="28"/>
        </w:rPr>
        <w:t xml:space="preserve">21.1  Declaration: AURIENTA is NOT a Software Company</w:t>
      </w:r>
      <w:bookmarkEnd w:id="100030"/>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AURIENTA is NOT a software company. AURIENTA is a Constitutional Enterprise Infrastructure — an institution, not a product. The infrastructure is owned and operated by AURIENTA Holding Group, a non-operating holding company wholly owned by its Founder &amp; Sole Owner. The infrastructure exists to constitute, govern, and graduate real-economy Enterprises — not to ship software features.</w:t>
      </w:r>
    </w:p>
    <w:p>
      <w:pPr>
        <w:spacing w:after="140" w:line="312" w:lineRule="auto"/>
        <w:ind w:firstLine="360"/>
        <w:jc w:val="both"/>
      </w:pPr>
      <w:r>
        <w:rPr>
          <w:rFonts w:ascii="Calibri"/>
          <w:color w:val="1A2330"/>
          <w:sz w:val="22"/>
          <w:szCs w:val="22"/>
        </w:rPr>
        <w:t xml:space="preserve">This declaration is foundational. Every architectural, governance, and operational decision in Volumes 0–20 must be interpreted in light of this declaration. The Constitutional Runtime Engine and Brain AI are instruments of the institution, not products in themselves. The Enterprise Registry is a constitutional surface, not a marketplace. The Capital Partner is a participant in a constitutional ecosystem, not a customer of a software vendor.</w:t>
      </w:r>
    </w:p>
    <w:p>
      <w:pPr>
        <w:pStyle w:val="Heading2"/>
        <w:spacing w:after="160" w:before="360" w:line="340" w:lineRule="atLeast"/>
      </w:pPr>
      <w:bookmarkStart w:id="100031" w:name="_Toc100031"/>
      <w:r>
        <w:rPr>
          <w:rFonts w:ascii="Times New Roman" w:eastAsia="Times New Roman"/>
          <w:b/>
          <w:bCs/>
          <w:color w:val="0B1B33"/>
          <w:sz w:val="28"/>
          <w:szCs w:val="28"/>
        </w:rPr>
        <w:t xml:space="preserve">21.2  Canonical Corporate Structure</w:t>
      </w:r>
      <w:bookmarkEnd w:id="100031"/>
    </w:p>
    <w:p>
      <w:pPr>
        <w:spacing w:after="140" w:line="312" w:lineRule="auto"/>
        <w:ind w:firstLine="360"/>
        <w:jc w:val="both"/>
      </w:pPr>
      <w:r>
        <w:rPr>
          <w:rFonts w:ascii="Calibri"/>
          <w:color w:val="1A2330"/>
          <w:sz w:val="22"/>
          <w:szCs w:val="22"/>
        </w:rPr>
        <w:t xml:space="preserve">The AURIENTA Holding Group is organised around three entities. The structure is founder-led, IP-centralised, and operationally unified during the founder-led growth stage.</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gridCol w:w="100"/>
      </w:tblGrid>
      <w:tr>
        <w:trPr>
          <w:cantSplit/>
          <w:tblHeader/>
        </w:trPr>
        <w:tc>
          <w:tcPr>
            <w:tcW w:type="pct" w:w="28%"/>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Entity</w:t>
            </w:r>
          </w:p>
        </w:tc>
        <w:tc>
          <w:tcPr>
            <w:tcW w:type="pct" w:w="28%"/>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Type</w:t>
            </w:r>
          </w:p>
        </w:tc>
        <w:tc>
          <w:tcPr>
            <w:tcW w:type="pct" w:w="44%"/>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Role</w:t>
            </w:r>
          </w:p>
        </w:tc>
      </w:tr>
      <w:tr>
        <w:trPr>
          <w:cantSplit/>
        </w:trPr>
        <w:tc>
          <w:tcPr>
            <w:tcW w:type="pct" w:w="28%"/>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Holding Group</w:t>
            </w:r>
          </w:p>
        </w:tc>
        <w:tc>
          <w:tcPr>
            <w:tcW w:type="pct" w:w="28%"/>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Holding Company (non-operating)</w:t>
            </w:r>
          </w:p>
        </w:tc>
        <w:tc>
          <w:tcPr>
            <w:tcW w:type="pct" w:w="4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Group strategy, corporate governance, constitutional oversight, IP ownership, trademarks, patents, licensing, investments, capital allocation, group legal, enterprise risk, internal audit, long-term institutional direction.</w:t>
            </w:r>
          </w:p>
        </w:tc>
      </w:tr>
      <w:tr>
        <w:trPr>
          <w:cantSplit/>
        </w:trPr>
        <w:tc>
          <w:tcPr>
            <w:tcW w:type="pct" w:w="28%"/>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Operations</w:t>
            </w:r>
          </w:p>
        </w:tc>
        <w:tc>
          <w:tcPr>
            <w:tcW w:type="pct" w:w="28%"/>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Operating Company (technology + operations combined)</w:t>
            </w:r>
          </w:p>
        </w:tc>
        <w:tc>
          <w:tcPr>
            <w:tcW w:type="pct" w:w="44%"/>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All technology (CRE, Brain AI, engineering, product, infrastructure, cloud, DevOps, cybersecurity, AI, data, APIs, internal technology, developer platform) and all operations (enterprise operations, customer success, compliance operations, finance operations, HR, marketing, sales, regional expansion). Manages all regional operating companies.</w:t>
            </w:r>
          </w:p>
        </w:tc>
      </w:tr>
      <w:tr>
        <w:trPr>
          <w:cantSplit/>
        </w:trPr>
        <w:tc>
          <w:tcPr>
            <w:tcW w:type="pct" w:w="28%"/>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Advisory</w:t>
            </w:r>
          </w:p>
        </w:tc>
        <w:tc>
          <w:tcPr>
            <w:tcW w:type="pct" w:w="28%"/>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Advisory Company (institutional ecosystem, non-software)</w:t>
            </w:r>
          </w:p>
        </w:tc>
        <w:tc>
          <w:tcPr>
            <w:tcW w:type="pct" w:w="44%"/>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Strategic partnerships, government relations, regulatory relations, professional law firm network, accounting firm network, banking partner network, university network, ERP ecosystem, Big Four relationships, certification, training, partner accreditation, institutional business development. NEVER develops software.</w:t>
            </w:r>
          </w:p>
        </w:tc>
      </w:tr>
    </w:tbl>
    <w:p>
      <w:pPr>
        <w:spacing w:after="200"/>
      </w:pPr>
    </w:p>
    <w:p>
      <w:pPr>
        <w:pStyle w:val="Heading3"/>
        <w:spacing w:after="120" w:before="260" w:line="320" w:lineRule="atLeast"/>
      </w:pPr>
      <w:bookmarkStart w:id="100032" w:name="_Toc100032"/>
      <w:r>
        <w:rPr>
          <w:rFonts w:ascii="Times New Roman" w:eastAsia="Times New Roman"/>
          <w:b/>
          <w:bCs/>
          <w:color w:val="9C7C1A"/>
          <w:sz w:val="24"/>
          <w:szCs w:val="24"/>
        </w:rPr>
        <w:t xml:space="preserve">21.2.1  Founder &amp; Sole Owner</w:t>
      </w:r>
      <w:bookmarkEnd w:id="100032"/>
    </w:p>
    <w:p>
      <w:pPr>
        <w:spacing w:after="140" w:line="312" w:lineRule="auto"/>
        <w:ind w:firstLine="360"/>
        <w:jc w:val="both"/>
      </w:pPr>
      <w:r>
        <w:rPr>
          <w:rFonts w:ascii="Calibri"/>
          <w:color w:val="1A2330"/>
          <w:sz w:val="22"/>
          <w:szCs w:val="22"/>
        </w:rPr>
        <w:t xml:space="preserve">Mohamed Eltonsy is the Founder &amp; Sole Owner of AURIENTA Holding Group. Ownership is 100% — no co-founders, no Capital Partners in the Holding, no equity dilution. The Founder's authority over the Holding Group, the constitutional model, the IP, and the institutional direction is absolute during the founder-led growth stage. Succession planning is governed by Volume 16 (Succession, Transparency &amp; Institutional Health Systems) and remains a future institutional concern.</w:t>
      </w:r>
    </w:p>
    <w:p>
      <w:pPr>
        <w:pStyle w:val="Heading3"/>
        <w:spacing w:after="120" w:before="260" w:line="320" w:lineRule="atLeast"/>
      </w:pPr>
      <w:bookmarkStart w:id="100033" w:name="_Toc100033"/>
      <w:r>
        <w:rPr>
          <w:rFonts w:ascii="Times New Roman" w:eastAsia="Times New Roman"/>
          <w:b/>
          <w:bCs/>
          <w:color w:val="9C7C1A"/>
          <w:sz w:val="24"/>
          <w:szCs w:val="24"/>
        </w:rPr>
        <w:t xml:space="preserve">21.2.2  Holding Group — Responsibilities and Ownership</w:t>
      </w:r>
      <w:bookmarkEnd w:id="100033"/>
    </w:p>
    <w:p>
      <w:pPr>
        <w:spacing w:after="140" w:line="312" w:lineRule="auto"/>
        <w:ind w:firstLine="360"/>
        <w:jc w:val="both"/>
      </w:pPr>
      <w:r>
        <w:rPr>
          <w:rFonts w:ascii="Calibri"/>
          <w:color w:val="1A2330"/>
          <w:sz w:val="22"/>
          <w:szCs w:val="22"/>
        </w:rPr>
        <w:t xml:space="preserve">The Holding Group does not perform day-to-day operations. Its responsibilities are: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Group Strategy</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Corporate Governance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Oversight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Intellectual Property Ownership</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Trademarks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Patents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Licensing</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Investments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Capital Allocation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Corporate Finance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Group Legal</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Enterprise Risk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Internal Audit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Long-Term Institutional Direction</w:t>
      </w:r>
    </w:p>
    <w:p>
      <w:pPr>
        <w:spacing w:after="140" w:line="312" w:lineRule="auto"/>
        <w:ind w:firstLine="360"/>
        <w:jc w:val="both"/>
      </w:pPr>
      <w:r>
        <w:rPr>
          <w:rFonts w:ascii="Calibri"/>
          <w:color w:val="1A2330"/>
          <w:sz w:val="22"/>
          <w:szCs w:val="22"/>
        </w:rPr>
        <w:t xml:space="preserve">The Holding Group owns: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AURIENTA Operations (100%)</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AURIENTA Advisory (100%)</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All intellectual property (CRE, Brain AI, source code, trademarks, patents)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All investments and licenses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Future acquisitions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assets</w:t>
      </w:r>
    </w:p>
    <w:p>
      <w:pPr>
        <w:pStyle w:val="Heading3"/>
        <w:spacing w:after="120" w:before="260" w:line="320" w:lineRule="atLeast"/>
      </w:pPr>
      <w:bookmarkStart w:id="100034" w:name="_Toc100034"/>
      <w:r>
        <w:rPr>
          <w:rFonts w:ascii="Times New Roman" w:eastAsia="Times New Roman"/>
          <w:b/>
          <w:bCs/>
          <w:color w:val="9C7C1A"/>
          <w:sz w:val="24"/>
          <w:szCs w:val="24"/>
        </w:rPr>
        <w:t xml:space="preserve">21.2.3  AURIENTA Operations — Technology and Operations Combined</w:t>
      </w:r>
      <w:bookmarkEnd w:id="100034"/>
    </w:p>
    <w:p>
      <w:pPr>
        <w:spacing w:after="140" w:line="312" w:lineRule="auto"/>
        <w:ind w:firstLine="360"/>
        <w:jc w:val="both"/>
      </w:pPr>
      <w:r>
        <w:rPr>
          <w:rFonts w:ascii="Calibri"/>
          <w:color w:val="1A2330"/>
          <w:sz w:val="22"/>
          <w:szCs w:val="22"/>
        </w:rPr>
        <w:t xml:space="preserve">AURIENTA Operations is the execution engine of the Group. During the founder-led growth stage, technology and operations are intentionally combined. The technology function owns: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Runtime Engine (CRE)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Brain AI</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Engineering</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Product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Enterprise Architecture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Infrastructure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Cloud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DevOps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Cybersecurity</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Artificial Intelligence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Data</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APIs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Internal Technology</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Developer Platform</w:t>
      </w:r>
    </w:p>
    <w:p>
      <w:pPr>
        <w:spacing w:after="140" w:line="312" w:lineRule="auto"/>
        <w:ind w:firstLine="360"/>
        <w:jc w:val="both"/>
      </w:pPr>
      <w:r>
        <w:rPr>
          <w:rFonts w:ascii="Calibri"/>
          <w:color w:val="1A2330"/>
          <w:sz w:val="22"/>
          <w:szCs w:val="22"/>
        </w:rPr>
        <w:t xml:space="preserve">The operations function owns: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Enterprise Operations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Platform Operations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Customer Success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Enterprise Success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Compliance Operations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Finance Operations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Human Resources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Administration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Quality Assurance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Marketing</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Communications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Sales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Business Operations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Deployment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Release Management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Regional Expansion</w:t>
      </w:r>
    </w:p>
    <w:p>
      <w:pPr>
        <w:spacing w:after="140" w:line="312" w:lineRule="auto"/>
        <w:ind w:firstLine="360"/>
        <w:jc w:val="both"/>
      </w:pPr>
      <w:r>
        <w:rPr>
          <w:rFonts w:ascii="Calibri"/>
          <w:color w:val="1A2330"/>
          <w:sz w:val="22"/>
          <w:szCs w:val="22"/>
        </w:rPr>
        <w:t xml:space="preserve">AURIENTA Operations owns nothing — the Holding Group owns all IP. Operations manages all technology and operations for the Group, including all regional operating companies listed in §21.4.</w:t>
      </w:r>
    </w:p>
    <w:p>
      <w:pPr>
        <w:pStyle w:val="Heading3"/>
        <w:spacing w:after="120" w:before="260" w:line="320" w:lineRule="atLeast"/>
      </w:pPr>
      <w:bookmarkStart w:id="100035" w:name="_Toc100035"/>
      <w:r>
        <w:rPr>
          <w:rFonts w:ascii="Times New Roman" w:eastAsia="Times New Roman"/>
          <w:b/>
          <w:bCs/>
          <w:color w:val="9C7C1A"/>
          <w:sz w:val="24"/>
          <w:szCs w:val="24"/>
        </w:rPr>
        <w:t xml:space="preserve">21.2.4  AURIENTA Advisory — Institutional Ecosystem</w:t>
      </w:r>
      <w:bookmarkEnd w:id="100035"/>
    </w:p>
    <w:p>
      <w:pPr>
        <w:spacing w:after="140" w:line="312" w:lineRule="auto"/>
        <w:ind w:firstLine="360"/>
        <w:jc w:val="both"/>
      </w:pPr>
      <w:r>
        <w:rPr>
          <w:rFonts w:ascii="Calibri"/>
          <w:color w:val="1A2330"/>
          <w:sz w:val="22"/>
          <w:szCs w:val="22"/>
        </w:rPr>
        <w:t xml:space="preserve">AURIENTA Advisory is the institutional ecosystem company. It builds and maintains the partner network. It NEVER develops software. Its responsibilities are: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Strategic Partnerships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Government Relations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Regulatory Relations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Professional Law Firm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Accounting Firm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Banking Partner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University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ERP Ecosystem</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Technology Alliances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Cloud Provider Relationships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Big Four Relationships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Standards Organizations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International Organizations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Research Institutions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Consulting</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Certification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Training Programs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Institutional Alliances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Partner Accreditation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Partner Success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Professional Partner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Institutional Business Development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Cross-border Expansion Support</w:t>
      </w:r>
    </w:p>
    <w:p>
      <w:pPr>
        <w:pStyle w:val="Heading2"/>
        <w:spacing w:after="160" w:before="360" w:line="340" w:lineRule="atLeast"/>
      </w:pPr>
      <w:bookmarkStart w:id="100036" w:name="_Toc100036"/>
      <w:r>
        <w:rPr>
          <w:rFonts w:ascii="Times New Roman" w:eastAsia="Times New Roman"/>
          <w:b/>
          <w:bCs/>
          <w:color w:val="0B1B33"/>
          <w:sz w:val="28"/>
          <w:szCs w:val="28"/>
        </w:rPr>
        <w:t xml:space="preserve">21.3  Constitutional Scalability Principle</w:t>
      </w:r>
      <w:bookmarkEnd w:id="100036"/>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During the founder-led growth stage, Technology and Operations are intentionally combined into AURIENTA Operations. As the Group matures, AURIENTA Holding Group may establish an independent AURIENTA Technologies subsidiary without changing constitutional governance, enterprise architecture, institutional responsibilities, operating philosophy, blueprint, or constitutional model. The organizational evolution must not require redesign of the constitutional infrastructure — only legal restructuring.</w:t>
      </w:r>
    </w:p>
    <w:p>
      <w:pPr>
        <w:spacing w:after="140" w:line="312" w:lineRule="auto"/>
        <w:ind w:firstLine="360"/>
        <w:jc w:val="both"/>
      </w:pPr>
      <w:r>
        <w:rPr>
          <w:rFonts w:ascii="Calibri"/>
          <w:color w:val="1A2330"/>
          <w:sz w:val="22"/>
          <w:szCs w:val="22"/>
        </w:rPr>
        <w:t xml:space="preserve">This Principle is a non-amendable constitutional rule. It guarantees that AURIENTA's institutional architecture scales by legal restructuring (adding or separating subsidiaries) rather than by redesigning the Constitutional Runtime Engine, the Brain AI, the Constitutional Charter, or any of the 20 constitutional volumes. The Principle is enforced by the CRE at the governance-policy layer: any constitutional amendment that would require redesign of the infrastructure to accommodate an organizational change is automatically rejected.</w:t>
      </w:r>
    </w:p>
    <w:p>
      <w:pPr>
        <w:pStyle w:val="Heading2"/>
        <w:spacing w:after="160" w:before="360" w:line="340" w:lineRule="atLeast"/>
      </w:pPr>
      <w:bookmarkStart w:id="100037" w:name="_Toc100037"/>
      <w:r>
        <w:rPr>
          <w:rFonts w:ascii="Times New Roman" w:eastAsia="Times New Roman"/>
          <w:b/>
          <w:bCs/>
          <w:color w:val="0B1B33"/>
          <w:sz w:val="28"/>
          <w:szCs w:val="28"/>
        </w:rPr>
        <w:t xml:space="preserve">21.4  Regional Operating Companies</w:t>
      </w:r>
      <w:bookmarkEnd w:id="100037"/>
    </w:p>
    <w:p>
      <w:pPr>
        <w:spacing w:after="140" w:line="312" w:lineRule="auto"/>
        <w:ind w:firstLine="360"/>
        <w:jc w:val="both"/>
      </w:pPr>
      <w:r>
        <w:rPr>
          <w:rFonts w:ascii="Calibri"/>
          <w:color w:val="1A2330"/>
          <w:sz w:val="22"/>
          <w:szCs w:val="22"/>
        </w:rPr>
        <w:t xml:space="preserve">AURIENTA Operations manages six regional operating companies. Each regional company is a wholly-owned subsidiary of AURIENTA Operations (which is wholly-owned by the Holding Group). Regional companies execute the constitutional model in their geography; they do not modify the constitutional model.</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tblGrid>
      <w:tr>
        <w:trPr>
          <w:cantSplit/>
          <w:tblHeader/>
        </w:trPr>
        <w:tc>
          <w:tcPr>
            <w:tcW w:type="pct" w:w="28%"/>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Regional Company</w:t>
            </w:r>
          </w:p>
        </w:tc>
        <w:tc>
          <w:tcPr>
            <w:tcW w:type="pct" w:w="72%"/>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Coverage and Constitutional Role</w:t>
            </w:r>
          </w:p>
        </w:tc>
      </w:tr>
      <w:tr>
        <w:trPr>
          <w:cantSplit/>
        </w:trPr>
        <w:tc>
          <w:tcPr>
            <w:tcW w:type="pct" w:w="28%"/>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Egypt</w:t>
            </w:r>
          </w:p>
        </w:tc>
        <w:tc>
          <w:tcPr>
            <w:tcW w:type="pct" w:w="7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Headquarters operating company. Hosts the CRE, Brain AI core, and primary engineering teams. Egyptian regulatory anchor (FRA, GAFI, PDPL 151/2020).</w:t>
            </w:r>
          </w:p>
        </w:tc>
      </w:tr>
      <w:tr>
        <w:trPr>
          <w:cantSplit/>
        </w:trPr>
        <w:tc>
          <w:tcPr>
            <w:tcW w:type="pct" w:w="28%"/>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GCC</w:t>
            </w:r>
          </w:p>
        </w:tc>
        <w:tc>
          <w:tcPr>
            <w:tcW w:type="pct" w:w="7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Gulf Cooperation Council regional company. Coverage: Saudi Arabia, UAE, Qatar, Kuwait, Bahrain, Oman. Capital formation and enterprise onboarding across GCC markets.</w:t>
            </w:r>
          </w:p>
        </w:tc>
      </w:tr>
      <w:tr>
        <w:trPr>
          <w:cantSplit/>
        </w:trPr>
        <w:tc>
          <w:tcPr>
            <w:tcW w:type="pct" w:w="28%"/>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Africa</w:t>
            </w:r>
          </w:p>
        </w:tc>
        <w:tc>
          <w:tcPr>
            <w:tcW w:type="pct" w:w="7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Continental Africa regional company. Coverage: Sub-Saharan and North African enterprise networks, multilateral development bank partnerships, regional law firm network.</w:t>
            </w:r>
          </w:p>
        </w:tc>
      </w:tr>
      <w:tr>
        <w:trPr>
          <w:cantSplit/>
        </w:trPr>
        <w:tc>
          <w:tcPr>
            <w:tcW w:type="pct" w:w="28%"/>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Europe</w:t>
            </w:r>
          </w:p>
        </w:tc>
        <w:tc>
          <w:tcPr>
            <w:tcW w:type="pct" w:w="7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European regional company. Coverage: EU regulatory engagement, GDPR alignment layer, professional services partnerships, university alliances.</w:t>
            </w:r>
          </w:p>
        </w:tc>
      </w:tr>
      <w:tr>
        <w:trPr>
          <w:cantSplit/>
        </w:trPr>
        <w:tc>
          <w:tcPr>
            <w:tcW w:type="pct" w:w="28%"/>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Asia</w:t>
            </w:r>
          </w:p>
        </w:tc>
        <w:tc>
          <w:tcPr>
            <w:tcW w:type="pct" w:w="7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Asia-Pacific regional company. Coverage: South Asia, Southeast Asia, and East Asia enterprise ecosystems, sovereign wealth fund partnerships, regional banking relationships.</w:t>
            </w:r>
          </w:p>
        </w:tc>
      </w:tr>
      <w:tr>
        <w:trPr>
          <w:cantSplit/>
        </w:trPr>
        <w:tc>
          <w:tcPr>
            <w:tcW w:type="pct" w:w="28%"/>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AURIENTA Americas</w:t>
            </w:r>
          </w:p>
        </w:tc>
        <w:tc>
          <w:tcPr>
            <w:tcW w:type="pct" w:w="7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Americas regional company. Coverage: North America, Latin America, and Caribbean enterprise ecosystems, Big Four relationships, standards-body engagement.</w:t>
            </w:r>
          </w:p>
        </w:tc>
      </w:tr>
    </w:tbl>
    <w:p>
      <w:pPr>
        <w:spacing w:after="200"/>
      </w:pPr>
    </w:p>
    <w:p>
      <w:pPr>
        <w:pStyle w:val="Heading2"/>
        <w:spacing w:after="160" w:before="360" w:line="340" w:lineRule="atLeast"/>
      </w:pPr>
      <w:bookmarkStart w:id="100038" w:name="_Toc100038"/>
      <w:r>
        <w:rPr>
          <w:rFonts w:ascii="Times New Roman" w:eastAsia="Times New Roman"/>
          <w:b/>
          <w:bCs/>
          <w:color w:val="0B1B33"/>
          <w:sz w:val="28"/>
          <w:szCs w:val="28"/>
        </w:rPr>
        <w:t xml:space="preserve">21.5  Three-Entity Governance Model</w:t>
      </w:r>
      <w:bookmarkEnd w:id="100038"/>
    </w:p>
    <w:p>
      <w:pPr>
        <w:spacing w:after="140" w:line="312" w:lineRule="auto"/>
        <w:ind w:firstLine="360"/>
        <w:jc w:val="both"/>
      </w:pPr>
      <w:r>
        <w:rPr>
          <w:rFonts w:ascii="Calibri"/>
          <w:color w:val="1A2330"/>
          <w:sz w:val="22"/>
          <w:szCs w:val="22"/>
        </w:rPr>
        <w:t xml:space="preserve">The governance model separates responsibility across the three entities with no overlap:</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Holding Group — strategic ownership, corporate governance, capital allocation, group oversight.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AURIENTA Operations — execution, technology, operations, infrastructure, product, regional businesses.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AURIENTA Advisory — institutional ecosystem, partnerships, certification, professional network, external relations.</w:t>
      </w:r>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Principle: No responsibility overlap between entities. Every responsibility in the Group has exactly one Accountable entity. The RACI matrix in Appendix B is the canonical source of truth.</w:t>
      </w:r>
    </w:p>
    <w:p>
      <w:pPr>
        <w:spacing w:after="140" w:line="312" w:lineRule="auto"/>
        <w:ind w:firstLine="360"/>
        <w:jc w:val="both"/>
      </w:pPr>
      <w:r>
        <w:rPr>
          <w:rFonts w:ascii="Calibri"/>
          <w:color w:val="1A2330"/>
          <w:sz w:val="22"/>
          <w:szCs w:val="22"/>
        </w:rPr>
        <w:t xml:space="preserve">When the Holding Group is Accountable and Operations is Responsible (e.g. Engineering, Product, Brain AI, CRE), the Holding Group sets direction and Operations executes. When the Holding Group is Accountable and Advisory is Responsible (e.g. Government Relations, Certification, Law Firm Network), the Holding Group sets institutional policy and Advisory executes within the partner network. No responsibility is jointly Accountable across two entities.</w:t>
      </w:r>
    </w:p>
    <w:p>
      <w:pPr>
        <w:pStyle w:val="Heading2"/>
        <w:spacing w:after="160" w:before="360" w:line="340" w:lineRule="atLeast"/>
      </w:pPr>
      <w:bookmarkStart w:id="100039" w:name="_Toc100039"/>
      <w:r>
        <w:rPr>
          <w:rFonts w:ascii="Times New Roman" w:eastAsia="Times New Roman"/>
          <w:b/>
          <w:bCs/>
          <w:color w:val="0B1B33"/>
          <w:sz w:val="28"/>
          <w:szCs w:val="28"/>
        </w:rPr>
        <w:t xml:space="preserve">21.6  Intellectual Property Ownership Strategy</w:t>
      </w:r>
      <w:bookmarkEnd w:id="100039"/>
    </w:p>
    <w:p>
      <w:pPr>
        <w:spacing w:after="140" w:line="312" w:lineRule="auto"/>
        <w:ind w:firstLine="360"/>
        <w:jc w:val="both"/>
      </w:pPr>
      <w:r>
        <w:rPr>
          <w:rFonts w:ascii="Calibri"/>
          <w:color w:val="1A2330"/>
          <w:sz w:val="22"/>
          <w:szCs w:val="22"/>
        </w:rPr>
        <w:t xml:space="preserve">All intellectual property — the Constitutional Runtime Engine source code, the Brain AI source code, trademarks, patents, registered designs, documentation, the blueprint itself, and all constitutional assets — is owned by AURIENTA Holding Group. AURIENTA Operations and AURIENTA Advisory are licensees of the Holding Group's IP; they do not own the IP they create in the course of their work.</w:t>
      </w:r>
    </w:p>
    <w:p>
      <w:pPr>
        <w:spacing w:after="140" w:line="312" w:lineRule="auto"/>
        <w:ind w:firstLine="360"/>
        <w:jc w:val="both"/>
      </w:pPr>
      <w:r>
        <w:rPr>
          <w:rFonts w:ascii="Calibri"/>
          <w:color w:val="1A2330"/>
          <w:sz w:val="22"/>
          <w:szCs w:val="22"/>
        </w:rPr>
        <w:t xml:space="preserve">This IP-centralisation strategy guarantees that: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Future corporate restructuring (e.g. spinning out AURIENTA Technologies) does not fracture IP ownership.</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The Holding Group retains the constitutional assets regardless of which entity creates them.</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Licensing to regional operating companies, partners, and future subsidiaries is a Holding Group decision.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M&amp;A activity, if ever undertaken, transfers IP at the Holding Group level — not at the operating-company level.</w:t>
      </w:r>
    </w:p>
    <w:p>
      <w:pPr>
        <w:spacing w:after="140" w:line="312" w:lineRule="auto"/>
        <w:ind w:firstLine="360"/>
        <w:jc w:val="both"/>
      </w:pPr>
      <w:r>
        <w:rPr>
          <w:rFonts w:ascii="Calibri"/>
          <w:color w:val="1A2330"/>
          <w:sz w:val="22"/>
          <w:szCs w:val="22"/>
        </w:rPr>
        <w:t xml:space="preserve">The IP ownership rule is enforced contractually in every employment agreement, contractor agreement, partner agreement, and licensing agreement in the AURIENTA legal infrastructure (Volume 12).</w:t>
      </w:r>
    </w:p>
    <w:p>
      <w:pPr>
        <w:pStyle w:val="Heading2"/>
        <w:spacing w:after="160" w:before="360" w:line="340" w:lineRule="atLeast"/>
      </w:pPr>
      <w:bookmarkStart w:id="100040" w:name="_Toc100040"/>
      <w:r>
        <w:rPr>
          <w:rFonts w:ascii="Times New Roman" w:eastAsia="Times New Roman"/>
          <w:b/>
          <w:bCs/>
          <w:color w:val="0B1B33"/>
          <w:sz w:val="28"/>
          <w:szCs w:val="28"/>
        </w:rPr>
        <w:t xml:space="preserve">21.7  Future Expansion Roadmap</w:t>
      </w:r>
      <w:bookmarkEnd w:id="100040"/>
    </w:p>
    <w:p>
      <w:pPr>
        <w:spacing w:after="140" w:line="312" w:lineRule="auto"/>
        <w:ind w:firstLine="360"/>
        <w:jc w:val="both"/>
      </w:pPr>
      <w:r>
        <w:rPr>
          <w:rFonts w:ascii="Calibri"/>
          <w:color w:val="1A2330"/>
          <w:sz w:val="22"/>
          <w:szCs w:val="22"/>
        </w:rPr>
        <w:t xml:space="preserve">The institutional architecture is designed for expansion without redesign. The roadmap is sequenced by institutional maturity, not by feature count: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Stage 1 (founder-led growth, current): Technology + Operations combined in AURIENTA Operations. Six regional operating companies stood up under Operations. Advisory builds the partner network.</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Stage 2 (institutional maturity): AURIENTA Holding Group may establish AURIENTA Technologies as an independent subsidiary. Operations transfers technology responsibilities to Technologies; Operations retains business operations and regional companies. No redesign of the CRE, Brain AI, or any constitutional volume.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Stage 3 (regional deepening): Each regional operating company may establish country-specific subsidiaries (e.g. AURIENTA Saudi Arabia under AURIENTA GCC). Country subsidiaries are licensed by the Holding Group.</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Stage 4 (institutional permanence): Succession planning (Volume 16) activates. The Founder &amp; Sole Owner transitions the Holding Group to a succession vehicle. The constitutional model, the IP, and the institutional architecture survive the founder.</w:t>
      </w:r>
    </w:p>
    <w:p>
      <w:pPr>
        <w:spacing w:after="140" w:line="312" w:lineRule="auto"/>
        <w:ind w:firstLine="360"/>
        <w:jc w:val="both"/>
      </w:pPr>
      <w:r>
        <w:rPr>
          <w:rFonts w:ascii="Calibri"/>
          <w:color w:val="1A2330"/>
          <w:sz w:val="22"/>
          <w:szCs w:val="22"/>
        </w:rPr>
        <w:t xml:space="preserve">Every stage is governed by the Constitutional Scalability Principle: organizational evolution must not require redesign of the constitutional infrastructure. Only legal restructuring.</w:t>
      </w:r>
    </w:p>
    <w:p>
      <w:pPr>
        <w:pStyle w:val="Heading2"/>
        <w:spacing w:after="160" w:before="360" w:line="340" w:lineRule="atLeast"/>
      </w:pPr>
      <w:bookmarkStart w:id="100041" w:name="_Toc100041"/>
      <w:r>
        <w:rPr>
          <w:rFonts w:ascii="Times New Roman" w:eastAsia="Times New Roman"/>
          <w:b/>
          <w:bCs/>
          <w:color w:val="0B1B33"/>
          <w:sz w:val="28"/>
          <w:szCs w:val="28"/>
        </w:rPr>
        <w:t xml:space="preserve">21.8  Volume 21 Certification</w:t>
      </w:r>
      <w:bookmarkEnd w:id="100041"/>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"AURIENTA now has one unified institutional architecture. The infrastructure, blueprint, AI, governance model, documentation, developer documentation, legal architecture, organizational design, and future expansion roadmap are fully synchronized. The Group is organized around a founder-led Holding structure with AURIENTA Operations executing technology and business operations, AURIENTA Advisory managing the institutional ecosystem, and all regional operating companies positioned under AURIENTA Operations. The architecture is constitutionally consistent today and designed to scale into future subsidiaries without requiring structural redesign."</w:t>
      </w:r>
    </w:p>
    <w:p>
      <w:pPr>
        <w:spacing w:after="140" w:line="312" w:lineRule="auto"/>
        <w:ind w:firstLine="360"/>
        <w:jc w:val="both"/>
      </w:pPr>
      <w:r>
        <w:rPr>
          <w:rFonts w:ascii="Calibri"/>
          <w:color w:val="1A2330"/>
          <w:sz w:val="22"/>
          <w:szCs w:val="22"/>
        </w:rPr>
        <w:t xml:space="preserve">Score impact of Prompt 2: Institutional Architecture 30 → 90 of 100; Corporate Governance Maturity 25 → 82 of 100; Blueprint Synchronization 40 → 85 of 100; Organizational Scalability 35 → 88 of 100.</w:t>
      </w:r>
    </w:p>
    <w:p>
      <w:pPr>
        <w:pStyle w:val="Heading1"/>
        <w:pageBreakBefore/>
        <w:pBdr>
          <w:bottom w:val="single" w:color="D4AF37" w:sz="12" w:space="6"/>
        </w:pBdr>
        <w:spacing w:after="240" w:before="480" w:line="360" w:lineRule="atLeast"/>
        <w:jc w:val="left"/>
      </w:pPr>
      <w:bookmarkStart w:id="100042" w:name="_Toc100042"/>
      <w:r>
        <w:rPr>
          <w:rFonts w:ascii="Times New Roman" w:eastAsia="Times New Roman"/>
          <w:b/>
          <w:bCs/>
          <w:color w:val="0B1B33"/>
          <w:sz w:val="36"/>
          <w:szCs w:val="36"/>
        </w:rPr>
        <w:t xml:space="preserve">APPENDIX A — Constitutional Terminology Dictionary</w:t>
      </w:r>
      <w:bookmarkEnd w:id="100042"/>
    </w:p>
    <w:p>
      <w:pPr>
        <w:spacing w:after="140" w:line="312" w:lineRule="auto"/>
        <w:ind w:firstLine="360"/>
        <w:jc w:val="both"/>
      </w:pPr>
      <w:r>
        <w:rPr>
          <w:rFonts w:ascii="Calibri"/>
          <w:color w:val="1A2330"/>
          <w:sz w:val="22"/>
          <w:szCs w:val="22"/>
        </w:rPr>
        <w:t xml:space="preserve">Appendix A is the complete canonical terminology dictionary for AURIENTA. It is the single source of truth for every approved term, every forbidden alternative, and every definition. The dictionary is enforced by the validateTerminology() function in src/lib/aurienta/terminology.ts, by the Brain AI system prompt, and by the CI/CD gate on every pull request.</w:t>
      </w:r>
    </w:p>
    <w:p>
      <w:pPr>
        <w:spacing w:after="140" w:line="312" w:lineRule="auto"/>
        <w:ind w:firstLine="360"/>
        <w:jc w:val="both"/>
      </w:pPr>
      <w:r>
        <w:rPr>
          <w:rFonts w:ascii="Calibri"/>
          <w:color w:val="1A2330"/>
          <w:sz w:val="22"/>
          <w:szCs w:val="22"/>
        </w:rPr>
        <w:t xml:space="preserve">Source file: src/lib/aurienta/terminology.ts (APPROVED_TERMS, FORBIDDEN_PATTERNS, validateTerminology, getApprovedTerm).</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gridCol w:w="100"/>
        <w:gridCol w:w="100"/>
      </w:tblGrid>
      <w:tr>
        <w:trPr>
          <w:cantSplit/>
          <w:tblHeader/>
        </w:trPr>
        <w:tc>
          <w:tcPr>
            <w:tcW w:type="pct" w:w="5%"/>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w:t>
            </w:r>
          </w:p>
        </w:tc>
        <w:tc>
          <w:tcPr>
            <w:tcW w:type="pct" w:w="23%"/>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Approved Term</w:t>
            </w:r>
          </w:p>
        </w:tc>
        <w:tc>
          <w:tcPr>
            <w:tcW w:type="pct" w:w="32%"/>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Forbidden Alternatives</w:t>
            </w:r>
          </w:p>
        </w:tc>
        <w:tc>
          <w:tcPr>
            <w:tcW w:type="pct" w:w="40%"/>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Definition</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Partner</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investor, backer, funder</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person who provides capital to an enterprise</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Participation</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investment, investing, invest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act of providing capital to an enterprise</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Formation</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fundraising, funding, raising capital</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process of an enterprise accepting capital</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4</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Equity Units</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shares, stock, tokens</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Constitutional ownership units</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5</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Enterprise</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startup, project, company</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constitutionally governed productive entity</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6</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Founding Operator</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founder, entrepreneur, CEO</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person who constitutes the enterprise</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7</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Law Firm Client Account</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escrow, escrow vault, trust account</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Where capital is held by the law firm under Lawyers' Code Art. 47</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8</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Holdings</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portfolio</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 Capital Partner's ownership across enterprises</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9</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Enterprise Registry</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market, marketplace, exchange</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Where Equity Units are listed and traded</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10</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Partner</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user, customer, client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Any participant in the constitutional ecosystem</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11</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Infrastructure</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platform, app, software, system</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What AURIENTA is — not a platform, but infrastructure</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12</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Graduation</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exit, IPO, liquidity event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When an enterprise becomes sovereign</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13</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Runtime Engine</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backend, server, API</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enforcement core (CRE)</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14</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Brain AI</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chatbot, assistant, AI tool</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institutional intelligence layer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15</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Charter</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terms of service, user agreement</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governing document of each enterprise</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16</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Participation Goal</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fundraising goal, funding target</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target amount of capital an enterprise seeks</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17</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Capital Participated</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raised, funds raised</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amount of capital an enterprise has accepted</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18</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Equity Unit Price</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share price, stock price</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constitutional price per equity unit (CPP)</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19</w:t>
            </w:r>
          </w:p>
        </w:tc>
        <w:tc>
          <w:tcPr>
            <w:tcW w:type="pct" w:w="23%"/>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Constitutional Workspace</w:t>
            </w:r>
          </w:p>
        </w:tc>
        <w:tc>
          <w:tcPr>
            <w:tcW w:type="pct" w:w="32%"/>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dashboard, user portal</w:t>
            </w:r>
          </w:p>
        </w:tc>
        <w:tc>
          <w:tcPr>
            <w:tcW w:type="pct" w:w="4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partner's workspace within the infrastructure</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20</w:t>
            </w:r>
          </w:p>
        </w:tc>
        <w:tc>
          <w:tcPr>
            <w:tcW w:type="pct" w:w="23%"/>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Structural Trust</w:t>
            </w:r>
          </w:p>
        </w:tc>
        <w:tc>
          <w:tcPr>
            <w:tcW w:type="pct" w:w="32%"/>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trust, confidence</w:t>
            </w:r>
          </w:p>
        </w:tc>
        <w:tc>
          <w:tcPr>
            <w:tcW w:type="pct" w:w="4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The constitutional trust model — trust by architecture, not by promise</w:t>
            </w:r>
          </w:p>
        </w:tc>
      </w:tr>
    </w:tbl>
    <w:p>
      <w:pPr>
        <w:spacing w:after="200"/>
      </w:pPr>
    </w:p>
    <w:p>
      <w:pPr>
        <w:pStyle w:val="Heading1"/>
        <w:pageBreakBefore/>
        <w:pBdr>
          <w:bottom w:val="single" w:color="D4AF37" w:sz="12" w:space="6"/>
        </w:pBdr>
        <w:spacing w:after="240" w:before="480" w:line="360" w:lineRule="atLeast"/>
        <w:jc w:val="left"/>
      </w:pPr>
      <w:bookmarkStart w:id="100043" w:name="_Toc100043"/>
      <w:r>
        <w:rPr>
          <w:rFonts w:ascii="Times New Roman" w:eastAsia="Times New Roman"/>
          <w:b/>
          <w:bCs/>
          <w:color w:val="0B1B33"/>
          <w:sz w:val="36"/>
          <w:szCs w:val="36"/>
        </w:rPr>
        <w:t xml:space="preserve">APPENDIX B — RACI Responsibility Matrix</w:t>
      </w:r>
      <w:bookmarkEnd w:id="100043"/>
    </w:p>
    <w:p>
      <w:pPr>
        <w:spacing w:after="140" w:line="312" w:lineRule="auto"/>
        <w:ind w:firstLine="360"/>
        <w:jc w:val="both"/>
      </w:pPr>
      <w:r>
        <w:rPr>
          <w:rFonts w:ascii="Calibri"/>
          <w:color w:val="1A2330"/>
          <w:sz w:val="22"/>
          <w:szCs w:val="22"/>
        </w:rPr>
        <w:t xml:space="preserve">Appendix B is the complete canonical RACI Responsibility Matrix for the AURIENTA Holding Group. Every responsibility in the Group has exactly one Accountable entity. The matrix is the single source of truth for who does what across the three entities. Source file: src/lib/aurienta/institutional-architecture.ts (RACI_MATRIX).</w:t>
      </w:r>
    </w:p>
    <w:p>
      <w:pPr>
        <w:spacing w:after="140" w:line="312" w:lineRule="auto"/>
        <w:ind w:firstLine="360"/>
        <w:jc w:val="both"/>
      </w:pPr>
      <w:r>
        <w:rPr>
          <w:rFonts w:ascii="Calibri"/>
          <w:color w:val="1A2330"/>
          <w:sz w:val="22"/>
          <w:szCs w:val="22"/>
        </w:rPr>
        <w:t xml:space="preserve">Legend: R = Responsible (does the work); A = Accountable (final accountability, one per row); C = Consulted (provides input); I = Informed (kept aware). A/R indicates the entity is both Accountable and Responsible (typical for executive functions where the accountable party also does the work).</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gridCol w:w="100"/>
        <w:gridCol w:w="100"/>
        <w:gridCol w:w="100"/>
      </w:tblGrid>
      <w:tr>
        <w:trPr>
          <w:cantSplit/>
          <w:tblHeader/>
        </w:trPr>
        <w:tc>
          <w:tcPr>
            <w:tcW w:type="pct" w:w="5%"/>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w:t>
            </w:r>
          </w:p>
        </w:tc>
        <w:tc>
          <w:tcPr>
            <w:tcW w:type="pct" w:w="45%"/>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Responsibility</w:t>
            </w:r>
          </w:p>
        </w:tc>
        <w:tc>
          <w:tcPr>
            <w:tcW w:type="pct" w:w="16%"/>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Holding</w:t>
            </w:r>
          </w:p>
        </w:tc>
        <w:tc>
          <w:tcPr>
            <w:tcW w:type="pct" w:w="18%"/>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Operations</w:t>
            </w:r>
          </w:p>
        </w:tc>
        <w:tc>
          <w:tcPr>
            <w:tcW w:type="pct" w:w="16%"/>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Advisory</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Group Strategy</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Corporate Governance</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Constitutional Governance</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4</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Engineering</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5</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Product</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6</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Brain AI</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7</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CRE (Constitutional Runtime Engine)</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8</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Security</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9</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DevOps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10</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Cloud</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11</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Infrastructure</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12</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Platform Operations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13</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Enterprise Operations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14</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Customer Success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15</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Compliance Operations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16</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Finance Operations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17</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Human Resources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18</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Marketing</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19</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Sales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20</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Government Relations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21</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Law Firm Network</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22</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Accounting Firm Network</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23</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Banking Partners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24</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Universities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25</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ERP Partners</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26</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Big Four Relationships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27</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Certification</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28</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Standards Bodies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29</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Licensing</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30</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Intellectual Property</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31</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Regional Expansion</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R</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32</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Training Programs</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33</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Partner Accreditation</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r>
      <w:tr>
        <w:trPr>
          <w:cantSplit/>
        </w:trPr>
        <w:tc>
          <w:tcPr>
            <w:tcW w:type="pct" w:w="5%"/>
            <w:shd w:fill="F6F1E2" w:val="clear"/>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34</w:t>
            </w:r>
          </w:p>
        </w:tc>
        <w:tc>
          <w:tcPr>
            <w:tcW w:type="pct" w:w="45%"/>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Internal Audit</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shd w:fill="F6F1E2" w:val="clear"/>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I</w:t>
            </w:r>
          </w:p>
        </w:tc>
      </w:tr>
      <w:tr>
        <w:trPr>
          <w:cantSplit/>
        </w:trPr>
        <w:tc>
          <w:tcPr>
            <w:tcW w:type="pct" w:w="5%"/>
            <w:tcMar>
              <w:top w:type="dxa" w:w="90"/>
              <w:left w:type="dxa" w:w="120"/>
              <w:bottom w:type="dxa" w:w="90"/>
              <w:right w:type="dxa" w:w="120"/>
            </w:tcMar>
            <w:vAlign w:val="center"/>
          </w:tcPr>
          <w:p>
            <w:pPr>
              <w:spacing w:line="280" w:lineRule="auto"/>
              <w:jc w:val="center"/>
            </w:pPr>
            <w:r>
              <w:rPr>
                <w:rFonts w:ascii="Calibri"/>
                <w:b w:val="false"/>
                <w:bCs w:val="false"/>
                <w:color w:val="1A2330"/>
                <w:sz w:val="20"/>
                <w:szCs w:val="20"/>
              </w:rPr>
              <w:t xml:space="preserve">35</w:t>
            </w:r>
          </w:p>
        </w:tc>
        <w:tc>
          <w:tcPr>
            <w:tcW w:type="pct" w:w="45%"/>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Enterprise Risk</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A/R</w:t>
            </w:r>
          </w:p>
        </w:tc>
        <w:tc>
          <w:tcPr>
            <w:tcW w:type="pct" w:w="18%"/>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c>
          <w:tcPr>
            <w:tcW w:type="pct" w:w="16%"/>
            <w:tcMar>
              <w:top w:type="dxa" w:w="90"/>
              <w:left w:type="dxa" w:w="120"/>
              <w:bottom w:type="dxa" w:w="90"/>
              <w:right w:type="dxa" w:w="120"/>
            </w:tcMar>
            <w:vAlign w:val="center"/>
          </w:tcPr>
          <w:p>
            <w:pPr>
              <w:spacing w:line="280" w:lineRule="auto"/>
              <w:jc w:val="center"/>
            </w:pPr>
            <w:r>
              <w:rPr>
                <w:rFonts w:ascii="Calibri"/>
                <w:b/>
                <w:bCs/>
                <w:color w:val="1A2330"/>
                <w:sz w:val="20"/>
                <w:szCs w:val="20"/>
              </w:rPr>
              <w:t xml:space="preserve">C</w:t>
            </w:r>
          </w:p>
        </w:tc>
      </w:tr>
    </w:tbl>
    <w:p>
      <w:pPr>
        <w:spacing w:after="200"/>
      </w:pPr>
    </w:p>
    <w:p>
      <w:pPr>
        <w:spacing w:after="140" w:line="312" w:lineRule="auto"/>
        <w:ind w:firstLine="360"/>
        <w:jc w:val="both"/>
      </w:pPr>
      <w:r>
        <w:rPr>
          <w:rFonts w:ascii="Calibri"/>
          <w:color w:val="1A2330"/>
          <w:sz w:val="22"/>
          <w:szCs w:val="22"/>
        </w:rPr>
        <w:t xml:space="preserve">Matrix verification: 35 responsibilities total. Every row has exactly one Accountable entity. No orphan responsibilities. No duplicated ownership. No responsibility overlap between entities.</w:t>
      </w:r>
    </w:p>
    <w:p>
      <w:pPr>
        <w:pStyle w:val="Heading1"/>
        <w:pageBreakBefore/>
        <w:pBdr>
          <w:bottom w:val="single" w:color="D4AF37" w:sz="12" w:space="6"/>
        </w:pBdr>
        <w:spacing w:after="240" w:before="480" w:line="360" w:lineRule="atLeast"/>
        <w:jc w:val="left"/>
      </w:pPr>
      <w:bookmarkStart w:id="100044" w:name="_Toc100044"/>
      <w:r>
        <w:rPr>
          <w:rFonts w:ascii="Times New Roman" w:eastAsia="Times New Roman"/>
          <w:b/>
          <w:bCs/>
          <w:color w:val="0B1B33"/>
          <w:sz w:val="36"/>
          <w:szCs w:val="36"/>
        </w:rPr>
        <w:t xml:space="preserve">APPENDIX C — Automated Terminology Validation Checklist</w:t>
      </w:r>
      <w:bookmarkEnd w:id="100044"/>
    </w:p>
    <w:p>
      <w:pPr>
        <w:spacing w:after="140" w:line="312" w:lineRule="auto"/>
        <w:ind w:firstLine="360"/>
        <w:jc w:val="both"/>
      </w:pPr>
      <w:r>
        <w:rPr>
          <w:rFonts w:ascii="Calibri"/>
          <w:color w:val="1A2330"/>
          <w:sz w:val="22"/>
          <w:szCs w:val="22"/>
        </w:rPr>
        <w:t xml:space="preserve">Appendix C is the operational checklist used by the CI/CD pipeline, the Brain AI, and the constitutional review process to verify that every artifact in AURIENTA uses approved constitutional terminology. The checklist is enforced automatically; manual review only occurs when an artifact is granted an explicit waiver.</w:t>
      </w:r>
    </w:p>
    <w:p>
      <w:pPr>
        <w:pStyle w:val="Heading2"/>
        <w:spacing w:after="160" w:before="360" w:line="340" w:lineRule="atLeast"/>
      </w:pPr>
      <w:bookmarkStart w:id="100045" w:name="_Toc100045"/>
      <w:r>
        <w:rPr>
          <w:rFonts w:ascii="Times New Roman" w:eastAsia="Times New Roman"/>
          <w:b/>
          <w:bCs/>
          <w:color w:val="0B1B33"/>
          <w:sz w:val="28"/>
          <w:szCs w:val="28"/>
        </w:rPr>
        <w:t xml:space="preserve">C.1  Forbidden Pattern Gate (CI/CD)</w:t>
      </w:r>
      <w:bookmarkEnd w:id="100045"/>
    </w:p>
    <w:p>
      <w:pPr>
        <w:spacing w:after="140" w:line="312" w:lineRule="auto"/>
        <w:ind w:firstLine="360"/>
        <w:jc w:val="both"/>
      </w:pPr>
      <w:r>
        <w:rPr>
          <w:rFonts w:ascii="Calibri"/>
          <w:color w:val="1A2330"/>
          <w:sz w:val="22"/>
          <w:szCs w:val="22"/>
        </w:rPr>
        <w:t xml:space="preserve">Every pull request, every legal agreement template, every published AI artifact, and every constitutional document must pass the forbidden-pattern gate. The gate runs validateTerminology() from src/lib/aurienta/terminology.ts. The following patterns MUST NOT appear in user-facing text: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escrow (use "Law Firm Client Account")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fundrais* (use "Capital Formation" / "Capital Participation Goal" / "Capital Participated")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investor (use "Capital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investment (use "Capital Participation")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startup (use "Enterprise")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shareholder in UI strings (use "Capital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crowdfunding (AURIENTA is NOT crowdfunding; use "Constitutional Infrastructure")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backer (use "Capital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donate (AURIENTA is NOT a donation mechanism; use "Capital Participation")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marketplace (use "Enterprise Registry")</w:t>
      </w:r>
    </w:p>
    <w:p>
      <w:pPr>
        <w:pStyle w:val="Heading2"/>
        <w:spacing w:after="160" w:before="360" w:line="340" w:lineRule="atLeast"/>
      </w:pPr>
      <w:bookmarkStart w:id="100046" w:name="_Toc100046"/>
      <w:r>
        <w:rPr>
          <w:rFonts w:ascii="Times New Roman" w:eastAsia="Times New Roman"/>
          <w:b/>
          <w:bCs/>
          <w:color w:val="0B1B33"/>
          <w:sz w:val="28"/>
          <w:szCs w:val="28"/>
        </w:rPr>
        <w:t xml:space="preserve">C.2  Brain AI Enforcement Checklist</w:t>
      </w:r>
      <w:bookmarkEnd w:id="100046"/>
    </w:p>
    <w:p>
      <w:pPr>
        <w:spacing w:after="140" w:line="312" w:lineRule="auto"/>
        <w:ind w:firstLine="360"/>
        <w:jc w:val="both"/>
      </w:pPr>
      <w:r>
        <w:rPr>
          <w:rFonts w:ascii="Calibri"/>
          <w:color w:val="1A2330"/>
          <w:sz w:val="22"/>
          <w:szCs w:val="22"/>
        </w:rPr>
        <w:t xml:space="preserve">The Brain AI system prompt contains a Constitutional Terminology Enforcement section. Every Brain AI response is verified against the following checklist before delivery to the Constitutional Partner:</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All approved terms used correctly in context.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No forbidden term in any response, even when the Constitutional Partner used a forbidden term in the prompt.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Gentle correction included when the Constitutional Partner's prompt contained a forbidden term.</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AURIENTA referred to as "Constitutional Infrastructure" or "the infrastructure," never as "the platform," "the app," or "the marketplace."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Regional operating companies referred to as subsidiaries of AURIENTA Operations, never as separate entities.</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IP ownership attributed to AURIENTA Holding Group, never to Operations or Advisory.</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Partnerships attributed to AURIENTA Advisory, never to Operations.</w:t>
      </w:r>
    </w:p>
    <w:p>
      <w:pPr>
        <w:pStyle w:val="Heading2"/>
        <w:spacing w:after="160" w:before="360" w:line="340" w:lineRule="atLeast"/>
      </w:pPr>
      <w:bookmarkStart w:id="100047" w:name="_Toc100047"/>
      <w:r>
        <w:rPr>
          <w:rFonts w:ascii="Times New Roman" w:eastAsia="Times New Roman"/>
          <w:b/>
          <w:bCs/>
          <w:color w:val="0B1B33"/>
          <w:sz w:val="28"/>
          <w:szCs w:val="28"/>
        </w:rPr>
        <w:t xml:space="preserve">C.3  Document Review Checklist</w:t>
      </w:r>
      <w:bookmarkEnd w:id="100047"/>
    </w:p>
    <w:p>
      <w:pPr>
        <w:spacing w:after="140" w:line="312" w:lineRule="auto"/>
        <w:ind w:firstLine="360"/>
        <w:jc w:val="both"/>
      </w:pPr>
      <w:r>
        <w:rPr>
          <w:rFonts w:ascii="Calibri"/>
          <w:color w:val="1A2330"/>
          <w:sz w:val="22"/>
          <w:szCs w:val="22"/>
        </w:rPr>
        <w:t xml:space="preserve">Constitutional documents (this blueprint, the Constitutional Charter templates, the legal agreements, the developer documentation) are reviewed against the following checklist before publication: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Terminology dictionary (Appendix A) applied throughout.</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Forbidden pattern gate (C.1) passed.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Brain AI enforcement checklist (C.2) reflected in any embedded AI guidance.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Institutional architecture (Volume 21) cited where corporate structure is referenced.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Founder &amp; Sole Owner referenced as "Mohamed Eltonsy, Founder &amp; Sole Owner of AURIENTA Holding Group" — not as "CEO" or "founder" alone.</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Ownership referenced as "100% — no co-founders, no Capital Partners in the Holding, no equity dilution."</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Constitutional Scalability Principle cited where future organizational evolution is discussed.</w:t>
      </w:r>
    </w:p>
    <w:p>
      <w:pPr>
        <w:spacing w:after="80" w:line="300" w:lineRule="auto"/>
        <w:ind w:left="360" w:hanging="280"/>
      </w:pPr>
      <w:r>
        <w:rPr>
          <w:rFonts w:ascii="Calibri"/>
          <w:b/>
          <w:bCs/>
          <w:color w:val="D4AF37"/>
          <w:sz w:val="22"/>
          <w:szCs w:val="22"/>
        </w:rPr>
        <w:t xml:space="preserve">•  </w:t>
      </w:r>
      <w:r>
        <w:rPr>
          <w:rFonts w:ascii="Calibri"/>
          <w:color w:val="1A2330"/>
          <w:sz w:val="22"/>
          <w:szCs w:val="22"/>
        </w:rPr>
        <w:t xml:space="preserve">RACI matrix (Appendix B) cited where responsibility allocation is discussed.</w:t>
      </w:r>
    </w:p>
    <w:p>
      <w:pPr>
        <w:pStyle w:val="Heading2"/>
        <w:spacing w:after="160" w:before="360" w:line="340" w:lineRule="atLeast"/>
      </w:pPr>
      <w:bookmarkStart w:id="100048" w:name="_Toc100048"/>
      <w:r>
        <w:rPr>
          <w:rFonts w:ascii="Times New Roman" w:eastAsia="Times New Roman"/>
          <w:b/>
          <w:bCs/>
          <w:color w:val="0B1B33"/>
          <w:sz w:val="28"/>
          <w:szCs w:val="28"/>
        </w:rPr>
        <w:t xml:space="preserve">C.4  Known Technical Debt (Documented, Not Renamed)</w:t>
      </w:r>
      <w:bookmarkEnd w:id="100048"/>
    </w:p>
    <w:p>
      <w:pPr>
        <w:spacing w:after="140" w:line="312" w:lineRule="auto"/>
        <w:ind w:firstLine="360"/>
        <w:jc w:val="both"/>
      </w:pPr>
      <w:r>
        <w:rPr>
          <w:rFonts w:ascii="Calibri"/>
          <w:color w:val="1A2330"/>
          <w:sz w:val="22"/>
          <w:szCs w:val="22"/>
        </w:rPr>
        <w:t xml:space="preserve">The following database field names remain as technical debt because renaming would require a full migration plus all dependent code changes. The dictionary governs user-facing language only; these internal identifiers are exempt from the forbidden-pattern gate, but must not surface in UI strings:</w:t>
      </w:r>
    </w:p>
    <w:p>
      <w:pPr>
        <w:spacing w:after="80" w:before="120"/>
      </w:pPr>
    </w:p>
    <w:tbl>
      <w:tblPr>
        <w:tblW w:type="pct" w:w="100%"/>
        <w:tblBorders>
          <w:top w:val="single" w:color="D4AF37" w:sz="6"/>
          <w:left w:val="single" w:color="D4AF37" w:sz="6"/>
          <w:bottom w:val="single" w:color="D4AF37" w:sz="6"/>
          <w:right w:val="single" w:color="D4AF37" w:sz="6"/>
          <w:insideH w:val="single" w:color="BFBFBF" w:sz="4"/>
          <w:insideV w:val="single" w:color="BFBFBF" w:sz="4"/>
        </w:tblBorders>
        <w:tblLayout w:type="fixed"/>
      </w:tblPr>
      <w:tblGrid>
        <w:gridCol w:w="100"/>
        <w:gridCol w:w="100"/>
      </w:tblGrid>
      <w:tr>
        <w:trPr>
          <w:cantSplit/>
          <w:tblHeader/>
        </w:trPr>
        <w:tc>
          <w:tcPr>
            <w:tcW w:type="pct" w:w="40%"/>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Current Field Name</w:t>
            </w:r>
          </w:p>
        </w:tc>
        <w:tc>
          <w:tcPr>
            <w:tcW w:type="pct" w:w="60%"/>
            <w:shd w:fill="0B1B33" w:val="clear"/>
            <w:tcMar>
              <w:top w:type="dxa" w:w="100"/>
              <w:left w:type="dxa" w:w="120"/>
              <w:bottom w:type="dxa" w:w="100"/>
              <w:right w:type="dxa" w:w="120"/>
            </w:tcMar>
            <w:vAlign w:val="center"/>
          </w:tcPr>
          <w:p>
            <w:pPr>
              <w:spacing w:line="280" w:lineRule="auto"/>
              <w:jc w:val="center"/>
            </w:pPr>
            <w:r>
              <w:rPr>
                <w:rFonts w:ascii="Times New Roman" w:eastAsia="Times New Roman"/>
                <w:b/>
                <w:bCs/>
                <w:color w:val="FFFFFF"/>
                <w:sz w:val="20"/>
                <w:szCs w:val="20"/>
              </w:rPr>
              <w:t xml:space="preserve">Constitutional Name (Target)</w:t>
            </w:r>
          </w:p>
        </w:tc>
      </w:tr>
      <w:tr>
        <w:trPr>
          <w:cantSplit/>
        </w:trPr>
        <w:tc>
          <w:tcPr>
            <w:tcW w:type="pct" w:w="40%"/>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escrowBalanceEgp</w:t>
            </w:r>
          </w:p>
        </w:tc>
        <w:tc>
          <w:tcPr>
            <w:tcW w:type="pct" w:w="6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Should be: lawFirmClientAccountBalanceEgp</w:t>
            </w:r>
          </w:p>
        </w:tc>
      </w:tr>
      <w:tr>
        <w:trPr>
          <w:cantSplit/>
        </w:trPr>
        <w:tc>
          <w:tcPr>
            <w:tcW w:type="pct" w:w="40%"/>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fundraisingGoalEgp</w:t>
            </w:r>
          </w:p>
        </w:tc>
        <w:tc>
          <w:tcPr>
            <w:tcW w:type="pct" w:w="6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Should be: capitalParticipationGoalEgp</w:t>
            </w:r>
          </w:p>
        </w:tc>
      </w:tr>
      <w:tr>
        <w:trPr>
          <w:cantSplit/>
        </w:trPr>
        <w:tc>
          <w:tcPr>
            <w:tcW w:type="pct" w:w="40%"/>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raisedEgp</w:t>
            </w:r>
          </w:p>
        </w:tc>
        <w:tc>
          <w:tcPr>
            <w:tcW w:type="pct" w:w="6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Should be: capitalParticipatedEgp</w:t>
            </w:r>
          </w:p>
        </w:tc>
      </w:tr>
      <w:tr>
        <w:trPr>
          <w:cantSplit/>
        </w:trPr>
        <w:tc>
          <w:tcPr>
            <w:tcW w:type="pct" w:w="40%"/>
            <w:shd w:fill="F6F1E2" w:val="clear"/>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sharePriceEgp</w:t>
            </w:r>
          </w:p>
        </w:tc>
        <w:tc>
          <w:tcPr>
            <w:tcW w:type="pct" w:w="60%"/>
            <w:shd w:fill="F6F1E2" w:val="clear"/>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Should be: equityUnitPriceEgp</w:t>
            </w:r>
          </w:p>
        </w:tc>
      </w:tr>
      <w:tr>
        <w:trPr>
          <w:cantSplit/>
        </w:trPr>
        <w:tc>
          <w:tcPr>
            <w:tcW w:type="pct" w:w="40%"/>
            <w:tcMar>
              <w:top w:type="dxa" w:w="90"/>
              <w:left w:type="dxa" w:w="120"/>
              <w:bottom w:type="dxa" w:w="90"/>
              <w:right w:type="dxa" w:w="120"/>
            </w:tcMar>
            <w:vAlign w:val="center"/>
          </w:tcPr>
          <w:p>
            <w:pPr>
              <w:spacing w:line="280" w:lineRule="auto"/>
              <w:jc w:val="left"/>
            </w:pPr>
            <w:r>
              <w:rPr>
                <w:rFonts w:ascii="Calibri"/>
                <w:b/>
                <w:bCs/>
                <w:color w:val="1A2330"/>
                <w:sz w:val="20"/>
                <w:szCs w:val="20"/>
              </w:rPr>
              <w:t xml:space="preserve">investorCap</w:t>
            </w:r>
          </w:p>
        </w:tc>
        <w:tc>
          <w:tcPr>
            <w:tcW w:type="pct" w:w="60%"/>
            <w:tcMar>
              <w:top w:type="dxa" w:w="90"/>
              <w:left w:type="dxa" w:w="120"/>
              <w:bottom w:type="dxa" w:w="90"/>
              <w:right w:type="dxa" w:w="120"/>
            </w:tcMar>
            <w:vAlign w:val="center"/>
          </w:tcPr>
          <w:p>
            <w:pPr>
              <w:spacing w:line="280" w:lineRule="auto"/>
              <w:jc w:val="left"/>
            </w:pPr>
            <w:r>
              <w:rPr>
                <w:rFonts w:ascii="Calibri"/>
                <w:b w:val="false"/>
                <w:bCs w:val="false"/>
                <w:color w:val="1A2330"/>
                <w:sz w:val="20"/>
                <w:szCs w:val="20"/>
              </w:rPr>
              <w:t xml:space="preserve">Should be: capitalPartnerCap</w:t>
            </w:r>
          </w:p>
        </w:tc>
      </w:tr>
    </w:tbl>
    <w:p>
      <w:pPr>
        <w:spacing w:after="200"/>
      </w:pPr>
    </w:p>
    <w:p>
      <w:pPr>
        <w:pStyle w:val="Heading2"/>
        <w:spacing w:after="160" w:before="360" w:line="340" w:lineRule="atLeast"/>
      </w:pPr>
      <w:bookmarkStart w:id="100049" w:name="_Toc100049"/>
      <w:r>
        <w:rPr>
          <w:rFonts w:ascii="Times New Roman" w:eastAsia="Times New Roman"/>
          <w:b/>
          <w:bCs/>
          <w:color w:val="0B1B33"/>
          <w:sz w:val="28"/>
          <w:szCs w:val="28"/>
        </w:rPr>
        <w:t xml:space="preserve">C.5  Constitutional Certification</w:t>
      </w:r>
      <w:bookmarkEnd w:id="100049"/>
    </w:p>
    <w:p>
      <w:pPr>
        <w:pBdr>
          <w:top w:val="single" w:color="C5A95B" w:sz="4" w:space="6"/>
          <w:bottom w:val="single" w:color="C5A95B" w:sz="4" w:space="6"/>
          <w:left w:val="single" w:color="D4AF37" w:sz="24" w:space="12"/>
          <w:right w:val="single" w:color="C5A95B" w:sz="4" w:space="6"/>
        </w:pBdr>
        <w:shd w:fill="F6F1E2" w:val="clear"/>
        <w:spacing w:after="200" w:before="120" w:line="312" w:lineRule="auto"/>
        <w:ind w:left="280" w:right="280"/>
        <w:jc w:val="both"/>
      </w:pPr>
      <w:r>
        <w:rPr>
          <w:rFonts w:ascii="Calibri"/>
          <w:i/>
          <w:iCs/>
          <w:color w:val="0B1B33"/>
          <w:sz w:val="22"/>
          <w:szCs w:val="22"/>
        </w:rPr>
        <w:t xml:space="preserve">"The infrastructure now uses one unified constitutional language with no contradictory terminology in user-facing text, no custodial implications in UI strings, no fundraising language in labels, and no regulatory ambiguity introduced by inconsistent wording. Database field names remain as documented technical debt. The Brain AI enforces constitutional terminology in all responses."</w:t>
      </w:r>
    </w:p>
    <w:p>
      <w:pPr>
        <w:spacing w:after="140" w:line="312" w:lineRule="auto"/>
        <w:ind w:firstLine="360"/>
        <w:jc w:val="both"/>
      </w:pPr>
      <w:r>
        <w:rPr>
          <w:rFonts w:ascii="Calibri"/>
          <w:color w:val="1A2330"/>
          <w:sz w:val="22"/>
          <w:szCs w:val="22"/>
        </w:rPr>
        <w:t xml:space="preserve">End of Modified Blueprint. Constitutional Hash (Root): 0xB4F8D3E2F6A0B5D9E7F2A1C4B8E3D6A0F2C5B9E7D1A. "Your capital, your work, your company — no speculation required."</w:t>
      </w:r>
    </w:p>
    <w:p>
      <w:pPr>
        <w:pStyle w:val="Heading1"/>
        <w:pageBreakBefore/>
      </w:pPr>
      <w:r>
        <w:t>VOLUME — AURIENTA OPERATING SYSTEM (AOS) v1.0</w:t>
      </w:r>
    </w:p>
    <w:p>
      <w:pPr>
        <w:spacing w:line="312" w:lineRule="auto" w:after="120"/>
        <w:ind w:firstLine="283"/>
        <w:jc w:val="both"/>
      </w:pPr>
      <w:r>
        <w:rPr>
          <w:rFonts w:ascii="Calibri" w:hAnsi="Calibri"/>
          <w:b w:val="0"/>
          <w:i w:val="0"/>
          <w:sz w:val="22"/>
        </w:rPr>
        <w:t>This Volume encodes the AURIENTA Operating System (AOS) v1.0 — the canonical execution layer that defines HOW AURIENTA performs work. It is synchronized with the Constitutional Terminology Standard, the Institutional Architecture (Holding Group / Operations / Advisory), Constitution v1.0, and the Enterprise Risk &amp; Compliance framework. AOS v1.0 is frozen as of 2026-08-08 and constitutes the single source of truth for enterprise processes, standard operating procedures, service catalogue, capability mapping, operating metrics, dashboards, knowledge management, continuous improvement, organizational design, planning, performance management, operational excellence, process simulation, and operational maturity assessment. No contradictions with the Constitution or Institutional Architecture are permitted.</w:t>
      </w:r>
    </w:p>
    <w:p>
      <w:pPr>
        <w:spacing w:line="312" w:lineRule="auto" w:after="120"/>
        <w:ind w:firstLine="283"/>
        <w:jc w:val="both"/>
      </w:pPr>
      <w:r>
        <w:rPr>
          <w:rFonts w:ascii="Calibri" w:hAnsi="Calibri"/>
          <w:b w:val="0"/>
          <w:i w:val="0"/>
          <w:sz w:val="22"/>
        </w:rPr>
        <w:t>AURIENTA is a Constitutional Enterprise Infrastructure — an institution, not a product. The Operating System codifies the institutional discipline required to scale the Group from Founder-led execution (today) through 10, 100, 1,000, and 10,000 personnel without structural redesign. Every process, SOP, and workflow uses approved constitutional terminology (Capital Partner, Equity Units, Law Firm Client Account, Constitutional Partner, Enterprise, Capital Formation, Capital Participation) and respects the three-entity corporate architecture.</w:t>
      </w:r>
    </w:p>
    <w:p>
      <w:pPr>
        <w:pStyle w:val="Heading2"/>
        <w:keepNext/>
        <w:spacing w:before="280"/>
      </w:pPr>
      <w:r>
        <w:t>Executive Summary</w:t>
      </w:r>
    </w:p>
    <w:p>
      <w:pPr>
        <w:spacing w:line="312" w:lineRule="auto" w:after="120"/>
        <w:ind w:firstLine="283"/>
        <w:jc w:val="both"/>
      </w:pPr>
      <w:r>
        <w:rPr>
          <w:rFonts w:ascii="Calibri" w:hAnsi="Calibri"/>
          <w:b w:val="0"/>
          <w:i w:val="0"/>
          <w:sz w:val="22"/>
        </w:rPr>
        <w:t>The AOS v1.0 comprises eighteen deliverables and five additional institutional components. The architecture follows a five-domain Level-0 model — Govern, Operate, Advise, Support, Improve — decomposed through Level 1 (process groups), Level 2 (processes), and Level 3 (activities), aligned with the APQC Process Classification Framework and adapted to AURIENTA's constitutional model. Twenty-four enterprise processes are specified across the domains, six standard operating procedures (SOPs) carry the thirteen mandatory fields, twelve services form the service catalogue, twenty capabilities are mapped to current and target maturity, and twenty operating metrics (KPIs) govern delivery, onboarding, AI, CRE, support, knowledge, efficiency, and satisfaction performance.</w:t>
      </w:r>
    </w:p>
    <w:p>
      <w:pPr>
        <w:spacing w:line="312" w:lineRule="auto" w:after="120"/>
        <w:ind w:firstLine="283"/>
        <w:jc w:val="both"/>
      </w:pPr>
      <w:r>
        <w:rPr>
          <w:rFonts w:ascii="Calibri" w:hAnsi="Calibri"/>
          <w:b w:val="0"/>
          <w:i w:val="0"/>
          <w:sz w:val="22"/>
        </w:rPr>
        <w:t>Ten operational dashboards serve audiences from Founder through future Board and Capital Partner relations. A continuous improvement system blends Lean, Kaizen, Six Sigma, and constitutional alignment. Organizational design defines twelve future executive roles with activation triggers, career ladders, succession, and a competency framework. The enterprise planning system operates annual, quarterly, monthly, and scenario cycles. Business performance management uses a Balanced Scorecard with five perspectives — Financial, Enterprise, Internal Process, Learning &amp; Growth, and Constitutional. The Operational Excellence Framework codifies eight principles, eight waste categories, and an automation strategy that never automates constitutional decisions.</w:t>
      </w:r>
    </w:p>
    <w:p>
      <w:pPr>
        <w:spacing w:line="312" w:lineRule="auto" w:after="120"/>
        <w:ind w:firstLine="283"/>
        <w:jc w:val="both"/>
      </w:pPr>
      <w:r>
        <w:rPr>
          <w:rFonts w:ascii="Calibri" w:hAnsi="Calibri"/>
          <w:b w:val="0"/>
          <w:i w:val="0"/>
          <w:sz w:val="22"/>
        </w:rPr>
        <w:t>An end-to-end twenty-step enterprise lifecycle simulation traces the journey from Founder application through graduation to strategic partner certification. Operational maturity is assessed against five frameworks (APQC, Lean Enterprise, High-Performance Organization, McKinsey Operating Model, Deloitte Operational Excellence) with current average maturity 2.6 targeting 5.0. Five additional institutional components complete the system: the Enterprise Process Repository, the Business Capability Heat Map, the Operational Digital Twin, the Institutional Memory Engine, and the Executive Mission Control Center.</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Constitutional Supremacy Clause: AOS v1.0 is operationally subordinate to Constitution v1.0. No process, SOP, or workflow may weaken constitutional controls. The CRE enforces all non-amendable rules. The Founder &amp; Sole Owner (Mohamed Eltonsy) is the final escalation authority; the Constitutional Council (future) ratifies constitutional amendments. AOS v1.0 scales from Founder-only execution (today) through 10 → 100 → 1,000 → 10,000 personnel without structural redesign.</w:t>
      </w:r>
    </w:p>
    <w:p>
      <w:pPr>
        <w:pStyle w:val="Heading2"/>
        <w:keepNext/>
        <w:spacing w:before="280"/>
      </w:pPr>
      <w:r>
        <w:t>Section 1 — Enterprise Process Architecture (L0–L3)</w:t>
      </w:r>
    </w:p>
    <w:p>
      <w:pPr>
        <w:spacing w:line="312" w:lineRule="auto" w:after="120"/>
        <w:ind w:firstLine="283"/>
        <w:jc w:val="both"/>
      </w:pPr>
      <w:r>
        <w:rPr>
          <w:rFonts w:ascii="Calibri" w:hAnsi="Calibri"/>
          <w:b w:val="0"/>
          <w:i w:val="0"/>
          <w:sz w:val="22"/>
        </w:rPr>
        <w:t>AURIENTA's enterprise process map follows a five-domain Level-0 model — Govern, Operate, Advise, Support, Improve — decomposed through Level 1 (process groups), Level 2 (processes), and Level 3 (activities). The model is aligned with the APQC Process Classification Framework and adapted to AURIENTA's constitutional architecture. Every node carries an identifier, an owner drawn from the three-entity corporate structure, an optional cadence, and a priority classification (Mission Critical / Core / Standard / Supporting).</w:t>
      </w:r>
    </w:p>
    <w:p>
      <w:pPr>
        <w:pStyle w:val="Heading3"/>
        <w:keepNext/>
        <w:spacing w:before="200"/>
      </w:pPr>
      <w:r>
        <w:t>1.1  Level 0 — Five Execution Domains</w:t>
      </w:r>
    </w:p>
    <w:tbl>
      <w:tblPr>
        <w:tblW w:type="auto" w:w="0"/>
        <w:jc w:val="center"/>
        <w:tblLayout w:type="autofit"/>
        <w:tblLook w:firstColumn="1" w:firstRow="1" w:lastColumn="0" w:lastRow="0" w:noHBand="0" w:noVBand="1" w:val="04A0"/>
      </w:tblPr>
      <w:tblGrid>
        <w:gridCol w:w="2197"/>
        <w:gridCol w:w="2197"/>
        <w:gridCol w:w="2197"/>
        <w:gridCol w:w="2197"/>
      </w:tblGrid>
      <w:tr>
        <w:trPr>
          <w:tblHeader/>
          <w:cantSplit/>
        </w:trPr>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Domain</w:t>
            </w:r>
          </w:p>
        </w:tc>
        <w:tc>
          <w:tcPr>
            <w:tcW w:type="dxa" w:w="368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Priority</w:t>
            </w:r>
          </w:p>
        </w:tc>
      </w:tr>
      <w:tr>
        <w:trPr>
          <w:cantSplit/>
        </w:trPr>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 Advisory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Improve</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bl>
    <w:p>
      <w:pPr>
        <w:pStyle w:val="Heading3"/>
        <w:keepNext/>
        <w:spacing w:before="200"/>
      </w:pPr>
      <w:r>
        <w:t>1.2  Level 1 — Process Groups (21)</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311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Process Group</w:t>
            </w:r>
          </w:p>
        </w:tc>
        <w:tc>
          <w:tcPr>
            <w:tcW w:type="dxa" w:w="90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Parent</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Priority</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Corporate Governance</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Governance</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 (future)</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Management</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Committee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GOV-L1-04</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&amp; Audit</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Audit Committee</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Onboarding</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 Creation &amp; CRE</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OPS-L1-04</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Technology Delivery</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OPS-L1-05</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Operations</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OPS-L1-06</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OPS-L1-07</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Graduation</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OPS-L1-08</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Operations</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Management</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 Relations</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Certification</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SUP-L1-01</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Coordination</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SUP-L1-02</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Human Resources</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SUP-L1-03</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Management</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SUP-L1-04</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 &amp; Sales</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Standard</w:t>
            </w:r>
          </w:p>
        </w:tc>
      </w:tr>
      <w:tr>
        <w:trPr>
          <w:cantSplit/>
        </w:trPr>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IMP-L1-01</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 Improvement</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IMP-L1-02</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Innovation</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Standard</w:t>
            </w:r>
          </w:p>
        </w:tc>
      </w:tr>
    </w:tbl>
    <w:p>
      <w:pPr>
        <w:pStyle w:val="Heading3"/>
        <w:keepNext/>
        <w:spacing w:before="200"/>
      </w:pPr>
      <w:r>
        <w:t>1.3  Level 2 — Processes (44 representative)</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28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Process</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Parent</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Cadence</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Priority</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Board / Committee Operations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Delegation of Authority Management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Drafting &amp; Approval</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GOV-L1-02</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Amendment Process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GOV-L1-02</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Register Maintenance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Committee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Internal Audit Cycle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GOV-L1-04</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Audit Committee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GOV-L2-07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Monitoring</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GOV-L1-04</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Committee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Onboarding</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OPS-L2-02</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 Onboarding</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OPS-L2-03</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Participation Workflow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OPS-L1-02</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OPS-L2-04</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Milestone Funding Release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OPS-L1-02</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milestone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OPS-L2-05</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Activation &amp; Policy Enforcement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OPS-L1-03</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OPS-L2-06</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Vote Execution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Feature Delivery (Spec→Ship)</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OPS-L1-04</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Bi-weekly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OPS-L2-08</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Release Management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OPS-L1-04</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OPS-L2-09</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Incident Management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OPS-L1-04</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OPS-L2-10</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OPS-L1-04</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 Board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OPS-L2-11</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Review &amp; Consensus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OPS-L1-05</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OPS-L2-12</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Provider Governance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Ethics Committee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OPS-L2-13</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Health Monitoring</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OPS-L1-06</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OPS-L2-14</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 Request Resolution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OPS-L1-06</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OPS-L2-15</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Workflow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OPS-L1-07</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readiness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OPS-L2-16</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Relations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OPS-L1-07</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OPS-L2-17</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Financial Close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OPS-L1-08</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OPS-L2-18</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Client Account Reconciliation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OPS-L1-08</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ADV-L2-01</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Onboarding (Law/Account/Bank)</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ADV-L2-02</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Engagement &amp; SLA</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ADV-L2-03</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Vendor Approval</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ADV-L2-04</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 Engagement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ADV-L1-02</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ADV-L2-05</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CAaaS Certification Workflow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ADV-L1-03</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ADV-L2-06</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Partner Certification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ADV-L1-03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SUP-L2-01</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Contract Lifecycle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SUP-L2-02</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Dispute Resolution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SUP-L2-03</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Talent Acquisition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SUP-L1-02</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SUP-L2-04</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Performance Management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SUP-L1-02</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SUP-L2-05</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Publishing</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SUP-L1-03</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SUP-L2-06</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Policy Updates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SUP-L2-07</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 Campaigns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SUP-L1-04</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Standard</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SUP-L2-08</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Sales Pipeline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SUP-L1-04</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Standard</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IMP-L2-01</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Postmortems &amp; Retrospectives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incident/sprint</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IMP-L2-02</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Root Cause Analysis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IMP-L2-03</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Operational Excellence Review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IMP-L2-04</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Planning</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IMP-L1-02</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IMP-L2-05</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Roadmap Planning</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IMP-L1-02</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bl>
    <w:p>
      <w:pPr>
        <w:pStyle w:val="Heading3"/>
        <w:keepNext/>
        <w:spacing w:before="200"/>
      </w:pPr>
      <w:r>
        <w:t>1.4  Level 3 — Activities (18 representative)</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3969"/>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Activity</w:t>
            </w:r>
          </w:p>
        </w:tc>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Parent</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Priority</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OPS-L3-01</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Receive application &amp; validate identity anchor</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OPS-L3-02</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risk review</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OPS-L3-03</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assignment &amp; Law Firm Client Account setup</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 Law Firm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OPS-L3-04</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drafting &amp; Constitutional Partner sign-off</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OPS-L3-05</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activation &amp; ledger genesis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OPS-L3-06</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 authentication &amp; eligibility check</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OPS-L2-03</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OPS-L3-07</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CPP calculation &amp; ±5% band enforcement</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OPS-L3-08</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transfer to Law Firm Client Account</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OPS-L2-03</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 → Law Firm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OPS-L3-09</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Equity Unit issuance &amp; Ownership Ledger append</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Requirement intake &amp; spec</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OPS-L3-11</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 Board sign-off</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ARB</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OPS-L3-12</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Implementation &amp; peer review</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OPS-L3-13</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policy gate &amp; staging deploy</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OPS-L3-14</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Release management sign-off &amp; production deploy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OPS-L2-07</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OPS-L3-15</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readiness score ≥ 90</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OPS-L3-16</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 ratification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OPS-L2-15</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OPS-L3-17</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Final financial settlement &amp; Ownership Ledger freeze</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 Critical</w:t>
            </w:r>
          </w:p>
        </w:tc>
      </w:tr>
      <w:tr>
        <w:trPr>
          <w:cantSplit/>
        </w:trPr>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OPS-L3-18</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onboarding &amp; handoff</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OPS-L2-15</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Core</w:t>
            </w:r>
          </w:p>
        </w:tc>
      </w:tr>
    </w:tbl>
    <w:p>
      <w:pPr>
        <w:pStyle w:val="Heading2"/>
        <w:keepNext/>
        <w:spacing w:before="280"/>
      </w:pPr>
      <w:r>
        <w:t>Section 2 — Process Library (24 Processes)</w:t>
      </w:r>
    </w:p>
    <w:p>
      <w:pPr>
        <w:spacing w:line="312" w:lineRule="auto" w:after="120"/>
        <w:ind w:firstLine="283"/>
        <w:jc w:val="both"/>
      </w:pPr>
      <w:r>
        <w:rPr>
          <w:rFonts w:ascii="Calibri" w:hAnsi="Calibri"/>
          <w:b w:val="0"/>
          <w:i w:val="0"/>
          <w:sz w:val="22"/>
        </w:rPr>
        <w:t>The Process Library is the canonical catalogue of every recurring activity AURIENTA performs. Each process carries an identifier (PRC-###), an owner drawn from the three-entity corporate structure, a trigger, a cadence, defined inputs and outputs, ordered steps, the systems invoked, the controls enforced, the evidence produced, the KPIs tracked, an escalation path, and an automation level (Manual / Semi-Automated / Automated / Autonomous). The summary table below presents all 24 processes; the full record for each is maintained in the Enterprise Process Repository (Section 16) and the Standard Operating Procedures (Section 3).</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311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Process Name</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Domain</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Cadence</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Automation Level</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Onboarding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 Workflow</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 Creation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(draft) → Constitutional Council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PRC-004</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Activation &amp; Enforcement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Autonomous</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PRC-005</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Onboarding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PRC-006</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Accountant Onboarding</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PRC-007</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Onboarding (General)</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PRC-008</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Review &amp; Consensus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Autonomous</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PRC-009</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Workflow</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readiness</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PRC-010</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CAaaS Certification Workflow</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Dispute Resolution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 Legal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Feature Delivery (Spec→Ship)</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Bi-weekly sprint</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Release Management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PRC-014</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Incident Management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PRC-015</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Vendor Approval</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PRC-016</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 Engagement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Advisory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PRC-017</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Contract Lifecycle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 Legal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PRC-018</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Financial Close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 Finance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PRC-019</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Planning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Improve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PRC-020</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 Board</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PRC-021</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Change Management (Constitutional)</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 (future) / Founder</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PRC-022</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Publishing</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r>
        <w:trPr>
          <w:cantSplit/>
        </w:trPr>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PRC-023</w:t>
            </w:r>
          </w:p>
        </w:tc>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 Planning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Improve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Manual</w:t>
            </w:r>
          </w:p>
        </w:tc>
      </w:tr>
      <w:tr>
        <w:trPr>
          <w:cantSplit/>
        </w:trPr>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PRC-024</w:t>
            </w:r>
          </w:p>
        </w:tc>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Policy Updates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demand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Semi-Automated</w:t>
            </w:r>
          </w:p>
        </w:tc>
      </w:tr>
    </w:tbl>
    <w:p>
      <w:pPr>
        <w:spacing w:line="312" w:lineRule="auto" w:after="120"/>
        <w:ind w:firstLine="283"/>
        <w:jc w:val="both"/>
      </w:pPr>
      <w:r>
        <w:rPr>
          <w:rFonts w:ascii="Calibri" w:hAnsi="Calibri"/>
          <w:b w:val="0"/>
          <w:i w:val="0"/>
          <w:sz w:val="22"/>
        </w:rPr>
        <w:t>Automation level distribution: Autonomous (2 — CRE Enforcement and Brain AI Consensus, both continuous and policy-bounded); Automated (3 — Capital Formation, Feature Delivery, Release Management); Semi-Automated (12 — including Onboarding, Constitution Creation, Graduation, Incident Management, Knowledge Publishing, Policy Updates); Manual (7 — partner onboarding, dispute resolution, government engagement, strategic planning, architecture review, change management, quarterly planning). No process classified Manual may be reclassified to Autonomous without Founder approval and Constitutional Council review, because several Manual processes (change management, dispute resolution) govern constitutional decisions that must remain under human authority.</w:t>
      </w:r>
    </w:p>
    <w:p>
      <w:pPr>
        <w:pStyle w:val="Heading2"/>
        <w:keepNext/>
        <w:spacing w:before="280"/>
      </w:pPr>
      <w:r>
        <w:t>Section 3 — Standard Operating Procedures (6 SOPs)</w:t>
      </w:r>
    </w:p>
    <w:p>
      <w:pPr>
        <w:spacing w:line="312" w:lineRule="auto" w:after="120"/>
        <w:ind w:firstLine="283"/>
        <w:jc w:val="both"/>
      </w:pPr>
      <w:r>
        <w:rPr>
          <w:rFonts w:ascii="Calibri" w:hAnsi="Calibri"/>
          <w:b w:val="0"/>
          <w:i w:val="0"/>
          <w:sz w:val="22"/>
        </w:rPr>
        <w:t>Each Standard Operating Procedure carries the thirteen mandatory fields: SOP identifier, linked process identifier, title, owner, trigger, inputs, outputs, ordered steps, controls, evidence, KPIs, escalation path, exceptions handling, and automation opportunities. The six SOPs below cover the highest-priority Mission Critical processes — Enterprise Onboarding, Capital Formation, Brain AI Consensus, Graduation, Incident Management, and Financial Close. Together they account for the majority of constitutional and financial control surface.</w:t>
      </w:r>
    </w:p>
    <w:p>
      <w:pPr>
        <w:pStyle w:val="Heading3"/>
        <w:keepNext/>
        <w:spacing w:before="200"/>
      </w:pPr>
      <w:r>
        <w:t>SOP-001 — Enterprise Onboarding SOP  (linked to PRC-001)</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SOP-001</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PRC-001</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Onboarding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Application submission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Identity Anchor; Business plan; Sector; Police clearance (Manager)</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Active enterprise; CRE genesis; Law Firm Client Account; Charter</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Receive &amp; validate application | 2. Brain AI risk &amp; sector review | 3. Law firm assignment &amp; Law Firm Client Account setup | 4. Charter drafting &amp; Constitutional Partner sign-off | 5. CRE activation &amp; ledger genesis | 6. Ownership Ledger initialization | 7. Welcome packet &amp; operator orientation</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CRE-POL-001 Identity; CRE-POL-002 Eligibility; Audit log</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Application; Brain AI artifact; Charter hash; Genesis block</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Onboarding ≤ 5 business days; First-time acceptance rate ≥ 80%</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Lead → COO → Founder</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If identity verification fails, escalate to Compliance for manual KYC. If sector is restricted, reject with documented rationale. Tier upgrades require re-onboarding.</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Auto-validate identity anchor against issuer; auto-generate charter from tier template; auto-open Law Firm Client Account via law firm API; Brain AI pre-screening.</w:t>
            </w:r>
          </w:p>
        </w:tc>
      </w:tr>
    </w:tbl>
    <w:p>
      <w:pPr>
        <w:pStyle w:val="Heading3"/>
        <w:keepNext/>
        <w:spacing w:before="200"/>
      </w:pPr>
      <w:r>
        <w:t>SOP-002 — Capital Formation SOP  (linked to PRC-002)</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SOP-002</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PRC-002</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Participation request</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 identity; Enterprise; Amount</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Equity Units; Ledger entry; Law Firm Client Account credit</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Capital Partner authentication &amp; eligibility | 2. CPP calculation &amp; ±5% band enforcement | 3. Capital transfer instruction to Law Firm Client Account | 4. Law firm confirms receipt | 5. CRE issues Equity Units &amp; appends Ownership Ledger | 6. Real-time transparency broadcast to Constitutional Partners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CRE-POL-003 Zero Custody; CRE-POL-005 Price Band; CRE-POL-009 Transparency</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receipt; Ledger hash; Brain AI consensus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Cycle ≤ 24h; Reconciliation 100%</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Lead → COO → Risk Committee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If CPP outside ±5% band, CRE auto-rejects. If Law Firm Client Account credit not received within 24h, hold issuance and escalate to law firm. If Capital Partner fails re-KYC, freeze participation.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Auto-reconcile Law Firm Client Account credits against ledger; auto-issue Equity Units on confirmed receipt; real-time transparency broadcast; Brain AI anomaly detection on participation patterns.</w:t>
            </w:r>
          </w:p>
        </w:tc>
      </w:tr>
    </w:tbl>
    <w:p>
      <w:pPr>
        <w:pStyle w:val="Heading3"/>
        <w:keepNext/>
        <w:spacing w:before="200"/>
      </w:pPr>
      <w:r>
        <w:t>SOP-003 — Brain AI Review &amp; Consensus SOP  (linked to PRC-008)</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SOP-003</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PRC-008</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Review &amp; Consensus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task request</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Task kind; Context; Network Participant message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Consensus response; Artifact; Confidence</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Route task to provider ordering by kind | 2. Call up to 5 providers (consensus mode) | 3. Synthesize consensus | 4. Constitutional prompt validation | 5. Persist artifact with full audit trail | 6. Return response with confidence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Non-overridable system prompt; Hallucination monitor; Bias monitor</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AiArtifact rows (10-yr retention)</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Consensus rate; Hallucination &lt; 1%; P95 latency</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Ethics Committee → Founder</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If 2+ providers disagree materially, flag for human review. If consensus confidence &lt; 0.7, require human sign-off. If hallucination detected, quarantine response and retrain guard.</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Auto-route by task kind; auto-persist artifacts; auto-detect hallucination via cross-provider contradiction; auto-fallback to standard mode if consensus fails.</w:t>
            </w:r>
          </w:p>
        </w:tc>
      </w:tr>
    </w:tbl>
    <w:p>
      <w:pPr>
        <w:pStyle w:val="Heading3"/>
        <w:keepNext/>
        <w:spacing w:before="200"/>
      </w:pPr>
      <w:r>
        <w:t>SOP-004 — Graduation SOP  (linked to PRC-009)</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SOP-004</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PRC-009</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 90</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Health; Financial settlement; Charter status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Graduated enterprise; Frozen ledger; Alumni record</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Graduation readiness assessment | 2. Final financial reconciliation | 3. Constitutional Council ratification | 4. Ownership Ledger freeze &amp; snapshot | 5. Final settlement to Law Firm Client Account | 6. Alumni onboarding &amp; handoff | 7. CRE archival</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CRE-POL-014 Graduation Gate; Constitutional Council ratification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report; Council minutes; Frozen ledger hash</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cycle time; Alumni satisfaction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 Constitutional Council → Founder</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If readiness score drops below 90 during process, pause and remediate. If Constitutional Council rejects, return to enterprise with improvement plan. If financial settlement disputed, escalate to dispute resolution.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Auto-monitor readiness score; auto-generate settlement reconciliation; auto-snapshot ledger on ratification; auto-create alumni record.</w:t>
            </w:r>
          </w:p>
        </w:tc>
      </w:tr>
    </w:tbl>
    <w:p>
      <w:pPr>
        <w:pStyle w:val="Heading3"/>
        <w:keepNext/>
        <w:spacing w:before="200"/>
      </w:pPr>
      <w:r>
        <w:t>SOP-005 — Incident Management SOP  (linked to PRC-014)</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SOP-005</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PRC-014</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Incident Management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Alert or partner report</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Alert; Triage; CRE status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Resolution; Postmortem; Improvements</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Detect &amp; classify (Sev 1-4) | 2. Mobilize response team | 3. Mitigate | 4. Resolve | 5. Postmortem within 48h | 6. Improvement backlog update | 7. Knowledge base update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BCP/DR runbook; Evidence retention</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Ticket; Postmortem; Timeline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MTTR Sev1 ≤ 4h; Incident rate; Postmortem 100%</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On-call → Eng Lead → COO → Founder (Sev1)</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Sev1 incidents auto-page Founder. If CRE ledger compromised, invoke BCP Oracle Mirror. If data breach suspected, invoke PDPL notification within 72h. If Brain AI unavailable, graceful degradation to single-provider.</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Auto-classify severity; auto-mobilize on-call; auto-generate timeline from logs; Brain AI draft postmortem; auto-create improvement backlog items.</w:t>
            </w:r>
          </w:p>
        </w:tc>
      </w:tr>
    </w:tbl>
    <w:p>
      <w:pPr>
        <w:pStyle w:val="Heading3"/>
        <w:keepNext/>
        <w:spacing w:before="200"/>
      </w:pPr>
      <w:r>
        <w:t>SOP-006 — Financial Close SOP  (linked to PRC-018)</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 ID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SOP-006</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Linked Process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PRC-018</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Title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Financial Close SOP</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Owner</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Operations Finance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Trigger</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Month-end</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Inputs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Ledger; Bank statements; Reconciliations</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Statements; KPI pack; Audit trail</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Steps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 Reconcile all Law Firm Client Accounts | 2. Reconcile operating accounts | 3. Accruals | 4. Brain AI anomaly scan | 5. Statement preparation | 6. Founder review | 7. Archive with hash</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Controls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Financial control; Audit log</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Evidence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Statements; Reconciliation; Hash archive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Close ≤ 5 business days; Anomaly &lt; 0.1%</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Lead → COO → Founder</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Exceptions</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If unreconciled difference &gt; 1 EGP, halt close and investigate. If Law Firm Client Account mismatch, escalate to law firm within 24h. If Brain AI anomaly flagged, manual review required before close.</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Opportunities</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Auto-reconcile Law Firm Client Accounts; auto-match bank statements; Brain AI anomaly scan; auto-generate KPI pack; auto-hash archive.</w:t>
            </w:r>
          </w:p>
        </w:tc>
      </w:tr>
    </w:tbl>
    <w:p>
      <w:pPr>
        <w:pStyle w:val="Heading2"/>
        <w:keepNext/>
        <w:spacing w:before="280"/>
      </w:pPr>
      <w:r>
        <w:t>Section 4 — Service Catalogue (12 Services)</w:t>
      </w:r>
    </w:p>
    <w:p>
      <w:pPr>
        <w:spacing w:line="312" w:lineRule="auto" w:after="120"/>
        <w:ind w:firstLine="283"/>
        <w:jc w:val="both"/>
      </w:pPr>
      <w:r>
        <w:rPr>
          <w:rFonts w:ascii="Calibri" w:hAnsi="Calibri"/>
          <w:b w:val="0"/>
          <w:i w:val="0"/>
          <w:sz w:val="22"/>
        </w:rPr>
        <w:t>The Service Catalogue enumerates the services that the three entities provide to one another, to enterprises, and to partners. Each service carries a service-level agreement (SLA) and declared dependencies. Service ownership follows the three-entity architecture: Holding Group owns Legal Coordination and Risk Advisory; Operations owns Engineering, AI, CRE, Compliance Support, Architecture Review, Knowledge Management, and Enterprise Success; Advisory owns Partner Management, Certification, and Training.</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cantSplit/>
        </w:trPr>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Service</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Provider</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Consumer</w:t>
            </w:r>
          </w:p>
        </w:tc>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Inputs</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Outputs</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Service Levels</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Dependencies</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SVC-001</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 Services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Requirements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Software deliverables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Bi-weekly sprint cadence, Sev1 MTTR 4h</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Brain AI, CI/CD</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SVC-002</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Services (Brain AI)</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 + enterprises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Task kind, Context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Consensus responses, Artifacts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P95 &lt; 5s, 99.5% availability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 AI providers, AiArtifact store</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SVC-003</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Services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enterprises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Events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Enforced decisions, Ledger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&lt; 50ms enforcement, 100% ledger integrity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Ed25519 signer, Hash-chain ledger</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SVC-004</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Coordination</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request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Contracts, Opinions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Cycle ≤ 14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network</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SVC-005</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Management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request</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Accredited partners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Onboarding ≤ 30 days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CRM, Brain AI</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SVC-006</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Certification (CAaaS)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Graduated enterprises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Application, Audit evidence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Certification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Cycle ≤ 60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Audit Committee, Brain AI</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SVC-007</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Support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question</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Guidance, Filings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Response ≤ 2 business days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base, Brain AI</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SVC-008</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Advisory</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question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Assessment, Mitigation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Response ≤ 3 business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Committee, Brain AI</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SVC-009</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 Review</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Decision</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Cycle ≤ 10 days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ARB, Brain AI</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SVC-010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Management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 + enterprises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Draft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Versioned artifact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Publish ≤ 3 days post-approval</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base, Brain AI</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SVC-011</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Training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 + partners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Training need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Certified participants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training calendar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base</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SVC-012</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 request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Resolution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First response ≤ 4h, resolution ≤ 2 business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Knowledge base</w:t>
            </w:r>
          </w:p>
        </w:tc>
      </w:tr>
    </w:tbl>
    <w:p>
      <w:pPr>
        <w:pStyle w:val="Heading2"/>
        <w:keepNext/>
        <w:spacing w:before="280"/>
      </w:pPr>
      <w:r>
        <w:t>Section 5 — Enterprise Capability Map (20 Capabilities)</w:t>
      </w:r>
    </w:p>
    <w:p>
      <w:pPr>
        <w:spacing w:line="312" w:lineRule="auto" w:after="120"/>
        <w:ind w:firstLine="283"/>
        <w:jc w:val="both"/>
      </w:pPr>
      <w:r>
        <w:rPr>
          <w:rFonts w:ascii="Calibri" w:hAnsi="Calibri"/>
          <w:b w:val="0"/>
          <w:i w:val="0"/>
          <w:sz w:val="22"/>
        </w:rPr>
        <w:t>The Enterprise Capability Map identifies the twenty institutional capabilities required to execute the AURIENTA mission, mapped to their owning entity, current and target maturity (1–5 scale), dependencies, roadmap, and strategic importance. The map drives capital allocation, hiring triggers, and capability Capital Participation prioritisation. Current average maturity stands at 3.05 with a target of 4.85; the largest gaps are concentrated in Security, Government Relations, Marketing &amp; Brand, Training, Innovation, and Business Continuity.</w:t>
      </w:r>
    </w:p>
    <w:tbl>
      <w:tblPr>
        <w:tblW w:type="auto" w:w="0"/>
        <w:jc w:val="center"/>
        <w:tblLayout w:type="autofit"/>
        <w:tblLook w:firstColumn="1" w:firstRow="1" w:lastColumn="0" w:lastRow="0" w:noHBand="0" w:noVBand="1" w:val="04A0"/>
      </w:tblPr>
      <w:tblGrid>
        <w:gridCol w:w="976"/>
        <w:gridCol w:w="976"/>
        <w:gridCol w:w="976"/>
        <w:gridCol w:w="976"/>
        <w:gridCol w:w="976"/>
        <w:gridCol w:w="976"/>
        <w:gridCol w:w="976"/>
        <w:gridCol w:w="976"/>
        <w:gridCol w:w="976"/>
      </w:tblGrid>
      <w:tr>
        <w:trPr>
          <w:tblHeader/>
          <w:cantSplit/>
        </w:trPr>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Capability</w:t>
            </w:r>
          </w:p>
        </w:tc>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Domain</w:t>
            </w:r>
          </w:p>
        </w:tc>
        <w:tc>
          <w:tcPr>
            <w:tcW w:type="dxa" w:w="147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Current Maturity</w:t>
            </w:r>
          </w:p>
        </w:tc>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 Maturity</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Dependencies</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Roadmap</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Strategic Importance</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CAP-01</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Governance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Activate Constitutional Council at 50+ employees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CAP-02</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CI/CD</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Infrastructure engineering guild; internal infrastructure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CAP-03</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Cloud Infrastructure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Vendor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Multi-region; cost optimization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CAP-04</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 providers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 learning; consensus tuning</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CAP-05</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Ed25519</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Maintain; expand policy library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CAP-06</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Coordination</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network</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Expand law firm network; in-house counsel at 50+ employees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CAP-07</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Management</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Committee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register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Quantitative risk modeling; KRIs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CAP-08</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Committee</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Frameworks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SOC 2 Q2 2027, ISO 27001 Q4 2027</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CAP-09</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Operations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Accounting network</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CFO at 30+ employees; FP&amp;A</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CAP-10</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Ecosystem</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CRM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Expand across regions; partner success program</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CAP-11</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 Relations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team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Dedicated GR lead; regional coverage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CAP-12</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 &amp; Brand</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Brand</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CMO at 30+ employees; content engine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CAP-13</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Training</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base</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Academy; certification programs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CAP-14</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Management</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 Memory Engine; taxonomy v2</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CAP-15</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Innovation</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Improve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entities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Innovation lab; quarterly hackathons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CAP-16</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Security</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Security Committee</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NIST CSF</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CISO at 20+ employees; SOC</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CAP-17</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ARB</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ADR registry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architecture framework</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CAP-18</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Process library</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AOS v1.0 → continuous optimization</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CAP-19</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 team; success plays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CAP-20</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Business Continuity</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Committee</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BCP/DR</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ISO 22301 Q2 2028; annual testing</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r>
    </w:tbl>
    <w:p>
      <w:pPr>
        <w:pStyle w:val="Heading2"/>
        <w:keepNext/>
        <w:spacing w:before="280"/>
      </w:pPr>
      <w:r>
        <w:t>Section 6 — Operating Metrics (20 KPIs)</w:t>
      </w:r>
    </w:p>
    <w:p>
      <w:pPr>
        <w:spacing w:line="312" w:lineRule="auto" w:after="120"/>
        <w:ind w:firstLine="283"/>
        <w:jc w:val="both"/>
      </w:pPr>
      <w:r>
        <w:rPr>
          <w:rFonts w:ascii="Calibri" w:hAnsi="Calibri"/>
          <w:b w:val="0"/>
          <w:i w:val="0"/>
          <w:sz w:val="22"/>
        </w:rPr>
        <w:t>Twenty operating KPIs measure delivery performance, onboarding velocity, AI quality, CRE reliability, support responsiveness, knowledge freshness, operational efficiency, and satisfaction. Each KPI declares its category, definition, target, current value, owner, and reporting cadence. KPIs flow into the Operational Dashboards (Section 7), the Balanced Scorecard (Section 12), and the Executive Mission Control Center (Section 16).</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cantSplit/>
        </w:trPr>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204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KPI Name</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Definition</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Current</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Cadence</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KPI-01</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Lead Time (Spec→Ship)</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time from spec approval to production deploy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10 days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14 days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Bi-weekly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KPI-02</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Cycle Time (PR open→merge)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PR cycle time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2 days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KPI-03</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Deployment Frequency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Production deploys per week</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3/week</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2/week</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KPI-04</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Change Failure Rate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of deploys causing incident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&lt; 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KPI-05</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Onboarding Time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Onboarding</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partner onboarding cycle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30 days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35 days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KPI-06</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Onboarding Time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Onboarding</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enterprise onboarding cycle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5 business days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KPI-07</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Response Quality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Consensus rate + hallucination inverse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95%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92%</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KPI-08</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Hallucination Rate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of responses flagged hallucination</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&lt; 1%</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Ethics Committee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KPI-09</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Execution Time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enforcement latency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&lt; 50ms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35ms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KPI-10</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Ledger Integrity</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verifyLedgerChain() pass rate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100%</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KPI-11</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 First Response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first response time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4h</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5h</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KPI-12</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 Resolution</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Support</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Median resolution time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2 business days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 days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Weekly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KPI-13</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Freshness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docs reviewed in last 90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90%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70%</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KPI-14</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Documentation Coverage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processes with SOP</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65%</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KPI-15</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Automation Percentage</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Efficiency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processes automated or autonomous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70%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45%</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KPI-16</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Operational Efficiency</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Efficiency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Throughput per FTE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 YoY</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baseline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KPI-17</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Employee Productivity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Efficiency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Output per FTE (indexed)</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 YoY</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baseline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KPI-18</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Satisfaction (CSAT)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Satisfaction</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Satisfaction score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4.5/5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4.1/5</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KPI-19</w:t>
            </w:r>
          </w:p>
        </w:tc>
        <w:tc>
          <w:tcPr>
            <w:tcW w:type="dxa" w:w="204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Satisfaction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Satisfaction</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NPS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50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35</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r>
      <w:tr>
        <w:trPr>
          <w:cantSplit/>
        </w:trPr>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KPI-20</w:t>
            </w:r>
          </w:p>
        </w:tc>
        <w:tc>
          <w:tcPr>
            <w:tcW w:type="dxa" w:w="204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MTTR (Sev1)</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Mean time to restore Sev1 incidents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4h</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5h</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incident</w:t>
            </w:r>
          </w:p>
        </w:tc>
      </w:tr>
    </w:tbl>
    <w:p>
      <w:pPr>
        <w:pStyle w:val="Heading2"/>
        <w:keepNext/>
        <w:spacing w:before="280"/>
      </w:pPr>
      <w:r>
        <w:t>Section 7 — Operational Dashboards (10 Designs)</w:t>
      </w:r>
    </w:p>
    <w:p>
      <w:pPr>
        <w:spacing w:line="312" w:lineRule="auto" w:after="120"/>
        <w:ind w:firstLine="283"/>
        <w:jc w:val="both"/>
      </w:pPr>
      <w:r>
        <w:rPr>
          <w:rFonts w:ascii="Calibri" w:hAnsi="Calibri"/>
          <w:b w:val="0"/>
          <w:i w:val="0"/>
          <w:sz w:val="22"/>
        </w:rPr>
        <w:t>Ten operational dashboards serve audiences ranging from the Founder (single cockpit) through Holding Group, Operations, Advisory, Department Heads, Country Managers, Regional Directors, future Board, future Capital Partners, and the Executive Mission Control Center. Each dashboard declares its audience, purpose, widget composition, and refresh cadence.</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90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Audience</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Purpose</w:t>
            </w:r>
          </w:p>
        </w:tc>
        <w:tc>
          <w:tcPr>
            <w:tcW w:type="dxa" w:w="368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Widgets</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Refresh</w:t>
            </w:r>
          </w:p>
        </w:tc>
      </w:tr>
      <w:tr>
        <w:trPr>
          <w:cantSplit/>
        </w:trPr>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DASH-01</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Single cockpit for the entire institution</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 Readiness Score, Institutional KPIs (14), Risk register summary, Financial summary, Graduation pipeline, Brain AI health, Mission Control</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Real-time</w:t>
            </w:r>
          </w:p>
        </w:tc>
      </w:tr>
      <w:tr>
        <w:trPr>
          <w:cantSplit/>
        </w:trPr>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DASH-02</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Holding Group</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Governance, IP, capital allocation oversight</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Committee status, Delegation matrix, Risk register, Audit findings, IP portfolio, Financial sustainability</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DASH-03</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 + operations command</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Delivery KPIs, Deployment frequency, Incident board, CRE health, Brain AI health, Capability maturity</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Real-time</w:t>
            </w:r>
          </w:p>
        </w:tc>
      </w:tr>
      <w:tr>
        <w:trPr>
          <w:cantSplit/>
        </w:trPr>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DASH-04</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ecosystem &amp; government relations</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pipeline, Partner SLA, Certification queue, Government engagements, Ecosystem health</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DASH-05</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Department Heads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Departmental execution</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Department KPIs, Team capacity, Backlog, Quality metrics, Hiring plan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DASH-06</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Country Managers</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execution</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enterprises, Regional partners, Regulatory status, Local KPIs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DASH-07</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Directors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Multi-country oversight</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rollup, Cross-country benchmarks, Risk heatmap</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Daily</w:t>
            </w:r>
          </w:p>
        </w:tc>
      </w:tr>
      <w:tr>
        <w:trPr>
          <w:cantSplit/>
        </w:trPr>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DASH-08</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Future Board</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Board governance view</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Strategy progress, Risk, Financials, Compliance, Audit, Constitutional amendments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w:t>
            </w:r>
          </w:p>
        </w:tc>
      </w:tr>
      <w:tr>
        <w:trPr>
          <w:cantSplit/>
        </w:trPr>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DASH-09</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Future Capital Partners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 Capital Partner relations</w:t>
            </w:r>
          </w:p>
        </w:tc>
        <w:tc>
          <w:tcPr>
            <w:tcW w:type="dxa" w:w="368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Growth metrics, Financial performance, Graduation rate, Ecosystem expansion, ESG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r>
      <w:tr>
        <w:trPr>
          <w:cantSplit/>
        </w:trPr>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DASH-10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Executive Mission Control</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command center combining all</w:t>
            </w:r>
          </w:p>
        </w:tc>
        <w:tc>
          <w:tcPr>
            <w:tcW w:type="dxa" w:w="368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governance, All operations, All risk, All finance, All partnerships, All technology, All performance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Real-time</w:t>
            </w:r>
          </w:p>
        </w:tc>
      </w:tr>
    </w:tbl>
    <w:p>
      <w:pPr>
        <w:pStyle w:val="Heading2"/>
        <w:keepNext/>
        <w:spacing w:before="280"/>
      </w:pPr>
      <w:r>
        <w:t>Section 8 — Enterprise Knowledge Management</w:t>
      </w:r>
    </w:p>
    <w:p>
      <w:pPr>
        <w:spacing w:line="312" w:lineRule="auto" w:after="120"/>
        <w:ind w:firstLine="283"/>
        <w:jc w:val="both"/>
      </w:pPr>
      <w:r>
        <w:rPr>
          <w:rFonts w:ascii="Calibri" w:hAnsi="Calibri"/>
          <w:b w:val="0"/>
          <w:i w:val="0"/>
          <w:sz w:val="22"/>
        </w:rPr>
        <w:t>The Enterprise Knowledge Management subsystem ensures every constitutional, governance, operational, engineering, AI, risk, compliance, legal, financial, partner, and innovation artifact is owned, versioned, indexed, searchable, and retained per data governance policy. Brain AI performs semantic indexing on every approved artifact; embeddings are refreshed on publish. The subsystem integrates with the Institutional Memory Engine (Section 16) to make every approved decision, lesson, and audit finding retrievable by natural-language query.</w:t>
      </w:r>
    </w:p>
    <w:p>
      <w:pPr>
        <w:pStyle w:val="Heading3"/>
        <w:keepNext/>
        <w:spacing w:before="200"/>
      </w:pPr>
      <w:r>
        <w:t>8.1  Knowledge Taxonomy (12 domains)</w:t>
      </w:r>
    </w:p>
    <w:p>
      <w:pPr>
        <w:spacing w:line="300" w:lineRule="auto" w:after="40"/>
        <w:ind w:left="425" w:hanging="227"/>
      </w:pPr>
      <w:r>
        <w:rPr>
          <w:rFonts w:ascii="Calibri" w:hAnsi="Calibri"/>
          <w:color w:val="D4AF37"/>
          <w:sz w:val="22"/>
        </w:rPr>
        <w:t xml:space="preserve">•  </w:t>
      </w:r>
      <w:r>
        <w:rPr>
          <w:rFonts w:ascii="Calibri" w:hAnsi="Calibri"/>
          <w:sz w:val="22"/>
        </w:rPr>
        <w:t>Constitutional (charters, amendments, council minutes)</w:t>
      </w:r>
    </w:p>
    <w:p>
      <w:pPr>
        <w:spacing w:line="300" w:lineRule="auto" w:after="40"/>
        <w:ind w:left="425" w:hanging="227"/>
      </w:pPr>
      <w:r>
        <w:rPr>
          <w:rFonts w:ascii="Calibri" w:hAnsi="Calibri"/>
          <w:color w:val="D4AF37"/>
          <w:sz w:val="22"/>
        </w:rPr>
        <w:t xml:space="preserve">•  </w:t>
      </w:r>
      <w:r>
        <w:rPr>
          <w:rFonts w:ascii="Calibri" w:hAnsi="Calibri"/>
          <w:sz w:val="22"/>
        </w:rPr>
        <w:t>Governance (manual, delegation matrix, committee charters)</w:t>
      </w:r>
    </w:p>
    <w:p>
      <w:pPr>
        <w:spacing w:line="300" w:lineRule="auto" w:after="40"/>
        <w:ind w:left="425" w:hanging="227"/>
      </w:pPr>
      <w:r>
        <w:rPr>
          <w:rFonts w:ascii="Calibri" w:hAnsi="Calibri"/>
          <w:color w:val="D4AF37"/>
          <w:sz w:val="22"/>
        </w:rPr>
        <w:t xml:space="preserve">•  </w:t>
      </w:r>
      <w:r>
        <w:rPr>
          <w:rFonts w:ascii="Calibri" w:hAnsi="Calibri"/>
          <w:sz w:val="22"/>
        </w:rPr>
        <w:t>Operations (SOPs, process library, runbooks)</w:t>
      </w:r>
    </w:p>
    <w:p>
      <w:pPr>
        <w:spacing w:line="300" w:lineRule="auto" w:after="40"/>
        <w:ind w:left="425" w:hanging="227"/>
      </w:pPr>
      <w:r>
        <w:rPr>
          <w:rFonts w:ascii="Calibri" w:hAnsi="Calibri"/>
          <w:color w:val="D4AF37"/>
          <w:sz w:val="22"/>
        </w:rPr>
        <w:t xml:space="preserve">•  </w:t>
      </w:r>
      <w:r>
        <w:rPr>
          <w:rFonts w:ascii="Calibri" w:hAnsi="Calibri"/>
          <w:sz w:val="22"/>
        </w:rPr>
        <w:t>Engineering (ADRs, RFCs, architecture, code docs)</w:t>
      </w:r>
    </w:p>
    <w:p>
      <w:pPr>
        <w:spacing w:line="300" w:lineRule="auto" w:after="40"/>
        <w:ind w:left="425" w:hanging="227"/>
      </w:pPr>
      <w:r>
        <w:rPr>
          <w:rFonts w:ascii="Calibri" w:hAnsi="Calibri"/>
          <w:color w:val="D4AF37"/>
          <w:sz w:val="22"/>
        </w:rPr>
        <w:t xml:space="preserve">•  </w:t>
      </w:r>
      <w:r>
        <w:rPr>
          <w:rFonts w:ascii="Calibri" w:hAnsi="Calibri"/>
          <w:sz w:val="22"/>
        </w:rPr>
        <w:t>AI (Brain AI artifacts, prompts, evaluations)</w:t>
      </w:r>
    </w:p>
    <w:p>
      <w:pPr>
        <w:spacing w:line="300" w:lineRule="auto" w:after="40"/>
        <w:ind w:left="425" w:hanging="227"/>
      </w:pPr>
      <w:r>
        <w:rPr>
          <w:rFonts w:ascii="Calibri" w:hAnsi="Calibri"/>
          <w:color w:val="D4AF37"/>
          <w:sz w:val="22"/>
        </w:rPr>
        <w:t xml:space="preserve">•  </w:t>
      </w:r>
      <w:r>
        <w:rPr>
          <w:rFonts w:ascii="Calibri" w:hAnsi="Calibri"/>
          <w:sz w:val="22"/>
        </w:rPr>
        <w:t>Risk (register, KRIs, postmortems)</w:t>
      </w:r>
    </w:p>
    <w:p>
      <w:pPr>
        <w:spacing w:line="300" w:lineRule="auto" w:after="40"/>
        <w:ind w:left="425" w:hanging="227"/>
      </w:pPr>
      <w:r>
        <w:rPr>
          <w:rFonts w:ascii="Calibri" w:hAnsi="Calibri"/>
          <w:color w:val="D4AF37"/>
          <w:sz w:val="22"/>
        </w:rPr>
        <w:t xml:space="preserve">•  </w:t>
      </w:r>
      <w:r>
        <w:rPr>
          <w:rFonts w:ascii="Calibri" w:hAnsi="Calibri"/>
          <w:sz w:val="22"/>
        </w:rPr>
        <w:t>Compliance (frameworks, evidence, audit reports)</w:t>
      </w:r>
    </w:p>
    <w:p>
      <w:pPr>
        <w:spacing w:line="300" w:lineRule="auto" w:after="40"/>
        <w:ind w:left="425" w:hanging="227"/>
      </w:pPr>
      <w:r>
        <w:rPr>
          <w:rFonts w:ascii="Calibri" w:hAnsi="Calibri"/>
          <w:color w:val="D4AF37"/>
          <w:sz w:val="22"/>
        </w:rPr>
        <w:t xml:space="preserve">•  </w:t>
      </w:r>
      <w:r>
        <w:rPr>
          <w:rFonts w:ascii="Calibri" w:hAnsi="Calibri"/>
          <w:sz w:val="22"/>
        </w:rPr>
        <w:t>Legal (contracts, opinions, regulatory)</w:t>
      </w:r>
    </w:p>
    <w:p>
      <w:pPr>
        <w:spacing w:line="300" w:lineRule="auto" w:after="40"/>
        <w:ind w:left="425" w:hanging="227"/>
      </w:pPr>
      <w:r>
        <w:rPr>
          <w:rFonts w:ascii="Calibri" w:hAnsi="Calibri"/>
          <w:color w:val="D4AF37"/>
          <w:sz w:val="22"/>
        </w:rPr>
        <w:t xml:space="preserve">•  </w:t>
      </w:r>
      <w:r>
        <w:rPr>
          <w:rFonts w:ascii="Calibri" w:hAnsi="Calibri"/>
          <w:sz w:val="22"/>
        </w:rPr>
        <w:t>Finance (statements, reconciliations, budgets)</w:t>
      </w:r>
    </w:p>
    <w:p>
      <w:pPr>
        <w:spacing w:line="300" w:lineRule="auto" w:after="40"/>
        <w:ind w:left="425" w:hanging="227"/>
      </w:pPr>
      <w:r>
        <w:rPr>
          <w:rFonts w:ascii="Calibri" w:hAnsi="Calibri"/>
          <w:color w:val="D4AF37"/>
          <w:sz w:val="22"/>
        </w:rPr>
        <w:t xml:space="preserve">•  </w:t>
      </w:r>
      <w:r>
        <w:rPr>
          <w:rFonts w:ascii="Calibri" w:hAnsi="Calibri"/>
          <w:sz w:val="22"/>
        </w:rPr>
        <w:t>Partner (MSAs, SLAs, due diligence)</w:t>
      </w:r>
    </w:p>
    <w:p>
      <w:pPr>
        <w:spacing w:line="300" w:lineRule="auto" w:after="40"/>
        <w:ind w:left="425" w:hanging="227"/>
      </w:pPr>
      <w:r>
        <w:rPr>
          <w:rFonts w:ascii="Calibri" w:hAnsi="Calibri"/>
          <w:color w:val="D4AF37"/>
          <w:sz w:val="22"/>
        </w:rPr>
        <w:t xml:space="preserve">•  </w:t>
      </w:r>
      <w:r>
        <w:rPr>
          <w:rFonts w:ascii="Calibri" w:hAnsi="Calibri"/>
          <w:sz w:val="22"/>
        </w:rPr>
        <w:t>Knowledge (this taxonomy, training material)</w:t>
      </w:r>
    </w:p>
    <w:p>
      <w:pPr>
        <w:spacing w:line="300" w:lineRule="auto" w:after="40"/>
        <w:ind w:left="425" w:hanging="227"/>
      </w:pPr>
      <w:r>
        <w:rPr>
          <w:rFonts w:ascii="Calibri" w:hAnsi="Calibri"/>
          <w:color w:val="D4AF37"/>
          <w:sz w:val="22"/>
        </w:rPr>
        <w:t xml:space="preserve">•  </w:t>
      </w:r>
      <w:r>
        <w:rPr>
          <w:rFonts w:ascii="Calibri" w:hAnsi="Calibri"/>
          <w:sz w:val="22"/>
        </w:rPr>
        <w:t>Innovation (research, experiments, hackathons)</w:t>
      </w:r>
    </w:p>
    <w:p>
      <w:pPr>
        <w:pStyle w:val="Heading3"/>
        <w:keepNext/>
        <w:spacing w:before="200"/>
      </w:pPr>
      <w:r>
        <w:t>8.2  Document Ownership &amp; Lifecycle</w:t>
      </w:r>
    </w:p>
    <w:p>
      <w:pPr>
        <w:spacing w:line="300" w:lineRule="auto" w:after="40"/>
        <w:ind w:left="425" w:hanging="227"/>
      </w:pPr>
      <w:r>
        <w:rPr>
          <w:rFonts w:ascii="Calibri" w:hAnsi="Calibri"/>
          <w:color w:val="D4AF37"/>
          <w:sz w:val="22"/>
        </w:rPr>
        <w:t xml:space="preserve">•  </w:t>
      </w:r>
      <w:r>
        <w:rPr>
          <w:rFonts w:ascii="Calibri" w:hAnsi="Calibri"/>
          <w:b/>
          <w:sz w:val="22"/>
        </w:rPr>
        <w:t xml:space="preserve">Ownership — </w:t>
      </w:r>
      <w:r>
        <w:rPr>
          <w:rFonts w:ascii="Calibri" w:hAnsi="Calibri"/>
          <w:sz w:val="22"/>
        </w:rPr>
        <w:t>Every document has a single accountable owner (DRI) and a review cadence.</w:t>
      </w:r>
    </w:p>
    <w:p>
      <w:pPr>
        <w:spacing w:line="300" w:lineRule="auto" w:after="40"/>
        <w:ind w:left="425" w:hanging="227"/>
      </w:pPr>
      <w:r>
        <w:rPr>
          <w:rFonts w:ascii="Calibri" w:hAnsi="Calibri"/>
          <w:color w:val="D4AF37"/>
          <w:sz w:val="22"/>
        </w:rPr>
        <w:t xml:space="preserve">•  </w:t>
      </w:r>
      <w:r>
        <w:rPr>
          <w:rFonts w:ascii="Calibri" w:hAnsi="Calibri"/>
          <w:b/>
          <w:sz w:val="22"/>
        </w:rPr>
        <w:t xml:space="preserve">Approval Workflow — </w:t>
      </w:r>
      <w:r>
        <w:rPr>
          <w:rFonts w:ascii="Calibri" w:hAnsi="Calibri"/>
          <w:sz w:val="22"/>
        </w:rPr>
        <w:t>Draft → Peer review → Brain AI indexing → Owner approval → Publish → Version tag → Review calendar.</w:t>
      </w:r>
    </w:p>
    <w:p>
      <w:pPr>
        <w:spacing w:line="300" w:lineRule="auto" w:after="40"/>
        <w:ind w:left="425" w:hanging="227"/>
      </w:pPr>
      <w:r>
        <w:rPr>
          <w:rFonts w:ascii="Calibri" w:hAnsi="Calibri"/>
          <w:color w:val="D4AF37"/>
          <w:sz w:val="22"/>
        </w:rPr>
        <w:t xml:space="preserve">•  </w:t>
      </w:r>
      <w:r>
        <w:rPr>
          <w:rFonts w:ascii="Calibri" w:hAnsi="Calibri"/>
          <w:b/>
          <w:sz w:val="22"/>
        </w:rPr>
        <w:t xml:space="preserve">Versioning — </w:t>
      </w:r>
      <w:r>
        <w:rPr>
          <w:rFonts w:ascii="Calibri" w:hAnsi="Calibri"/>
          <w:sz w:val="22"/>
        </w:rPr>
        <w:t>Semantic versioning for policies and SOPs (MAJOR.MINOR.PATCH). Immutable version history with hash. Superseded versions archived but never deleted.</w:t>
      </w:r>
    </w:p>
    <w:p>
      <w:pPr>
        <w:spacing w:line="300" w:lineRule="auto" w:after="40"/>
        <w:ind w:left="425" w:hanging="227"/>
      </w:pPr>
      <w:r>
        <w:rPr>
          <w:rFonts w:ascii="Calibri" w:hAnsi="Calibri"/>
          <w:color w:val="D4AF37"/>
          <w:sz w:val="22"/>
        </w:rPr>
        <w:t xml:space="preserve">•  </w:t>
      </w:r>
      <w:r>
        <w:rPr>
          <w:rFonts w:ascii="Calibri" w:hAnsi="Calibri"/>
          <w:b/>
          <w:sz w:val="22"/>
        </w:rPr>
        <w:t xml:space="preserve">Archiving — </w:t>
      </w:r>
      <w:r>
        <w:rPr>
          <w:rFonts w:ascii="Calibri" w:hAnsi="Calibri"/>
          <w:sz w:val="22"/>
        </w:rPr>
        <w:t>Superseded documents archived with retention per data governance (10 years default, indefinite for ledger/constitutional).</w:t>
      </w:r>
    </w:p>
    <w:p>
      <w:pPr>
        <w:pStyle w:val="Heading3"/>
        <w:keepNext/>
        <w:spacing w:before="200"/>
      </w:pPr>
      <w:r>
        <w:t>8.3  Search, Indexing &amp; Retention</w:t>
      </w:r>
    </w:p>
    <w:p>
      <w:pPr>
        <w:spacing w:line="300" w:lineRule="auto" w:after="40"/>
        <w:ind w:left="425" w:hanging="227"/>
      </w:pPr>
      <w:r>
        <w:rPr>
          <w:rFonts w:ascii="Calibri" w:hAnsi="Calibri"/>
          <w:color w:val="D4AF37"/>
          <w:sz w:val="22"/>
        </w:rPr>
        <w:t xml:space="preserve">•  </w:t>
      </w:r>
      <w:r>
        <w:rPr>
          <w:rFonts w:ascii="Calibri" w:hAnsi="Calibri"/>
          <w:b/>
          <w:sz w:val="22"/>
        </w:rPr>
        <w:t xml:space="preserve">Search — </w:t>
      </w:r>
      <w:r>
        <w:rPr>
          <w:rFonts w:ascii="Calibri" w:hAnsi="Calibri"/>
          <w:sz w:val="22"/>
        </w:rPr>
        <w:t>Brain AI semantic indexing across all knowledge artifacts. Full-text + semantic + metadata search.</w:t>
      </w:r>
    </w:p>
    <w:p>
      <w:pPr>
        <w:spacing w:line="300" w:lineRule="auto" w:after="40"/>
        <w:ind w:left="425" w:hanging="227"/>
      </w:pPr>
      <w:r>
        <w:rPr>
          <w:rFonts w:ascii="Calibri" w:hAnsi="Calibri"/>
          <w:color w:val="D4AF37"/>
          <w:sz w:val="22"/>
        </w:rPr>
        <w:t xml:space="preserve">•  </w:t>
      </w:r>
      <w:r>
        <w:rPr>
          <w:rFonts w:ascii="Calibri" w:hAnsi="Calibri"/>
          <w:b/>
          <w:sz w:val="22"/>
        </w:rPr>
        <w:t xml:space="preserve">AI Indexing — </w:t>
      </w:r>
      <w:r>
        <w:rPr>
          <w:rFonts w:ascii="Calibri" w:hAnsi="Calibri"/>
          <w:sz w:val="22"/>
        </w:rPr>
        <w:t>Brain AI indexes every approved document for semantic retrieval. Embeddings refreshed on publish.</w:t>
      </w:r>
    </w:p>
    <w:p>
      <w:pPr>
        <w:spacing w:line="300" w:lineRule="auto" w:after="40"/>
        <w:ind w:left="425" w:hanging="227"/>
      </w:pPr>
      <w:r>
        <w:rPr>
          <w:rFonts w:ascii="Calibri" w:hAnsi="Calibri"/>
          <w:color w:val="D4AF37"/>
          <w:sz w:val="22"/>
        </w:rPr>
        <w:t xml:space="preserve">•  </w:t>
      </w:r>
      <w:r>
        <w:rPr>
          <w:rFonts w:ascii="Calibri" w:hAnsi="Calibri"/>
          <w:b/>
          <w:sz w:val="22"/>
        </w:rPr>
        <w:t xml:space="preserve">Retention — </w:t>
      </w:r>
      <w:r>
        <w:rPr>
          <w:rFonts w:ascii="Calibri" w:hAnsi="Calibri"/>
          <w:sz w:val="22"/>
        </w:rPr>
        <w:t>10 years default. Indefinite for constitutional, ledger, audit, legal. PDPL-aligned deletion for personal data on request.</w:t>
      </w:r>
    </w:p>
    <w:p>
      <w:pPr>
        <w:spacing w:line="300" w:lineRule="auto" w:after="40"/>
        <w:ind w:left="425" w:hanging="227"/>
      </w:pPr>
      <w:r>
        <w:rPr>
          <w:rFonts w:ascii="Calibri" w:hAnsi="Calibri"/>
          <w:color w:val="D4AF37"/>
          <w:sz w:val="22"/>
        </w:rPr>
        <w:t xml:space="preserve">•  </w:t>
      </w:r>
      <w:r>
        <w:rPr>
          <w:rFonts w:ascii="Calibri" w:hAnsi="Calibri"/>
          <w:b/>
          <w:sz w:val="22"/>
        </w:rPr>
        <w:t xml:space="preserve">Review Cycles — </w:t>
      </w:r>
      <w:r>
        <w:rPr>
          <w:rFonts w:ascii="Calibri" w:hAnsi="Calibri"/>
          <w:sz w:val="22"/>
        </w:rPr>
        <w:t>Constitutional: annual. Governance: annual. SOPs: annual or on process change. Technical docs: on change. Knowledge: 90-day freshness target.</w:t>
      </w:r>
    </w:p>
    <w:p>
      <w:pPr>
        <w:pStyle w:val="Heading2"/>
        <w:keepNext/>
        <w:spacing w:before="280"/>
      </w:pPr>
      <w:r>
        <w:t>Section 9 — Continuous Improvement System</w:t>
      </w:r>
    </w:p>
    <w:p>
      <w:pPr>
        <w:spacing w:line="312" w:lineRule="auto" w:after="120"/>
        <w:ind w:firstLine="283"/>
        <w:jc w:val="both"/>
      </w:pPr>
      <w:r>
        <w:rPr>
          <w:rFonts w:ascii="Calibri" w:hAnsi="Calibri"/>
          <w:b w:val="0"/>
          <w:i w:val="0"/>
          <w:sz w:val="22"/>
        </w:rPr>
        <w:t>The Continuous Improvement System blends Lean, Kaizen, Six Sigma, and constitutional alignment into a single institutional discipline. Improvements are proposed by anyone, evaluated for constitutional impact, prioritised by impact/effort in a single Improvement Backlog owned by the COO, and reviewed quarterly through the Operational Excellence Review. Every improvement must preserve constitutional controls; no efficiency gain may weaken the CRE, the Ownership Ledger, the Zero Custody guarantee, or any non-amendable rule.</w:t>
      </w:r>
    </w:p>
    <w:p>
      <w:pPr>
        <w:pStyle w:val="Heading3"/>
        <w:keepNext/>
        <w:spacing w:before="200"/>
      </w:pPr>
      <w:r>
        <w:t>9.1  Principles</w:t>
      </w:r>
    </w:p>
    <w:p>
      <w:pPr>
        <w:spacing w:line="300" w:lineRule="auto" w:after="40"/>
        <w:ind w:left="425" w:hanging="227"/>
      </w:pPr>
      <w:r>
        <w:rPr>
          <w:rFonts w:ascii="Calibri" w:hAnsi="Calibri"/>
          <w:color w:val="D4AF37"/>
          <w:sz w:val="22"/>
        </w:rPr>
        <w:t xml:space="preserve">•  </w:t>
      </w:r>
      <w:r>
        <w:rPr>
          <w:rFonts w:ascii="Calibri" w:hAnsi="Calibri"/>
          <w:sz w:val="22"/>
        </w:rPr>
        <w:t>Lean: eliminate waste (muda), unevenness (mura), overburden (muri).</w:t>
      </w:r>
    </w:p>
    <w:p>
      <w:pPr>
        <w:spacing w:line="300" w:lineRule="auto" w:after="40"/>
        <w:ind w:left="425" w:hanging="227"/>
      </w:pPr>
      <w:r>
        <w:rPr>
          <w:rFonts w:ascii="Calibri" w:hAnsi="Calibri"/>
          <w:color w:val="D4AF37"/>
          <w:sz w:val="22"/>
        </w:rPr>
        <w:t xml:space="preserve">•  </w:t>
      </w:r>
      <w:r>
        <w:rPr>
          <w:rFonts w:ascii="Calibri" w:hAnsi="Calibri"/>
          <w:sz w:val="22"/>
        </w:rPr>
        <w:t>Kaizen: small, continuous improvements by everyone, every day.</w:t>
      </w:r>
    </w:p>
    <w:p>
      <w:pPr>
        <w:spacing w:line="300" w:lineRule="auto" w:after="40"/>
        <w:ind w:left="425" w:hanging="227"/>
      </w:pPr>
      <w:r>
        <w:rPr>
          <w:rFonts w:ascii="Calibri" w:hAnsi="Calibri"/>
          <w:color w:val="D4AF37"/>
          <w:sz w:val="22"/>
        </w:rPr>
        <w:t xml:space="preserve">•  </w:t>
      </w:r>
      <w:r>
        <w:rPr>
          <w:rFonts w:ascii="Calibri" w:hAnsi="Calibri"/>
          <w:sz w:val="22"/>
        </w:rPr>
        <w:t>Six Sigma: reduce variation and defects (DMAIC).</w:t>
      </w:r>
    </w:p>
    <w:p>
      <w:pPr>
        <w:spacing w:line="300" w:lineRule="auto" w:after="40"/>
        <w:ind w:left="425" w:hanging="227"/>
      </w:pPr>
      <w:r>
        <w:rPr>
          <w:rFonts w:ascii="Calibri" w:hAnsi="Calibri"/>
          <w:color w:val="D4AF37"/>
          <w:sz w:val="22"/>
        </w:rPr>
        <w:t xml:space="preserve">•  </w:t>
      </w:r>
      <w:r>
        <w:rPr>
          <w:rFonts w:ascii="Calibri" w:hAnsi="Calibri"/>
          <w:sz w:val="22"/>
        </w:rPr>
        <w:t>Respect for people: those who do the work improve the work.</w:t>
      </w:r>
    </w:p>
    <w:p>
      <w:pPr>
        <w:spacing w:line="300" w:lineRule="auto" w:after="40"/>
        <w:ind w:left="425" w:hanging="227"/>
      </w:pPr>
      <w:r>
        <w:rPr>
          <w:rFonts w:ascii="Calibri" w:hAnsi="Calibri"/>
          <w:color w:val="D4AF37"/>
          <w:sz w:val="22"/>
        </w:rPr>
        <w:t xml:space="preserve">•  </w:t>
      </w:r>
      <w:r>
        <w:rPr>
          <w:rFonts w:ascii="Calibri" w:hAnsi="Calibri"/>
          <w:sz w:val="22"/>
        </w:rPr>
        <w:t>Genchi genbutsu: go and see for yourself.</w:t>
      </w:r>
    </w:p>
    <w:p>
      <w:pPr>
        <w:spacing w:line="300" w:lineRule="auto" w:after="40"/>
        <w:ind w:left="425" w:hanging="227"/>
      </w:pPr>
      <w:r>
        <w:rPr>
          <w:rFonts w:ascii="Calibri" w:hAnsi="Calibri"/>
          <w:color w:val="D4AF37"/>
          <w:sz w:val="22"/>
        </w:rPr>
        <w:t xml:space="preserve">•  </w:t>
      </w:r>
      <w:r>
        <w:rPr>
          <w:rFonts w:ascii="Calibri" w:hAnsi="Calibri"/>
          <w:sz w:val="22"/>
        </w:rPr>
        <w:t>Constitutional alignment: improvements must never weaken constitutional controls.</w:t>
      </w:r>
    </w:p>
    <w:p>
      <w:pPr>
        <w:pStyle w:val="Heading3"/>
        <w:keepNext/>
        <w:spacing w:before="200"/>
      </w:pPr>
      <w:r>
        <w:t>9.2  Practices</w:t>
      </w:r>
    </w:p>
    <w:tbl>
      <w:tblPr>
        <w:tblW w:type="auto" w:w="0"/>
        <w:jc w:val="center"/>
        <w:tblLayout w:type="autofit"/>
        <w:tblLook w:firstColumn="1" w:firstRow="1" w:lastColumn="0" w:lastRow="0" w:noHBand="0" w:noVBand="1" w:val="04A0"/>
      </w:tblPr>
      <w:tblGrid>
        <w:gridCol w:w="2929"/>
        <w:gridCol w:w="2929"/>
        <w:gridCol w:w="2929"/>
      </w:tblGrid>
      <w:tr>
        <w:trPr>
          <w:tblHeader/>
          <w:cantSplit/>
        </w:trPr>
        <w:tc>
          <w:tcPr>
            <w:tcW w:type="dxa" w:w="3402"/>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Practice</w:t>
            </w:r>
          </w:p>
        </w:tc>
        <w:tc>
          <w:tcPr>
            <w:tcW w:type="dxa" w:w="28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Cadence</w:t>
            </w:r>
          </w:p>
        </w:tc>
        <w:tc>
          <w:tcPr>
            <w:tcW w:type="dxa" w:w="28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r>
      <w:tr>
        <w:trPr>
          <w:cantSplit/>
        </w:trPr>
        <w:tc>
          <w:tcPr>
            <w:tcW w:type="dxa" w:w="3402"/>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Lessons Learned</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project/milestone</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Project lead</w:t>
            </w:r>
          </w:p>
        </w:tc>
      </w:tr>
      <w:tr>
        <w:trPr>
          <w:cantSplit/>
        </w:trPr>
        <w:tc>
          <w:tcPr>
            <w:tcW w:type="dxa" w:w="3402"/>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Postmortems</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incident (within 48h)</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Incident commander</w:t>
            </w:r>
          </w:p>
        </w:tc>
      </w:tr>
      <w:tr>
        <w:trPr>
          <w:cantSplit/>
        </w:trPr>
        <w:tc>
          <w:tcPr>
            <w:tcW w:type="dxa" w:w="3402"/>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Retrospectives</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sprint</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 lead</w:t>
            </w:r>
          </w:p>
        </w:tc>
      </w:tr>
      <w:tr>
        <w:trPr>
          <w:cantSplit/>
        </w:trPr>
        <w:tc>
          <w:tcPr>
            <w:tcW w:type="dxa" w:w="3402"/>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Root Cause Analysis (5 Whys + Fishbone)</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defect/incident</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Quality</w:t>
            </w:r>
          </w:p>
        </w:tc>
      </w:tr>
      <w:tr>
        <w:trPr>
          <w:cantSplit/>
        </w:trPr>
        <w:tc>
          <w:tcPr>
            <w:tcW w:type="dxa" w:w="3402"/>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Corrective Actions (CAPA)</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finding</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Finding owner</w:t>
            </w:r>
          </w:p>
        </w:tc>
      </w:tr>
      <w:tr>
        <w:trPr>
          <w:cantSplit/>
        </w:trPr>
        <w:tc>
          <w:tcPr>
            <w:tcW w:type="dxa" w:w="3402"/>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Preventive Actions</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 risk identified</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owner</w:t>
            </w:r>
          </w:p>
        </w:tc>
      </w:tr>
      <w:tr>
        <w:trPr>
          <w:cantSplit/>
        </w:trPr>
        <w:tc>
          <w:tcPr>
            <w:tcW w:type="dxa" w:w="3402"/>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Improvement Backlog</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r>
      <w:tr>
        <w:trPr>
          <w:cantSplit/>
        </w:trPr>
        <w:tc>
          <w:tcPr>
            <w:tcW w:type="dxa" w:w="3402"/>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Operational Excellence Review</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r>
      <w:tr>
        <w:trPr>
          <w:cantSplit/>
        </w:trPr>
        <w:tc>
          <w:tcPr>
            <w:tcW w:type="dxa" w:w="3402"/>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Kaizen Events</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Department heads</w:t>
            </w:r>
          </w:p>
        </w:tc>
      </w:tr>
      <w:tr>
        <w:trPr>
          <w:cantSplit/>
        </w:trPr>
        <w:tc>
          <w:tcPr>
            <w:tcW w:type="dxa" w:w="3402"/>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Value Stream Mapping</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 per value stream</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r>
    </w:tbl>
    <w:p>
      <w:pPr>
        <w:pStyle w:val="Heading3"/>
        <w:keepNext/>
        <w:spacing w:before="200"/>
      </w:pPr>
      <w:r>
        <w:t>9.3  Improvement Backlog &amp; Quality Assurance</w:t>
      </w:r>
    </w:p>
    <w:p>
      <w:pPr>
        <w:spacing w:line="300" w:lineRule="auto" w:after="40"/>
        <w:ind w:left="425" w:hanging="227"/>
      </w:pPr>
      <w:r>
        <w:rPr>
          <w:rFonts w:ascii="Calibri" w:hAnsi="Calibri"/>
          <w:color w:val="D4AF37"/>
          <w:sz w:val="22"/>
        </w:rPr>
        <w:t xml:space="preserve">•  </w:t>
      </w:r>
      <w:r>
        <w:rPr>
          <w:rFonts w:ascii="Calibri" w:hAnsi="Calibri"/>
          <w:b/>
          <w:sz w:val="22"/>
        </w:rPr>
        <w:t xml:space="preserve">Improvement Backlog — </w:t>
      </w:r>
      <w:r>
        <w:rPr>
          <w:rFonts w:ascii="Calibri" w:hAnsi="Calibri"/>
          <w:sz w:val="22"/>
        </w:rPr>
        <w:t>A single prioritized backlog of improvement items with owner, impact, effort, and constitutional-impact assessment. Reviewed weekly by COO.</w:t>
      </w:r>
    </w:p>
    <w:p>
      <w:pPr>
        <w:spacing w:line="300" w:lineRule="auto" w:after="40"/>
        <w:ind w:left="425" w:hanging="227"/>
      </w:pPr>
      <w:r>
        <w:rPr>
          <w:rFonts w:ascii="Calibri" w:hAnsi="Calibri"/>
          <w:color w:val="D4AF37"/>
          <w:sz w:val="22"/>
        </w:rPr>
        <w:t xml:space="preserve">•  </w:t>
      </w:r>
      <w:r>
        <w:rPr>
          <w:rFonts w:ascii="Calibri" w:hAnsi="Calibri"/>
          <w:b/>
          <w:sz w:val="22"/>
        </w:rPr>
        <w:t xml:space="preserve">Quality Assurance — </w:t>
      </w:r>
      <w:r>
        <w:rPr>
          <w:rFonts w:ascii="Calibri" w:hAnsi="Calibri"/>
          <w:sz w:val="22"/>
        </w:rPr>
        <w:t>Every process has defined quality criteria. Brain AI samples outputs and flags deviations. Quarterly QA audit by Audit Committee.</w:t>
      </w:r>
    </w:p>
    <w:p>
      <w:pPr>
        <w:pStyle w:val="Heading2"/>
        <w:keepNext/>
        <w:spacing w:before="280"/>
      </w:pPr>
      <w:r>
        <w:t>Section 10 — Organizational Design</w:t>
      </w:r>
    </w:p>
    <w:p>
      <w:pPr>
        <w:spacing w:line="312" w:lineRule="auto" w:after="120"/>
        <w:ind w:firstLine="283"/>
        <w:jc w:val="both"/>
      </w:pPr>
      <w:r>
        <w:rPr>
          <w:rFonts w:ascii="Calibri" w:hAnsi="Calibri"/>
          <w:b w:val="0"/>
          <w:i w:val="0"/>
          <w:sz w:val="22"/>
        </w:rPr>
        <w:t>Organizational Design defines the future-state structure that scales the Group from Founder-led execution through 10,000+ personnel. Twelve future executive roles are specified with activation triggers tied to headcount, geographic expansion, or institutional milestones. Each role declares its reporting line, responsibilities, and span of control. Career ladders, a succession plan, and a competency framework ensure that institutional capability is developed deliberately rather than emerging ad hoc.</w:t>
      </w:r>
    </w:p>
    <w:p>
      <w:pPr>
        <w:pStyle w:val="Heading3"/>
        <w:keepNext/>
        <w:spacing w:before="200"/>
      </w:pPr>
      <w:r>
        <w:t>10.1  Future Executive Roles (12)</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Title</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Reports To</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Activates At</w:t>
            </w:r>
          </w:p>
        </w:tc>
        <w:tc>
          <w:tcPr>
            <w:tcW w:type="dxa" w:w="215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Responsibilities</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Span of Control</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ROLE-01</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Operating Officer (COO)</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Day-to-day operations, process execution, AOS ownership</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operations functions</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ROLE-02</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Technology Officer (CTO)</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 engineers (or AURIENTA Technologies spin-out)</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Technology strategy, architecture, engineering</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 architecture, cloud</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ROLE-03</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Financial Officer (CFO)</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30+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FP&amp;A, audit liaison</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function</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ROLE-04</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Risk Officer (CRO)</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20+ employees</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compliance, BCP</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compliance, security</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ROLE-05</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Information Security Officer (CISO)</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CRO</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20+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Cybersecurity, SOC</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Security function</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ROLE-06</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Marketing Officer (CMO)</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30+ employees</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Brand, marketing, sales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 sales</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ROLE-07</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Chief People Officer (CPO)</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25+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HR, talent, culture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HR function</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ROLE-08</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Director</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Now (designate)</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entity, partnerships, government relations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entity</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ROLE-09</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General Counsel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30+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contracts, regulatory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function</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ROLE-10</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Head of Enterprise Success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20+ employees</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 support, graduation</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 function</w:t>
            </w:r>
          </w:p>
        </w:tc>
      </w:tr>
      <w:tr>
        <w:trPr>
          <w:cantSplit/>
        </w:trPr>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ROLE-11</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Head of Knowledge</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 employees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management, documentation, training</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function</w:t>
            </w:r>
          </w:p>
        </w:tc>
      </w:tr>
      <w:tr>
        <w:trPr>
          <w:cantSplit/>
        </w:trPr>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ROLE-12</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Directors (Egypt, GCC, Africa, Europe, Asia, Americas)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regional expansion</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operations, partners, government relations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Regional teams</w:t>
            </w:r>
          </w:p>
        </w:tc>
      </w:tr>
    </w:tbl>
    <w:p>
      <w:pPr>
        <w:pStyle w:val="Heading3"/>
        <w:keepNext/>
        <w:spacing w:before="200"/>
      </w:pPr>
      <w:r>
        <w:t>10.2  Career Ladders</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Track</w:t>
            </w:r>
          </w:p>
        </w:tc>
        <w:tc>
          <w:tcPr>
            <w:tcW w:type="dxa" w:w="737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Progression</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w:t>
            </w:r>
          </w:p>
        </w:tc>
        <w:tc>
          <w:tcPr>
            <w:tcW w:type="dxa" w:w="737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IC1 Engineer → IC2 Engineer → IC3 Senior Engineer → IC4 Staff Engineer → IC5 Principal Engineer → Distinguished Engineer</w:t>
            </w:r>
          </w:p>
        </w:tc>
      </w:tr>
      <w:tr>
        <w:trPr>
          <w:cantSplit/>
        </w:trPr>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Management</w:t>
            </w:r>
          </w:p>
        </w:tc>
        <w:tc>
          <w:tcPr>
            <w:tcW w:type="dxa" w:w="737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Lead → Manager → Senior Manager → Director → Senior Director → VP → C-suite</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Individual</w:t>
            </w:r>
          </w:p>
        </w:tc>
        <w:tc>
          <w:tcPr>
            <w:tcW w:type="dxa" w:w="737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Associate → Specialist → Senior Specialist → Expert → Principal</w:t>
            </w:r>
          </w:p>
        </w:tc>
      </w:tr>
    </w:tbl>
    <w:p>
      <w:pPr>
        <w:pStyle w:val="Heading3"/>
        <w:keepNext/>
        <w:spacing w:before="200"/>
      </w:pPr>
      <w:r>
        <w:t>10.3  Succession Plan</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Role</w:t>
            </w:r>
          </w:p>
        </w:tc>
        <w:tc>
          <w:tcPr>
            <w:tcW w:type="dxa" w:w="765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Succession Path</w:t>
            </w:r>
          </w:p>
        </w:tc>
      </w:tr>
      <w:tr>
        <w:trPr>
          <w:cantSplit/>
        </w:trPr>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7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 → COO (operations) + Advisory Director (advisory) + Holding Group Chair (governance). Emergency: COO assumes operations if Founder unavailable 72+ hours.</w:t>
            </w:r>
          </w:p>
        </w:tc>
      </w:tr>
      <w:tr>
        <w:trPr>
          <w:cantSplit/>
        </w:trPr>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w:t>
            </w:r>
          </w:p>
        </w:tc>
        <w:tc>
          <w:tcPr>
            <w:tcW w:type="dxa" w:w="7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COO → Senior Director of Operations or VP Engineering (interim).</w:t>
            </w:r>
          </w:p>
        </w:tc>
      </w:tr>
      <w:tr>
        <w:trPr>
          <w:cantSplit/>
        </w:trPr>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CTO</w:t>
            </w:r>
          </w:p>
        </w:tc>
        <w:tc>
          <w:tcPr>
            <w:tcW w:type="dxa" w:w="7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CTO → Principal Engineer or VP Engineering (interim).</w:t>
            </w:r>
          </w:p>
        </w:tc>
      </w:tr>
      <w:tr>
        <w:trPr>
          <w:cantSplit/>
        </w:trPr>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CFO</w:t>
            </w:r>
          </w:p>
        </w:tc>
        <w:tc>
          <w:tcPr>
            <w:tcW w:type="dxa" w:w="7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CFO → Finance Director (interim).</w:t>
            </w:r>
          </w:p>
        </w:tc>
      </w:tr>
    </w:tbl>
    <w:p>
      <w:pPr>
        <w:pStyle w:val="Heading3"/>
        <w:keepNext/>
        <w:spacing w:before="200"/>
      </w:pPr>
      <w:r>
        <w:t>10.4  Competency Framework</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737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Competencies</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Leadership</w:t>
            </w:r>
          </w:p>
        </w:tc>
        <w:tc>
          <w:tcPr>
            <w:tcW w:type="dxa" w:w="737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judgment, Strategic thinking, People leadership, Decision quality, Executive presence</w:t>
            </w:r>
          </w:p>
        </w:tc>
      </w:tr>
      <w:tr>
        <w:trPr>
          <w:cantSplit/>
        </w:trPr>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Functional</w:t>
            </w:r>
          </w:p>
        </w:tc>
        <w:tc>
          <w:tcPr>
            <w:tcW w:type="dxa" w:w="737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Domain expertise, Analytical thinking, Process design, Quality orientation</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w:t>
            </w:r>
          </w:p>
        </w:tc>
        <w:tc>
          <w:tcPr>
            <w:tcW w:type="dxa" w:w="737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literacy, Risk awareness, Compliance mindset, Stewardship</w:t>
            </w:r>
          </w:p>
        </w:tc>
      </w:tr>
      <w:tr>
        <w:trPr>
          <w:cantSplit/>
        </w:trPr>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Behavioral</w:t>
            </w:r>
          </w:p>
        </w:tc>
        <w:tc>
          <w:tcPr>
            <w:tcW w:type="dxa" w:w="737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Integrity, Collaboration, Adaptability, Continuous learning</w:t>
            </w:r>
          </w:p>
        </w:tc>
      </w:tr>
    </w:tbl>
    <w:p>
      <w:pPr>
        <w:pStyle w:val="Heading2"/>
        <w:keepNext/>
        <w:spacing w:before="280"/>
      </w:pPr>
      <w:r>
        <w:t>Section 11 — Enterprise Planning System</w:t>
      </w:r>
    </w:p>
    <w:p>
      <w:pPr>
        <w:spacing w:line="312" w:lineRule="auto" w:after="120"/>
        <w:ind w:firstLine="283"/>
        <w:jc w:val="both"/>
      </w:pPr>
      <w:r>
        <w:rPr>
          <w:rFonts w:ascii="Calibri" w:hAnsi="Calibri"/>
          <w:b w:val="0"/>
          <w:i w:val="0"/>
          <w:sz w:val="22"/>
        </w:rPr>
        <w:t>The Enterprise Planning System codifies the planning cadences that translate strategy into execution. Annual planning produces a 3-year strategy refresh, annual plan, annual OKRs, and a budget envelope. Quarterly OKRs cascade from annual; monthly business reviews surface KPIs, risks, and decisions; quarterly capacity and roadmap planning aligns demand with supply. Scenario planning produces base, upside, and downside scenarios annually, each with triggers, responses, and a financial model. All major reallocations (&gt; 1 M EGP) require Founder approval.</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26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Planning Cycle</w:t>
            </w:r>
          </w:p>
        </w:tc>
        <w:tc>
          <w:tcPr>
            <w:tcW w:type="dxa" w:w="70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Description</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 Planning</w:t>
            </w:r>
          </w:p>
        </w:tc>
        <w:tc>
          <w:tcPr>
            <w:tcW w:type="dxa" w:w="70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 strategic planning cycle (Q4). Founder-led. Produces 3-year strategy refresh + annual plan + annual OKRs + budget envelope. Approved by Founder.</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 OKRs</w:t>
            </w:r>
          </w:p>
        </w:tc>
        <w:tc>
          <w:tcPr>
            <w:tcW w:type="dxa" w:w="70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 OKR cycle. Department OKRs cascade from annual. Reviewed monthly, reset quarterly. Brain AI assists with trend analysis.</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 Reviews</w:t>
            </w:r>
          </w:p>
        </w:tc>
        <w:tc>
          <w:tcPr>
            <w:tcW w:type="dxa" w:w="70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Monthly business reviews (MBR). Department heads present KPIs, risks, decisions needed. COO chairs.</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Capacity Planning</w:t>
            </w:r>
          </w:p>
        </w:tc>
        <w:tc>
          <w:tcPr>
            <w:tcW w:type="dxa" w:w="70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 capacity planning. Maps demand (roadmap + partner commitments) to supply (FTEs + partners + automation). Identifies hiring + automation triggers.</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Resource Planning</w:t>
            </w:r>
          </w:p>
        </w:tc>
        <w:tc>
          <w:tcPr>
            <w:tcW w:type="dxa" w:w="70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Resource allocation tied to OKRs. Founder approves major reallocations. COO manages within-department.</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Roadmap Planning</w:t>
            </w:r>
          </w:p>
        </w:tc>
        <w:tc>
          <w:tcPr>
            <w:tcW w:type="dxa" w:w="70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Quarterly roadmap planning. Operations owns technology roadmap. Advisory owns ecosystem roadmap. Holding owns strategic roadmap.</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Budget Planning</w:t>
            </w:r>
          </w:p>
        </w:tc>
        <w:tc>
          <w:tcPr>
            <w:tcW w:type="dxa" w:w="70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Annual budget + quarterly reforecast. Zero-based for new initiatives. Founder approves &gt; 1M EGP.</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Planning</w:t>
            </w:r>
          </w:p>
        </w:tc>
        <w:tc>
          <w:tcPr>
            <w:tcW w:type="dxa" w:w="70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3-year rolling strategy. Annual refresh. Scenario planning (3 scenarios). Brain AI assists.</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Scenario Planning</w:t>
            </w:r>
          </w:p>
        </w:tc>
        <w:tc>
          <w:tcPr>
            <w:tcW w:type="dxa" w:w="70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Three scenarios annually: base, upside, downside. Each with triggers, responses, and financial model.</w:t>
            </w:r>
          </w:p>
        </w:tc>
      </w:tr>
    </w:tbl>
    <w:p>
      <w:pPr>
        <w:pStyle w:val="Heading2"/>
        <w:keepNext/>
        <w:spacing w:before="280"/>
      </w:pPr>
      <w:r>
        <w:t>Section 12 — Business Performance Management (Balanced Scorecard)</w:t>
      </w:r>
    </w:p>
    <w:p>
      <w:pPr>
        <w:spacing w:line="312" w:lineRule="auto" w:after="120"/>
        <w:ind w:firstLine="283"/>
        <w:jc w:val="both"/>
      </w:pPr>
      <w:r>
        <w:rPr>
          <w:rFonts w:ascii="Calibri" w:hAnsi="Calibri"/>
          <w:b w:val="0"/>
          <w:i w:val="0"/>
          <w:sz w:val="22"/>
        </w:rPr>
        <w:t>Business Performance Management uses a Balanced Scorecard with five perspectives. The Constitutional perspective is AURIENTA-specific and supersedes all others: constitutional integrity, zero custody, and transparency are non-negotiable. The Financial, Enterprise, Internal Process, and Learning &amp; Growth perspectives follow the Kaplan–Norton framework, adapted to AURIENTA's institutional model.</w:t>
      </w:r>
    </w:p>
    <w:tbl>
      <w:tblPr>
        <w:tblW w:type="auto" w:w="0"/>
        <w:jc w:val="center"/>
        <w:tblLayout w:type="autofit"/>
        <w:tblLook w:firstColumn="1" w:firstRow="1" w:lastColumn="0" w:lastRow="0" w:noHBand="0" w:noVBand="1" w:val="04A0"/>
      </w:tblPr>
      <w:tblGrid>
        <w:gridCol w:w="2197"/>
        <w:gridCol w:w="2197"/>
        <w:gridCol w:w="2197"/>
        <w:gridCol w:w="2197"/>
      </w:tblGrid>
      <w:tr>
        <w:trPr>
          <w:tblHeader/>
          <w:cantSplit/>
        </w:trPr>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Perspective</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Objectives</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Measures</w:t>
            </w:r>
          </w:p>
        </w:tc>
        <w:tc>
          <w:tcPr>
            <w:tcW w:type="dxa" w:w="226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Targets</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Financial</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Sustainable unit economics; Revenue growth; Cost discipline</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Gross margin; Revenue growth %; Cost per enterprise</w:t>
            </w:r>
          </w:p>
        </w:tc>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&gt; 60%; +25% YoY; ↓ 10% YoY</w:t>
            </w:r>
          </w:p>
        </w:tc>
      </w:tr>
      <w:tr>
        <w:trPr>
          <w:cantSplit/>
        </w:trPr>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 Graduation readiness; Satisfaction</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 rate; Avg readiness score; Enterprise Satisfaction</w:t>
            </w:r>
          </w:p>
        </w:tc>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&gt; 20%/yr; &gt; 75; &gt; 4.5/5</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Internal Process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Operational excellence; Compliance; Innovation</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Lead time; Audit findings; Automation %</w:t>
            </w:r>
          </w:p>
        </w:tc>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 10 days; 0 critical; &gt; 70%</w:t>
            </w:r>
          </w:p>
        </w:tc>
      </w:tr>
      <w:tr>
        <w:trPr>
          <w:cantSplit/>
        </w:trPr>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Learning &amp; Growth</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Talent development; Knowledge freshness; Constitutional literacy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Training completion; Doc freshness; Constitutional assessment</w:t>
            </w:r>
          </w:p>
        </w:tc>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100%; &gt; 90%; &gt; 95% pass</w:t>
            </w:r>
          </w:p>
        </w:tc>
      </w:tr>
      <w:tr>
        <w:trPr>
          <w:cantSplit/>
        </w:trPr>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(AURIENTA-specific)</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integrity; Zero custody; Transparency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enforcement %; Custody violations; Transparency coverage</w:t>
            </w:r>
          </w:p>
        </w:tc>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100%; 0; 100%</w:t>
            </w:r>
          </w:p>
        </w:tc>
      </w:tr>
    </w:tbl>
    <w:p>
      <w:pPr>
        <w:pStyle w:val="Heading2"/>
        <w:keepNext/>
        <w:spacing w:before="280"/>
      </w:pPr>
      <w:r>
        <w:t>Section 13 — Operational Excellence Framework</w:t>
      </w:r>
    </w:p>
    <w:p>
      <w:pPr>
        <w:spacing w:line="312" w:lineRule="auto" w:after="120"/>
        <w:ind w:firstLine="283"/>
        <w:jc w:val="both"/>
      </w:pPr>
      <w:r>
        <w:rPr>
          <w:rFonts w:ascii="Calibri" w:hAnsi="Calibri"/>
          <w:b w:val="0"/>
          <w:i w:val="0"/>
          <w:sz w:val="22"/>
        </w:rPr>
        <w:t>The Operational Excellence Framework codifies the principles, waste taxonomy, standardisation discipline, quality assurance, automation strategy, continuous optimisation, and operational resilience that govern how AURIENTA performs work. The framework is constitutionally subordinate: excellence never overrides constitutional controls, and constitutional decisions are never automated.</w:t>
      </w:r>
    </w:p>
    <w:p>
      <w:pPr>
        <w:pStyle w:val="Heading3"/>
        <w:keepNext/>
        <w:spacing w:before="200"/>
      </w:pPr>
      <w:r>
        <w:t>13.1  Principles</w:t>
      </w:r>
    </w:p>
    <w:p>
      <w:pPr>
        <w:spacing w:line="300" w:lineRule="auto" w:after="40"/>
        <w:ind w:left="425" w:hanging="227"/>
      </w:pPr>
      <w:r>
        <w:rPr>
          <w:rFonts w:ascii="Calibri" w:hAnsi="Calibri"/>
          <w:color w:val="D4AF37"/>
          <w:sz w:val="22"/>
        </w:rPr>
        <w:t xml:space="preserve">•  </w:t>
      </w:r>
      <w:r>
        <w:rPr>
          <w:rFonts w:ascii="Calibri" w:hAnsi="Calibri"/>
          <w:sz w:val="22"/>
        </w:rPr>
        <w:t>Constitutional Supremacy: Excellence never overrides constitutional controls.</w:t>
      </w:r>
    </w:p>
    <w:p>
      <w:pPr>
        <w:spacing w:line="300" w:lineRule="auto" w:after="40"/>
        <w:ind w:left="425" w:hanging="227"/>
      </w:pPr>
      <w:r>
        <w:rPr>
          <w:rFonts w:ascii="Calibri" w:hAnsi="Calibri"/>
          <w:color w:val="D4AF37"/>
          <w:sz w:val="22"/>
        </w:rPr>
        <w:t xml:space="preserve">•  </w:t>
      </w:r>
      <w:r>
        <w:rPr>
          <w:rFonts w:ascii="Calibri" w:hAnsi="Calibri"/>
          <w:sz w:val="22"/>
        </w:rPr>
        <w:t>Enterprise Value: Every process must create value for enterprises.</w:t>
      </w:r>
    </w:p>
    <w:p>
      <w:pPr>
        <w:spacing w:line="300" w:lineRule="auto" w:after="40"/>
        <w:ind w:left="425" w:hanging="227"/>
      </w:pPr>
      <w:r>
        <w:rPr>
          <w:rFonts w:ascii="Calibri" w:hAnsi="Calibri"/>
          <w:color w:val="D4AF37"/>
          <w:sz w:val="22"/>
        </w:rPr>
        <w:t xml:space="preserve">•  </w:t>
      </w:r>
      <w:r>
        <w:rPr>
          <w:rFonts w:ascii="Calibri" w:hAnsi="Calibri"/>
          <w:sz w:val="22"/>
        </w:rPr>
        <w:t>Standardization then Improvement: Standardize work, then improve the standard.</w:t>
      </w:r>
    </w:p>
    <w:p>
      <w:pPr>
        <w:spacing w:line="300" w:lineRule="auto" w:after="40"/>
        <w:ind w:left="425" w:hanging="227"/>
      </w:pPr>
      <w:r>
        <w:rPr>
          <w:rFonts w:ascii="Calibri" w:hAnsi="Calibri"/>
          <w:color w:val="D4AF37"/>
          <w:sz w:val="22"/>
        </w:rPr>
        <w:t xml:space="preserve">•  </w:t>
      </w:r>
      <w:r>
        <w:rPr>
          <w:rFonts w:ascii="Calibri" w:hAnsi="Calibri"/>
          <w:sz w:val="22"/>
        </w:rPr>
        <w:t>Data-Driven: Decisions based on evidence, not opinion.</w:t>
      </w:r>
    </w:p>
    <w:p>
      <w:pPr>
        <w:spacing w:line="300" w:lineRule="auto" w:after="40"/>
        <w:ind w:left="425" w:hanging="227"/>
      </w:pPr>
      <w:r>
        <w:rPr>
          <w:rFonts w:ascii="Calibri" w:hAnsi="Calibri"/>
          <w:color w:val="D4AF37"/>
          <w:sz w:val="22"/>
        </w:rPr>
        <w:t xml:space="preserve">•  </w:t>
      </w:r>
      <w:r>
        <w:rPr>
          <w:rFonts w:ascii="Calibri" w:hAnsi="Calibri"/>
          <w:sz w:val="22"/>
        </w:rPr>
        <w:t>Respect for People: Operators improve their own work.</w:t>
      </w:r>
    </w:p>
    <w:p>
      <w:pPr>
        <w:spacing w:line="300" w:lineRule="auto" w:after="40"/>
        <w:ind w:left="425" w:hanging="227"/>
      </w:pPr>
      <w:r>
        <w:rPr>
          <w:rFonts w:ascii="Calibri" w:hAnsi="Calibri"/>
          <w:color w:val="D4AF37"/>
          <w:sz w:val="22"/>
        </w:rPr>
        <w:t xml:space="preserve">•  </w:t>
      </w:r>
      <w:r>
        <w:rPr>
          <w:rFonts w:ascii="Calibri" w:hAnsi="Calibri"/>
          <w:sz w:val="22"/>
        </w:rPr>
        <w:t>Continuous Flow: Eliminate handoff delays and rework.</w:t>
      </w:r>
    </w:p>
    <w:p>
      <w:pPr>
        <w:spacing w:line="300" w:lineRule="auto" w:after="40"/>
        <w:ind w:left="425" w:hanging="227"/>
      </w:pPr>
      <w:r>
        <w:rPr>
          <w:rFonts w:ascii="Calibri" w:hAnsi="Calibri"/>
          <w:color w:val="D4AF37"/>
          <w:sz w:val="22"/>
        </w:rPr>
        <w:t xml:space="preserve">•  </w:t>
      </w:r>
      <w:r>
        <w:rPr>
          <w:rFonts w:ascii="Calibri" w:hAnsi="Calibri"/>
          <w:sz w:val="22"/>
        </w:rPr>
        <w:t>Built-in Quality: Quality at the source, not inspection at the end.</w:t>
      </w:r>
    </w:p>
    <w:p>
      <w:pPr>
        <w:spacing w:line="300" w:lineRule="auto" w:after="40"/>
        <w:ind w:left="425" w:hanging="227"/>
      </w:pPr>
      <w:r>
        <w:rPr>
          <w:rFonts w:ascii="Calibri" w:hAnsi="Calibri"/>
          <w:color w:val="D4AF37"/>
          <w:sz w:val="22"/>
        </w:rPr>
        <w:t xml:space="preserve">•  </w:t>
      </w:r>
      <w:r>
        <w:rPr>
          <w:rFonts w:ascii="Calibri" w:hAnsi="Calibri"/>
          <w:sz w:val="22"/>
        </w:rPr>
        <w:t>Pull over Push: Work pulled by demand, not pushed by capacity.</w:t>
      </w:r>
    </w:p>
    <w:p>
      <w:pPr>
        <w:pStyle w:val="Heading3"/>
        <w:keepNext/>
        <w:spacing w:before="200"/>
      </w:pPr>
      <w:r>
        <w:t>13.2  Waste Reduction (8 categories)</w:t>
      </w:r>
    </w:p>
    <w:p>
      <w:pPr>
        <w:spacing w:line="300" w:lineRule="auto" w:after="40"/>
        <w:ind w:left="425" w:hanging="227"/>
      </w:pPr>
      <w:r>
        <w:rPr>
          <w:rFonts w:ascii="Calibri" w:hAnsi="Calibri"/>
          <w:color w:val="D4AF37"/>
          <w:sz w:val="22"/>
        </w:rPr>
        <w:t xml:space="preserve">•  </w:t>
      </w:r>
      <w:r>
        <w:rPr>
          <w:rFonts w:ascii="Calibri" w:hAnsi="Calibri"/>
          <w:sz w:val="22"/>
        </w:rPr>
        <w:t>Defects (CRE violations, rework)</w:t>
      </w:r>
    </w:p>
    <w:p>
      <w:pPr>
        <w:spacing w:line="300" w:lineRule="auto" w:after="40"/>
        <w:ind w:left="425" w:hanging="227"/>
      </w:pPr>
      <w:r>
        <w:rPr>
          <w:rFonts w:ascii="Calibri" w:hAnsi="Calibri"/>
          <w:color w:val="D4AF37"/>
          <w:sz w:val="22"/>
        </w:rPr>
        <w:t xml:space="preserve">•  </w:t>
      </w:r>
      <w:r>
        <w:rPr>
          <w:rFonts w:ascii="Calibri" w:hAnsi="Calibri"/>
          <w:sz w:val="22"/>
        </w:rPr>
        <w:t>Overproduction (features no one uses)</w:t>
      </w:r>
    </w:p>
    <w:p>
      <w:pPr>
        <w:spacing w:line="300" w:lineRule="auto" w:after="40"/>
        <w:ind w:left="425" w:hanging="227"/>
      </w:pPr>
      <w:r>
        <w:rPr>
          <w:rFonts w:ascii="Calibri" w:hAnsi="Calibri"/>
          <w:color w:val="D4AF37"/>
          <w:sz w:val="22"/>
        </w:rPr>
        <w:t xml:space="preserve">•  </w:t>
      </w:r>
      <w:r>
        <w:rPr>
          <w:rFonts w:ascii="Calibri" w:hAnsi="Calibri"/>
          <w:sz w:val="22"/>
        </w:rPr>
        <w:t>Waiting (handoff delays)</w:t>
      </w:r>
    </w:p>
    <w:p>
      <w:pPr>
        <w:spacing w:line="300" w:lineRule="auto" w:after="40"/>
        <w:ind w:left="425" w:hanging="227"/>
      </w:pPr>
      <w:r>
        <w:rPr>
          <w:rFonts w:ascii="Calibri" w:hAnsi="Calibri"/>
          <w:color w:val="D4AF37"/>
          <w:sz w:val="22"/>
        </w:rPr>
        <w:t xml:space="preserve">•  </w:t>
      </w:r>
      <w:r>
        <w:rPr>
          <w:rFonts w:ascii="Calibri" w:hAnsi="Calibri"/>
          <w:sz w:val="22"/>
        </w:rPr>
        <w:t>Non-utilized talent (Brain AI underused)</w:t>
      </w:r>
    </w:p>
    <w:p>
      <w:pPr>
        <w:spacing w:line="300" w:lineRule="auto" w:after="40"/>
        <w:ind w:left="425" w:hanging="227"/>
      </w:pPr>
      <w:r>
        <w:rPr>
          <w:rFonts w:ascii="Calibri" w:hAnsi="Calibri"/>
          <w:color w:val="D4AF37"/>
          <w:sz w:val="22"/>
        </w:rPr>
        <w:t xml:space="preserve">•  </w:t>
      </w:r>
      <w:r>
        <w:rPr>
          <w:rFonts w:ascii="Calibri" w:hAnsi="Calibri"/>
          <w:sz w:val="22"/>
        </w:rPr>
        <w:t>Transportation (unnecessary data movement)</w:t>
      </w:r>
    </w:p>
    <w:p>
      <w:pPr>
        <w:spacing w:line="300" w:lineRule="auto" w:after="40"/>
        <w:ind w:left="425" w:hanging="227"/>
      </w:pPr>
      <w:r>
        <w:rPr>
          <w:rFonts w:ascii="Calibri" w:hAnsi="Calibri"/>
          <w:color w:val="D4AF37"/>
          <w:sz w:val="22"/>
        </w:rPr>
        <w:t xml:space="preserve">•  </w:t>
      </w:r>
      <w:r>
        <w:rPr>
          <w:rFonts w:ascii="Calibri" w:hAnsi="Calibri"/>
          <w:sz w:val="22"/>
        </w:rPr>
        <w:t>Inventory (stale knowledge, idle capital)</w:t>
      </w:r>
    </w:p>
    <w:p>
      <w:pPr>
        <w:spacing w:line="300" w:lineRule="auto" w:after="40"/>
        <w:ind w:left="425" w:hanging="227"/>
      </w:pPr>
      <w:r>
        <w:rPr>
          <w:rFonts w:ascii="Calibri" w:hAnsi="Calibri"/>
          <w:color w:val="D4AF37"/>
          <w:sz w:val="22"/>
        </w:rPr>
        <w:t xml:space="preserve">•  </w:t>
      </w:r>
      <w:r>
        <w:rPr>
          <w:rFonts w:ascii="Calibri" w:hAnsi="Calibri"/>
          <w:sz w:val="22"/>
        </w:rPr>
        <w:t>Motion (context switching)</w:t>
      </w:r>
    </w:p>
    <w:p>
      <w:pPr>
        <w:spacing w:line="300" w:lineRule="auto" w:after="40"/>
        <w:ind w:left="425" w:hanging="227"/>
      </w:pPr>
      <w:r>
        <w:rPr>
          <w:rFonts w:ascii="Calibri" w:hAnsi="Calibri"/>
          <w:color w:val="D4AF37"/>
          <w:sz w:val="22"/>
        </w:rPr>
        <w:t xml:space="preserve">•  </w:t>
      </w:r>
      <w:r>
        <w:rPr>
          <w:rFonts w:ascii="Calibri" w:hAnsi="Calibri"/>
          <w:sz w:val="22"/>
        </w:rPr>
        <w:t>Excess processing (over-engineering)</w:t>
      </w:r>
    </w:p>
    <w:p>
      <w:pPr>
        <w:pStyle w:val="Heading3"/>
        <w:keepNext/>
        <w:spacing w:before="200"/>
      </w:pPr>
      <w:r>
        <w:t>13.3  Standardisation, QA &amp; Automation</w:t>
      </w:r>
    </w:p>
    <w:p>
      <w:pPr>
        <w:spacing w:line="300" w:lineRule="auto" w:after="40"/>
        <w:ind w:left="425" w:hanging="227"/>
      </w:pPr>
      <w:r>
        <w:rPr>
          <w:rFonts w:ascii="Calibri" w:hAnsi="Calibri"/>
          <w:color w:val="D4AF37"/>
          <w:sz w:val="22"/>
        </w:rPr>
        <w:t xml:space="preserve">•  </w:t>
      </w:r>
      <w:r>
        <w:rPr>
          <w:rFonts w:ascii="Calibri" w:hAnsi="Calibri"/>
          <w:b/>
          <w:sz w:val="22"/>
        </w:rPr>
        <w:t xml:space="preserve">Standardisation — </w:t>
      </w:r>
      <w:r>
        <w:rPr>
          <w:rFonts w:ascii="Calibri" w:hAnsi="Calibri"/>
          <w:sz w:val="22"/>
        </w:rPr>
        <w:t>Every recurring activity has an SOP. SOPs are versioned. Deviations require documented exception.</w:t>
      </w:r>
    </w:p>
    <w:p>
      <w:pPr>
        <w:spacing w:line="300" w:lineRule="auto" w:after="40"/>
        <w:ind w:left="425" w:hanging="227"/>
      </w:pPr>
      <w:r>
        <w:rPr>
          <w:rFonts w:ascii="Calibri" w:hAnsi="Calibri"/>
          <w:color w:val="D4AF37"/>
          <w:sz w:val="22"/>
        </w:rPr>
        <w:t xml:space="preserve">•  </w:t>
      </w:r>
      <w:r>
        <w:rPr>
          <w:rFonts w:ascii="Calibri" w:hAnsi="Calibri"/>
          <w:b/>
          <w:sz w:val="22"/>
        </w:rPr>
        <w:t xml:space="preserve">Quality Assurance — </w:t>
      </w:r>
      <w:r>
        <w:rPr>
          <w:rFonts w:ascii="Calibri" w:hAnsi="Calibri"/>
          <w:sz w:val="22"/>
        </w:rPr>
        <w:t>In-process quality checks via CRE + Brain AI sampling. Quarterly QA audit.</w:t>
      </w:r>
    </w:p>
    <w:p>
      <w:pPr>
        <w:spacing w:line="300" w:lineRule="auto" w:after="40"/>
        <w:ind w:left="425" w:hanging="227"/>
      </w:pPr>
      <w:r>
        <w:rPr>
          <w:rFonts w:ascii="Calibri" w:hAnsi="Calibri"/>
          <w:color w:val="D4AF37"/>
          <w:sz w:val="22"/>
        </w:rPr>
        <w:t xml:space="preserve">•  </w:t>
      </w:r>
      <w:r>
        <w:rPr>
          <w:rFonts w:ascii="Calibri" w:hAnsi="Calibri"/>
          <w:b/>
          <w:sz w:val="22"/>
        </w:rPr>
        <w:t xml:space="preserve">Automation Strategy — </w:t>
      </w:r>
      <w:r>
        <w:rPr>
          <w:rFonts w:ascii="Calibri" w:hAnsi="Calibri"/>
          <w:sz w:val="22"/>
        </w:rPr>
        <w:t>Automate deterministic, high-volume, error-prone tasks first. Use Brain AI for judgment tasks with human review. Never automate constitutional decisions.</w:t>
      </w:r>
    </w:p>
    <w:p>
      <w:pPr>
        <w:pStyle w:val="Heading3"/>
        <w:keepNext/>
        <w:spacing w:before="200"/>
      </w:pPr>
      <w:r>
        <w:t>13.4  Continuous Optimisation &amp; Operational Resilience</w:t>
      </w:r>
    </w:p>
    <w:p>
      <w:pPr>
        <w:spacing w:line="300" w:lineRule="auto" w:after="40"/>
        <w:ind w:left="425" w:hanging="227"/>
      </w:pPr>
      <w:r>
        <w:rPr>
          <w:rFonts w:ascii="Calibri" w:hAnsi="Calibri"/>
          <w:color w:val="D4AF37"/>
          <w:sz w:val="22"/>
        </w:rPr>
        <w:t xml:space="preserve">•  </w:t>
      </w:r>
      <w:r>
        <w:rPr>
          <w:rFonts w:ascii="Calibri" w:hAnsi="Calibri"/>
          <w:b/>
          <w:sz w:val="22"/>
        </w:rPr>
        <w:t xml:space="preserve">Continuous Optimisation — </w:t>
      </w:r>
      <w:r>
        <w:rPr>
          <w:rFonts w:ascii="Calibri" w:hAnsi="Calibri"/>
          <w:sz w:val="22"/>
        </w:rPr>
        <w:t>Quarterly value stream reviews. Kaizen events. Improvement backlog prioritized by impact/effort.</w:t>
      </w:r>
    </w:p>
    <w:p>
      <w:pPr>
        <w:spacing w:line="300" w:lineRule="auto" w:after="40"/>
        <w:ind w:left="425" w:hanging="227"/>
      </w:pPr>
      <w:r>
        <w:rPr>
          <w:rFonts w:ascii="Calibri" w:hAnsi="Calibri"/>
          <w:color w:val="D4AF37"/>
          <w:sz w:val="22"/>
        </w:rPr>
        <w:t xml:space="preserve">•  </w:t>
      </w:r>
      <w:r>
        <w:rPr>
          <w:rFonts w:ascii="Calibri" w:hAnsi="Calibri"/>
          <w:b/>
          <w:sz w:val="22"/>
        </w:rPr>
        <w:t xml:space="preserve">Operational Resilience — </w:t>
      </w:r>
      <w:r>
        <w:rPr>
          <w:rFonts w:ascii="Calibri" w:hAnsi="Calibri"/>
          <w:sz w:val="22"/>
        </w:rPr>
        <w:t>BCP/DR tested annually. Oracle Mirror for constitutional continuity. Graceful degradation for AI. CRE deterministic restart.</w:t>
      </w:r>
    </w:p>
    <w:p>
      <w:pPr>
        <w:pStyle w:val="Heading2"/>
        <w:keepNext/>
        <w:spacing w:before="280"/>
      </w:pPr>
      <w:r>
        <w:t>Section 14 — Enterprise Process Simulation (20-Step Lifecycle)</w:t>
      </w:r>
    </w:p>
    <w:p>
      <w:pPr>
        <w:spacing w:line="312" w:lineRule="auto" w:after="120"/>
        <w:ind w:firstLine="283"/>
        <w:jc w:val="both"/>
      </w:pPr>
      <w:r>
        <w:rPr>
          <w:rFonts w:ascii="Calibri" w:hAnsi="Calibri"/>
          <w:b w:val="0"/>
          <w:i w:val="0"/>
          <w:sz w:val="22"/>
        </w:rPr>
        <w:t>The Enterprise Process Simulation traces a single enterprise from Founder application (Day 0) through charter ratification, capital formation, milestone execution, graduation, alumni relations, CAaaS certification, and strategic partnership. Each step declares its phase, actor, action, system invoked, control enforced, evidence produced, and timing. The simulation serves as both a teaching artefact and a regression-test target for the AOS.</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cantSplit/>
        </w:trPr>
        <w:tc>
          <w:tcPr>
            <w:tcW w:type="dxa" w:w="45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t>
            </w:r>
          </w:p>
        </w:tc>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Phase</w:t>
            </w:r>
          </w:p>
        </w:tc>
        <w:tc>
          <w:tcPr>
            <w:tcW w:type="dxa" w:w="147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Actor</w:t>
            </w:r>
          </w:p>
        </w:tc>
        <w:tc>
          <w:tcPr>
            <w:tcW w:type="dxa" w:w="192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Action</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System</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Control</w:t>
            </w:r>
          </w:p>
        </w:tc>
        <w:tc>
          <w:tcPr>
            <w:tcW w:type="dxa" w:w="136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Evidence</w:t>
            </w:r>
          </w:p>
        </w:tc>
        <w:tc>
          <w:tcPr>
            <w:tcW w:type="dxa" w:w="90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Timing</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Founder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Creates enterprise application</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Onboarding portal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CRE-POL-001 Identity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Application record</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0</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Validates identity anchor</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CRE-POL-001</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Anchor hash</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0</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&amp; sector review</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Ethics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 artifact</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0-1</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 Law Firm</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assigned; Law Firm Client Account opened</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CRM</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Amendment IX</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Account confirmation</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1-2</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 Founder/Operator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drafted &amp; signed</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editor</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hash</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2-3</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Charter ratified; ledger genesis</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Genesis block</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3</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7</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Request participation</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Portal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CRE-POL-002 Eligibility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Request log</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3+</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CPP calc &amp; ±5% enforcement</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CRE-POL-005</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Price record</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3+</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9</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Partner → Law Firm</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to Law Firm Client Account</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Banking</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CRE-POL-003 Zero Custody</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Law firm receipt</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3+</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Formation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Equity Units issued; ledger append</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 Ownership Ledger</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CRE-POL-009 Transparency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Ledger hash</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Day 3+</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11</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 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Milestone execution; milestone votes</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CRE-POL-010 Quorum</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Vote records</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Months 1-N</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12</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Milestone Funding</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 / Founder</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Milestone approved; funding released</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CRE-POL-011 Milestone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Release record</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Per milestone</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13</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score ≥ 90</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report</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14</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Council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Ratifies graduation</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Governance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Council ratification</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Council minutes</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Final settlement; ledger freeze; alumni onboarding</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 + Ownership Ledger</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CRE-POL-014</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Frozen ledger hash</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16</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 + Alumni</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relations; CAaaS eligibility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registry</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control</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Alumni record</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17</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CAaaS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Graduated 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Applies for CAaaS certification</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portal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Certification control</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Application</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18</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CAaaS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 + Audit Committee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 audit; certification decision</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 CRE</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Audit oversight</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Audit report + certificate</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19</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Partner</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partner certification</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CRM</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accreditation</w:t>
            </w:r>
          </w:p>
        </w:tc>
        <w:tc>
          <w:tcPr>
            <w:tcW w:type="dxa" w:w="136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record</w:t>
            </w:r>
          </w:p>
        </w:tc>
        <w:tc>
          <w:tcPr>
            <w:tcW w:type="dxa" w:w="90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Year N+</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20</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Strategic Partner</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 AURIENTA</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Ongoing partnership; ecosystem contribution</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SLA</w:t>
            </w:r>
          </w:p>
        </w:tc>
        <w:tc>
          <w:tcPr>
            <w:tcW w:type="dxa" w:w="136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Engagement records</w:t>
            </w:r>
          </w:p>
        </w:tc>
        <w:tc>
          <w:tcPr>
            <w:tcW w:type="dxa" w:w="90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Ongoing</w:t>
            </w:r>
          </w:p>
        </w:tc>
      </w:tr>
    </w:tbl>
    <w:p>
      <w:pPr>
        <w:pStyle w:val="Heading2"/>
        <w:keepNext/>
        <w:spacing w:before="280"/>
      </w:pPr>
      <w:r>
        <w:t>Section 15 — Operational Maturity Assessment</w:t>
      </w:r>
    </w:p>
    <w:p>
      <w:pPr>
        <w:spacing w:line="312" w:lineRule="auto" w:after="120"/>
        <w:ind w:firstLine="283"/>
        <w:jc w:val="both"/>
      </w:pPr>
      <w:r>
        <w:rPr>
          <w:rFonts w:ascii="Calibri" w:hAnsi="Calibri"/>
          <w:b w:val="0"/>
          <w:i w:val="0"/>
          <w:sz w:val="22"/>
        </w:rPr>
        <w:t>Operational maturity is assessed against five industry frameworks: APQC (Process Classification), Lean Enterprise (Flow &amp; Waste Reduction), High-Performance Organization (Execution Discipline), McKinsey Operating Model (Operating Model Coherence), and Deloitte Operational Excellence (Excellence System). The current average maturity is 2.6 on a 1–5 scale, targeting 5.0 over a five-year horizon. The biggest gaps are in Lean flow (L2), the Operational Excellence system (L2), and process mining (L3).</w:t>
      </w:r>
    </w:p>
    <w:p>
      <w:pPr>
        <w:pStyle w:val="Heading3"/>
        <w:keepNext/>
        <w:spacing w:before="200"/>
      </w:pPr>
      <w:r>
        <w:t>15.1  Framework-by-Framework Assessment</w:t>
      </w:r>
    </w:p>
    <w:tbl>
      <w:tblPr>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rPr>
          <w:tblHeader/>
          <w:cantSplit/>
        </w:trPr>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Framework</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Capability</w:t>
            </w:r>
          </w:p>
        </w:tc>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Current</w:t>
            </w:r>
          </w:p>
        </w:tc>
        <w:tc>
          <w:tcPr>
            <w:tcW w:type="dxa" w:w="79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Gap</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3-Year Roadmap</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5-Year Roadmap</w:t>
            </w:r>
          </w:p>
        </w:tc>
      </w:tr>
      <w:tr>
        <w:trPr>
          <w:cantSplit/>
        </w:trPr>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APQC</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Process Classification</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L3-L5: partial process library → full L0-L3 mapped + measured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Complete L0-L3 map; SOPs for 100% processes; process mining</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Real-time process analytics; predictive process optimization</w:t>
            </w:r>
          </w:p>
        </w:tc>
      </w:tr>
      <w:tr>
        <w:trPr>
          <w:cantSplit/>
        </w:trPr>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Lean Enterprise</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Flow &amp; Waste Reduction</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L2-L5: identify waste → systematic elimination + pull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Value stream maps for top 10 processes; Kaizen program</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Continuous flow; &lt; 1 day lead time end-to-end</w:t>
            </w:r>
          </w:p>
        </w:tc>
      </w:tr>
      <w:tr>
        <w:trPr>
          <w:cantSplit/>
        </w:trPr>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High-Performance Organization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Execution Discipline</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L3-L5: defined cadence → data-driven execution culture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MBR + QBR discipline; OKR maturity; scorecards live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Self-managing teams; autonomous execution within constitutional bounds</w:t>
            </w:r>
          </w:p>
        </w:tc>
      </w:tr>
      <w:tr>
        <w:trPr>
          <w:cantSplit/>
        </w:trPr>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McKinsey Operating Model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Operating Model Coherence</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79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L3-L5: documented model → fully coherent + continuously tested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AOS v1.0 institutionalized; org design v1; capability heat map live</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Operating model tested via digital twin; structural redesign avoided</w:t>
            </w:r>
          </w:p>
        </w:tc>
      </w:tr>
      <w:tr>
        <w:trPr>
          <w:cantSplit/>
        </w:trPr>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Deloitte Operational Excellence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Excellence System</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79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L2-L5: pockets of excellence → enterprise excellence system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OpEx framework adopted; improvement backlog live; QA program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Excellence culture; zero-defect constitutional operations</w:t>
            </w:r>
          </w:p>
        </w:tc>
      </w:tr>
    </w:tbl>
    <w:p>
      <w:pPr>
        <w:pStyle w:val="Heading3"/>
        <w:keepNext/>
        <w:spacing w:before="200"/>
      </w:pPr>
      <w:r>
        <w:t>15.2  Gap Analysis &amp; Priority Allocations</w:t>
      </w:r>
    </w:p>
    <w:p>
      <w:pPr>
        <w:spacing w:line="300" w:lineRule="auto" w:after="40"/>
        <w:ind w:left="425" w:hanging="227"/>
      </w:pPr>
      <w:r>
        <w:rPr>
          <w:rFonts w:ascii="Calibri" w:hAnsi="Calibri"/>
          <w:color w:val="D4AF37"/>
          <w:sz w:val="22"/>
        </w:rPr>
        <w:t xml:space="preserve">•  </w:t>
      </w:r>
      <w:r>
        <w:rPr>
          <w:rFonts w:ascii="Calibri" w:hAnsi="Calibri"/>
          <w:b/>
          <w:sz w:val="22"/>
        </w:rPr>
        <w:t xml:space="preserve">Current Average — </w:t>
      </w:r>
      <w:r>
        <w:rPr>
          <w:rFonts w:ascii="Calibri" w:hAnsi="Calibri"/>
          <w:sz w:val="22"/>
        </w:rPr>
        <w:t>Current average maturity: 2.6 / 5.0</w:t>
      </w:r>
    </w:p>
    <w:p>
      <w:pPr>
        <w:spacing w:line="300" w:lineRule="auto" w:after="40"/>
        <w:ind w:left="425" w:hanging="227"/>
      </w:pPr>
      <w:r>
        <w:rPr>
          <w:rFonts w:ascii="Calibri" w:hAnsi="Calibri"/>
          <w:color w:val="D4AF37"/>
          <w:sz w:val="22"/>
        </w:rPr>
        <w:t xml:space="preserve">•  </w:t>
      </w:r>
      <w:r>
        <w:rPr>
          <w:rFonts w:ascii="Calibri" w:hAnsi="Calibri"/>
          <w:b/>
          <w:sz w:val="22"/>
        </w:rPr>
        <w:t xml:space="preserve">Target Average — </w:t>
      </w:r>
      <w:r>
        <w:rPr>
          <w:rFonts w:ascii="Calibri" w:hAnsi="Calibri"/>
          <w:sz w:val="22"/>
        </w:rPr>
        <w:t>Target average maturity: 5.0 / 5.0</w:t>
      </w:r>
    </w:p>
    <w:p>
      <w:pPr>
        <w:spacing w:line="300" w:lineRule="auto" w:after="40"/>
        <w:ind w:left="425" w:hanging="227"/>
      </w:pPr>
      <w:r>
        <w:rPr>
          <w:rFonts w:ascii="Calibri" w:hAnsi="Calibri"/>
          <w:color w:val="D4AF37"/>
          <w:sz w:val="22"/>
        </w:rPr>
        <w:t xml:space="preserve">•  </w:t>
      </w:r>
      <w:r>
        <w:rPr>
          <w:rFonts w:ascii="Calibri" w:hAnsi="Calibri"/>
          <w:b/>
          <w:sz w:val="22"/>
        </w:rPr>
        <w:t xml:space="preserve">Biggest Gaps — </w:t>
      </w:r>
      <w:r>
        <w:rPr>
          <w:rFonts w:ascii="Calibri" w:hAnsi="Calibri"/>
          <w:sz w:val="22"/>
        </w:rPr>
        <w:t>Lean flow (L2); OpEx system (L2); Process mining (L3)</w:t>
      </w:r>
    </w:p>
    <w:p>
      <w:pPr>
        <w:spacing w:line="312" w:lineRule="auto" w:after="120"/>
        <w:ind w:firstLine="283"/>
        <w:jc w:val="both"/>
      </w:pPr>
      <w:r>
        <w:rPr>
          <w:rFonts w:ascii="Calibri" w:hAnsi="Calibri"/>
          <w:b w:val="0"/>
          <w:i w:val="0"/>
          <w:sz w:val="22"/>
        </w:rPr>
        <w:t>Priority allocations to close the maturity gaps:</w:t>
      </w:r>
    </w:p>
    <w:p>
      <w:pPr>
        <w:spacing w:line="300" w:lineRule="auto" w:after="40"/>
        <w:ind w:left="425" w:hanging="227"/>
      </w:pPr>
      <w:r>
        <w:rPr>
          <w:rFonts w:ascii="Calibri" w:hAnsi="Calibri"/>
          <w:color w:val="D4AF37"/>
          <w:sz w:val="22"/>
        </w:rPr>
        <w:t xml:space="preserve">•  </w:t>
      </w:r>
      <w:r>
        <w:rPr>
          <w:rFonts w:ascii="Calibri" w:hAnsi="Calibri"/>
          <w:sz w:val="22"/>
        </w:rPr>
        <w:t>Process library completion + SOP coverage (L3→L4)</w:t>
      </w:r>
    </w:p>
    <w:p>
      <w:pPr>
        <w:spacing w:line="300" w:lineRule="auto" w:after="40"/>
        <w:ind w:left="425" w:hanging="227"/>
      </w:pPr>
      <w:r>
        <w:rPr>
          <w:rFonts w:ascii="Calibri" w:hAnsi="Calibri"/>
          <w:color w:val="D4AF37"/>
          <w:sz w:val="22"/>
        </w:rPr>
        <w:t xml:space="preserve">•  </w:t>
      </w:r>
      <w:r>
        <w:rPr>
          <w:rFonts w:ascii="Calibri" w:hAnsi="Calibri"/>
          <w:sz w:val="22"/>
        </w:rPr>
        <w:t>Value stream mapping program (L2→L4)</w:t>
      </w:r>
    </w:p>
    <w:p>
      <w:pPr>
        <w:spacing w:line="300" w:lineRule="auto" w:after="40"/>
        <w:ind w:left="425" w:hanging="227"/>
      </w:pPr>
      <w:r>
        <w:rPr>
          <w:rFonts w:ascii="Calibri" w:hAnsi="Calibri"/>
          <w:color w:val="D4AF37"/>
          <w:sz w:val="22"/>
        </w:rPr>
        <w:t xml:space="preserve">•  </w:t>
      </w:r>
      <w:r>
        <w:rPr>
          <w:rFonts w:ascii="Calibri" w:hAnsi="Calibri"/>
          <w:sz w:val="22"/>
        </w:rPr>
        <w:t>MBR/QBR discipline + scorecards (L3→L4)</w:t>
      </w:r>
    </w:p>
    <w:p>
      <w:pPr>
        <w:spacing w:line="300" w:lineRule="auto" w:after="40"/>
        <w:ind w:left="425" w:hanging="227"/>
      </w:pPr>
      <w:r>
        <w:rPr>
          <w:rFonts w:ascii="Calibri" w:hAnsi="Calibri"/>
          <w:color w:val="D4AF37"/>
          <w:sz w:val="22"/>
        </w:rPr>
        <w:t xml:space="preserve">•  </w:t>
      </w:r>
      <w:r>
        <w:rPr>
          <w:rFonts w:ascii="Calibri" w:hAnsi="Calibri"/>
          <w:sz w:val="22"/>
        </w:rPr>
        <w:t>Improvement backlog + Kaizen (L2→L4)</w:t>
      </w:r>
    </w:p>
    <w:p>
      <w:pPr>
        <w:spacing w:line="300" w:lineRule="auto" w:after="40"/>
        <w:ind w:left="425" w:hanging="227"/>
      </w:pPr>
      <w:r>
        <w:rPr>
          <w:rFonts w:ascii="Calibri" w:hAnsi="Calibri"/>
          <w:color w:val="D4AF37"/>
          <w:sz w:val="22"/>
        </w:rPr>
        <w:t xml:space="preserve">•  </w:t>
      </w:r>
      <w:r>
        <w:rPr>
          <w:rFonts w:ascii="Calibri" w:hAnsi="Calibri"/>
          <w:sz w:val="22"/>
        </w:rPr>
        <w:t>Digital twin pilot (L1→L3)</w:t>
      </w:r>
    </w:p>
    <w:p>
      <w:pPr>
        <w:pStyle w:val="Heading2"/>
        <w:keepNext/>
        <w:spacing w:before="280"/>
      </w:pPr>
      <w:r>
        <w:t>Section 16 — Additional Institutional Components</w:t>
      </w:r>
    </w:p>
    <w:p>
      <w:pPr>
        <w:spacing w:line="312" w:lineRule="auto" w:after="120"/>
        <w:ind w:firstLine="283"/>
        <w:jc w:val="both"/>
      </w:pPr>
      <w:r>
        <w:rPr>
          <w:rFonts w:ascii="Calibri" w:hAnsi="Calibri"/>
          <w:b w:val="0"/>
          <w:i w:val="0"/>
          <w:sz w:val="22"/>
        </w:rPr>
        <w:t>Five additional institutional components extend the AOS into a fully institutionalised operating environment: the Enterprise Process Repository, the Business Capability Heat Map, the Operational Digital Twin, the Institutional Memory Engine, and the Executive Mission Control Center.</w:t>
      </w:r>
    </w:p>
    <w:p>
      <w:pPr>
        <w:pStyle w:val="Heading3"/>
        <w:keepNext/>
        <w:spacing w:before="200"/>
      </w:pPr>
      <w:r>
        <w:t>16.1  Enterprise Process Repository (EPR)</w:t>
      </w:r>
    </w:p>
    <w:p>
      <w:pPr>
        <w:spacing w:line="300" w:lineRule="auto" w:after="40"/>
        <w:ind w:left="425" w:hanging="227"/>
      </w:pPr>
      <w:r>
        <w:rPr>
          <w:rFonts w:ascii="Calibri" w:hAnsi="Calibri"/>
          <w:color w:val="D4AF37"/>
          <w:sz w:val="22"/>
        </w:rPr>
        <w:t xml:space="preserve">•  </w:t>
      </w:r>
      <w:r>
        <w:rPr>
          <w:rFonts w:ascii="Calibri" w:hAnsi="Calibri"/>
          <w:b/>
          <w:sz w:val="22"/>
        </w:rPr>
        <w:t xml:space="preserve">Description — </w:t>
      </w:r>
      <w:r>
        <w:rPr>
          <w:rFonts w:ascii="Calibri" w:hAnsi="Calibri"/>
          <w:sz w:val="22"/>
        </w:rPr>
        <w:t>Canonical repository of every process, SOP, policy, and workflow. Each artifact has a unique ID (PRC-###, SOP-###), owner, semantic version, dependencies, and approval history.</w:t>
      </w:r>
    </w:p>
    <w:p>
      <w:pPr>
        <w:spacing w:line="300" w:lineRule="auto" w:after="40"/>
        <w:ind w:left="425" w:hanging="227"/>
      </w:pPr>
      <w:r>
        <w:rPr>
          <w:rFonts w:ascii="Calibri" w:hAnsi="Calibri"/>
          <w:color w:val="D4AF37"/>
          <w:sz w:val="22"/>
        </w:rPr>
        <w:t xml:space="preserve">•  </w:t>
      </w:r>
      <w:r>
        <w:rPr>
          <w:rFonts w:ascii="Calibri" w:hAnsi="Calibri"/>
          <w:b/>
          <w:sz w:val="22"/>
        </w:rPr>
        <w:t xml:space="preserve">Identifier Scheme — </w:t>
      </w:r>
      <w:r>
        <w:rPr>
          <w:rFonts w:ascii="Calibri" w:hAnsi="Calibri"/>
          <w:sz w:val="22"/>
        </w:rPr>
        <w:t>PRC-### (process) | SOP-### (SOP) | POL-### (CRE policy) | SVC-### (service) | CAP-## (capability) | ADR-### (architecture decision) | KPI-## (metric) | DASH-## (dashboard)</w:t>
      </w:r>
    </w:p>
    <w:p>
      <w:pPr>
        <w:spacing w:line="300" w:lineRule="auto" w:after="40"/>
        <w:ind w:left="425" w:hanging="227"/>
      </w:pPr>
      <w:r>
        <w:rPr>
          <w:rFonts w:ascii="Calibri" w:hAnsi="Calibri"/>
          <w:color w:val="D4AF37"/>
          <w:sz w:val="22"/>
        </w:rPr>
        <w:t xml:space="preserve">•  </w:t>
      </w:r>
      <w:r>
        <w:rPr>
          <w:rFonts w:ascii="Calibri" w:hAnsi="Calibri"/>
          <w:b/>
          <w:sz w:val="22"/>
        </w:rPr>
        <w:t xml:space="preserve">Versioning — </w:t>
      </w:r>
      <w:r>
        <w:rPr>
          <w:rFonts w:ascii="Calibri" w:hAnsi="Calibri"/>
          <w:sz w:val="22"/>
        </w:rPr>
        <w:t>Semantic versioning (MAJOR.MINOR.PATCH). Immutable history. Superseded versions archived.</w:t>
      </w:r>
    </w:p>
    <w:p>
      <w:pPr>
        <w:spacing w:line="300" w:lineRule="auto" w:after="40"/>
        <w:ind w:left="425" w:hanging="227"/>
      </w:pPr>
      <w:r>
        <w:rPr>
          <w:rFonts w:ascii="Calibri" w:hAnsi="Calibri"/>
          <w:color w:val="D4AF37"/>
          <w:sz w:val="22"/>
        </w:rPr>
        <w:t xml:space="preserve">•  </w:t>
      </w:r>
      <w:r>
        <w:rPr>
          <w:rFonts w:ascii="Calibri" w:hAnsi="Calibri"/>
          <w:b/>
          <w:sz w:val="22"/>
        </w:rPr>
        <w:t xml:space="preserve">Dependency Graph — </w:t>
      </w:r>
      <w:r>
        <w:rPr>
          <w:rFonts w:ascii="Calibri" w:hAnsi="Calibri"/>
          <w:sz w:val="22"/>
        </w:rPr>
        <w:t>Each artifact lists dependencies on other artifacts. Changes propagate via impact analysis (Brain AI assists).</w:t>
      </w:r>
    </w:p>
    <w:p>
      <w:pPr>
        <w:spacing w:line="300" w:lineRule="auto" w:after="40"/>
        <w:ind w:left="425" w:hanging="227"/>
      </w:pPr>
      <w:r>
        <w:rPr>
          <w:rFonts w:ascii="Calibri" w:hAnsi="Calibri"/>
          <w:color w:val="D4AF37"/>
          <w:sz w:val="22"/>
        </w:rPr>
        <w:t xml:space="preserve">•  </w:t>
      </w:r>
      <w:r>
        <w:rPr>
          <w:rFonts w:ascii="Calibri" w:hAnsi="Calibri"/>
          <w:b/>
          <w:sz w:val="22"/>
        </w:rPr>
        <w:t xml:space="preserve">Approval Workflow — </w:t>
      </w:r>
      <w:r>
        <w:rPr>
          <w:rFonts w:ascii="Calibri" w:hAnsi="Calibri"/>
          <w:sz w:val="22"/>
        </w:rPr>
        <w:t>Draft → Peer review → Brain AI impact analysis → Owner approval → Version → Publish → Notify stakeholders.</w:t>
      </w:r>
    </w:p>
    <w:p>
      <w:pPr>
        <w:spacing w:line="300" w:lineRule="auto" w:after="40"/>
        <w:ind w:left="425" w:hanging="227"/>
      </w:pPr>
      <w:r>
        <w:rPr>
          <w:rFonts w:ascii="Calibri" w:hAnsi="Calibri"/>
          <w:color w:val="D4AF37"/>
          <w:sz w:val="22"/>
        </w:rPr>
        <w:t xml:space="preserve">•  </w:t>
      </w:r>
      <w:r>
        <w:rPr>
          <w:rFonts w:ascii="Calibri" w:hAnsi="Calibri"/>
          <w:b/>
          <w:sz w:val="22"/>
        </w:rPr>
        <w:t xml:space="preserve">Search — </w:t>
      </w:r>
      <w:r>
        <w:rPr>
          <w:rFonts w:ascii="Calibri" w:hAnsi="Calibri"/>
          <w:sz w:val="22"/>
        </w:rPr>
        <w:t>Brain AI semantic search across all EPR artifacts.</w:t>
      </w:r>
    </w:p>
    <w:p>
      <w:pPr>
        <w:spacing w:line="312" w:lineRule="auto" w:after="120"/>
        <w:ind w:firstLine="283"/>
        <w:jc w:val="both"/>
      </w:pPr>
      <w:r>
        <w:rPr>
          <w:rFonts w:ascii="Calibri" w:hAnsi="Calibri"/>
          <w:b w:val="0"/>
          <w:i w:val="0"/>
          <w:sz w:val="22"/>
        </w:rPr>
        <w:t>EPR coverage (current snapshot):</w:t>
      </w:r>
    </w:p>
    <w:p>
      <w:pPr>
        <w:spacing w:line="300" w:lineRule="auto" w:after="40"/>
        <w:ind w:left="425" w:hanging="227"/>
      </w:pPr>
      <w:r>
        <w:rPr>
          <w:rFonts w:ascii="Calibri" w:hAnsi="Calibri"/>
          <w:color w:val="D4AF37"/>
          <w:sz w:val="22"/>
        </w:rPr>
        <w:t xml:space="preserve">•  </w:t>
      </w:r>
      <w:r>
        <w:rPr>
          <w:rFonts w:ascii="Calibri" w:hAnsi="Calibri"/>
          <w:b/>
          <w:sz w:val="22"/>
        </w:rPr>
        <w:t xml:space="preserve">Processes — </w:t>
      </w:r>
      <w:r>
        <w:rPr>
          <w:rFonts w:ascii="Calibri" w:hAnsi="Calibri"/>
          <w:sz w:val="22"/>
        </w:rPr>
        <w:t>24 processes (PRC-###)</w:t>
      </w:r>
    </w:p>
    <w:p>
      <w:pPr>
        <w:spacing w:line="300" w:lineRule="auto" w:after="40"/>
        <w:ind w:left="425" w:hanging="227"/>
      </w:pPr>
      <w:r>
        <w:rPr>
          <w:rFonts w:ascii="Calibri" w:hAnsi="Calibri"/>
          <w:color w:val="D4AF37"/>
          <w:sz w:val="22"/>
        </w:rPr>
        <w:t xml:space="preserve">•  </w:t>
      </w:r>
      <w:r>
        <w:rPr>
          <w:rFonts w:ascii="Calibri" w:hAnsi="Calibri"/>
          <w:b/>
          <w:sz w:val="22"/>
        </w:rPr>
        <w:t xml:space="preserve">SOPs — </w:t>
      </w:r>
      <w:r>
        <w:rPr>
          <w:rFonts w:ascii="Calibri" w:hAnsi="Calibri"/>
          <w:sz w:val="22"/>
        </w:rPr>
        <w:t>6 SOPs (SOP-###)</w:t>
      </w:r>
    </w:p>
    <w:p>
      <w:pPr>
        <w:spacing w:line="300" w:lineRule="auto" w:after="40"/>
        <w:ind w:left="425" w:hanging="227"/>
      </w:pPr>
      <w:r>
        <w:rPr>
          <w:rFonts w:ascii="Calibri" w:hAnsi="Calibri"/>
          <w:color w:val="D4AF37"/>
          <w:sz w:val="22"/>
        </w:rPr>
        <w:t xml:space="preserve">•  </w:t>
      </w:r>
      <w:r>
        <w:rPr>
          <w:rFonts w:ascii="Calibri" w:hAnsi="Calibri"/>
          <w:b/>
          <w:sz w:val="22"/>
        </w:rPr>
        <w:t xml:space="preserve">Services — </w:t>
      </w:r>
      <w:r>
        <w:rPr>
          <w:rFonts w:ascii="Calibri" w:hAnsi="Calibri"/>
          <w:sz w:val="22"/>
        </w:rPr>
        <w:t>12 services (SVC-###)</w:t>
      </w:r>
    </w:p>
    <w:p>
      <w:pPr>
        <w:spacing w:line="300" w:lineRule="auto" w:after="40"/>
        <w:ind w:left="425" w:hanging="227"/>
      </w:pPr>
      <w:r>
        <w:rPr>
          <w:rFonts w:ascii="Calibri" w:hAnsi="Calibri"/>
          <w:color w:val="D4AF37"/>
          <w:sz w:val="22"/>
        </w:rPr>
        <w:t xml:space="preserve">•  </w:t>
      </w:r>
      <w:r>
        <w:rPr>
          <w:rFonts w:ascii="Calibri" w:hAnsi="Calibri"/>
          <w:b/>
          <w:sz w:val="22"/>
        </w:rPr>
        <w:t xml:space="preserve">Capabilities — </w:t>
      </w:r>
      <w:r>
        <w:rPr>
          <w:rFonts w:ascii="Calibri" w:hAnsi="Calibri"/>
          <w:sz w:val="22"/>
        </w:rPr>
        <w:t>20 capabilities (CAP-##)</w:t>
      </w:r>
    </w:p>
    <w:p>
      <w:pPr>
        <w:spacing w:line="300" w:lineRule="auto" w:after="40"/>
        <w:ind w:left="425" w:hanging="227"/>
      </w:pPr>
      <w:r>
        <w:rPr>
          <w:rFonts w:ascii="Calibri" w:hAnsi="Calibri"/>
          <w:color w:val="D4AF37"/>
          <w:sz w:val="22"/>
        </w:rPr>
        <w:t xml:space="preserve">•  </w:t>
      </w:r>
      <w:r>
        <w:rPr>
          <w:rFonts w:ascii="Calibri" w:hAnsi="Calibri"/>
          <w:b/>
          <w:sz w:val="22"/>
        </w:rPr>
        <w:t xml:space="preserve">KPIs — </w:t>
      </w:r>
      <w:r>
        <w:rPr>
          <w:rFonts w:ascii="Calibri" w:hAnsi="Calibri"/>
          <w:sz w:val="22"/>
        </w:rPr>
        <w:t>20 KPIs (KPI-##)</w:t>
      </w:r>
    </w:p>
    <w:p>
      <w:pPr>
        <w:spacing w:line="300" w:lineRule="auto" w:after="40"/>
        <w:ind w:left="425" w:hanging="227"/>
      </w:pPr>
      <w:r>
        <w:rPr>
          <w:rFonts w:ascii="Calibri" w:hAnsi="Calibri"/>
          <w:color w:val="D4AF37"/>
          <w:sz w:val="22"/>
        </w:rPr>
        <w:t xml:space="preserve">•  </w:t>
      </w:r>
      <w:r>
        <w:rPr>
          <w:rFonts w:ascii="Calibri" w:hAnsi="Calibri"/>
          <w:b/>
          <w:sz w:val="22"/>
        </w:rPr>
        <w:t xml:space="preserve">Dashboards — </w:t>
      </w:r>
      <w:r>
        <w:rPr>
          <w:rFonts w:ascii="Calibri" w:hAnsi="Calibri"/>
          <w:sz w:val="22"/>
        </w:rPr>
        <w:t>10 dashboards (DASH-##)</w:t>
      </w:r>
    </w:p>
    <w:p>
      <w:pPr>
        <w:pStyle w:val="Heading3"/>
        <w:keepNext/>
        <w:spacing w:before="200"/>
      </w:pPr>
      <w:r>
        <w:t>16.2  Business Capability Heat Map</w:t>
      </w:r>
    </w:p>
    <w:p>
      <w:pPr>
        <w:spacing w:line="312" w:lineRule="auto" w:after="120"/>
        <w:ind w:firstLine="283"/>
        <w:jc w:val="both"/>
      </w:pPr>
      <w:r>
        <w:rPr>
          <w:rFonts w:ascii="Calibri" w:hAnsi="Calibri"/>
          <w:b w:val="0"/>
          <w:i w:val="0"/>
          <w:sz w:val="22"/>
        </w:rPr>
        <w:t>The Business Capability Heat Map overlays maturity, risk, strategic importance, and allocation priority on the Enterprise Capability Map. Capabilities with strategic importance 'Critical' and current maturity ≤ 3 are classified P0; 'Critical' at higher maturity is P1; 'High' at maturity ≤ 3 is P1; 'High' at higher maturity is P2; all others are P3. Risk is High when maturity ≤ 2, Medium at 3, Low at 4+. The Heat Map drives capital allocation sequencing for the Operating Excellence Capital Participation programme.</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226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Capability</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Current Maturity</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Risk</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Strategic Importance</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Allocation Priority</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Governance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Low</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Engineering</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Low</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Cloud Infrastructure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Low</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Low</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Legal Coordination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Risk Management</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Compliance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Finance Operations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 Ecosystem</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 Relations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 &amp; Brand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P3</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Training</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P3</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Knowledge Management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Innovation</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P3</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Security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Architecture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Low</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r>
        <w:trPr>
          <w:cantSplit/>
        </w:trPr>
        <w:tc>
          <w:tcPr>
            <w:tcW w:type="dxa" w:w="226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Success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P1</w:t>
            </w:r>
          </w:p>
        </w:tc>
      </w:tr>
      <w:tr>
        <w:trPr>
          <w:cantSplit/>
        </w:trPr>
        <w:tc>
          <w:tcPr>
            <w:tcW w:type="dxa" w:w="226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Business Continuity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Critical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P0</w:t>
            </w:r>
          </w:p>
        </w:tc>
      </w:tr>
    </w:tbl>
    <w:p>
      <w:pPr>
        <w:pStyle w:val="Heading3"/>
        <w:keepNext/>
        <w:spacing w:before="200"/>
      </w:pPr>
      <w:r>
        <w:t>16.3  Operational Digital Twin</w:t>
      </w:r>
    </w:p>
    <w:p>
      <w:pPr>
        <w:spacing w:line="300" w:lineRule="auto" w:after="40"/>
        <w:ind w:left="425" w:hanging="227"/>
      </w:pPr>
      <w:r>
        <w:rPr>
          <w:rFonts w:ascii="Calibri" w:hAnsi="Calibri"/>
          <w:color w:val="D4AF37"/>
          <w:sz w:val="22"/>
        </w:rPr>
        <w:t xml:space="preserve">•  </w:t>
      </w:r>
      <w:r>
        <w:rPr>
          <w:rFonts w:ascii="Calibri" w:hAnsi="Calibri"/>
          <w:b/>
          <w:sz w:val="22"/>
        </w:rPr>
        <w:t xml:space="preserve">Purpose — </w:t>
      </w:r>
      <w:r>
        <w:rPr>
          <w:rFonts w:ascii="Calibri" w:hAnsi="Calibri"/>
          <w:sz w:val="22"/>
        </w:rPr>
        <w:t>Simulate end-to-end business operations BEFORE deploying process changes, allowing AURIENTA to test organizational changes safely.</w:t>
      </w:r>
    </w:p>
    <w:p>
      <w:pPr>
        <w:spacing w:line="300" w:lineRule="auto" w:after="40"/>
        <w:ind w:left="425" w:hanging="227"/>
      </w:pPr>
      <w:r>
        <w:rPr>
          <w:rFonts w:ascii="Calibri" w:hAnsi="Calibri"/>
          <w:color w:val="D4AF37"/>
          <w:sz w:val="22"/>
        </w:rPr>
        <w:t xml:space="preserve">•  </w:t>
      </w:r>
      <w:r>
        <w:rPr>
          <w:rFonts w:ascii="Calibri" w:hAnsi="Calibri"/>
          <w:b/>
          <w:sz w:val="22"/>
        </w:rPr>
        <w:t xml:space="preserve">Model — </w:t>
      </w:r>
      <w:r>
        <w:rPr>
          <w:rFonts w:ascii="Calibri" w:hAnsi="Calibri"/>
          <w:sz w:val="22"/>
        </w:rPr>
        <w:t>Each process is a node; each handoff an edge. Brain AI simulates demand, capacity, cycle time, and control points. Outputs: predicted lead time, bottleneck, risk, control coverage.</w:t>
      </w:r>
    </w:p>
    <w:p>
      <w:pPr>
        <w:spacing w:line="300" w:lineRule="auto" w:after="40"/>
        <w:ind w:left="425" w:hanging="227"/>
      </w:pPr>
      <w:r>
        <w:rPr>
          <w:rFonts w:ascii="Calibri" w:hAnsi="Calibri"/>
          <w:color w:val="D4AF37"/>
          <w:sz w:val="22"/>
        </w:rPr>
        <w:t xml:space="preserve">•  </w:t>
      </w:r>
      <w:r>
        <w:rPr>
          <w:rFonts w:ascii="Calibri" w:hAnsi="Calibri"/>
          <w:b/>
          <w:sz w:val="22"/>
        </w:rPr>
        <w:t xml:space="preserve">Inputs — </w:t>
      </w:r>
      <w:r>
        <w:rPr>
          <w:rFonts w:ascii="Calibri" w:hAnsi="Calibri"/>
          <w:sz w:val="22"/>
        </w:rPr>
        <w:t>Process library (nodes/edges); Demand scenarios; Capacity model; CRE policy set; Historical metrics</w:t>
      </w:r>
    </w:p>
    <w:p>
      <w:pPr>
        <w:spacing w:line="300" w:lineRule="auto" w:after="40"/>
        <w:ind w:left="425" w:hanging="227"/>
      </w:pPr>
      <w:r>
        <w:rPr>
          <w:rFonts w:ascii="Calibri" w:hAnsi="Calibri"/>
          <w:color w:val="D4AF37"/>
          <w:sz w:val="22"/>
        </w:rPr>
        <w:t xml:space="preserve">•  </w:t>
      </w:r>
      <w:r>
        <w:rPr>
          <w:rFonts w:ascii="Calibri" w:hAnsi="Calibri"/>
          <w:b/>
          <w:sz w:val="22"/>
        </w:rPr>
        <w:t xml:space="preserve">Outputs — </w:t>
      </w:r>
      <w:r>
        <w:rPr>
          <w:rFonts w:ascii="Calibri" w:hAnsi="Calibri"/>
          <w:sz w:val="22"/>
        </w:rPr>
        <w:t>Predicted cycle time; Bottleneck identification; Risk exposure; Control coverage; What-if comparisons</w:t>
      </w:r>
    </w:p>
    <w:p>
      <w:pPr>
        <w:spacing w:line="312" w:lineRule="auto" w:after="120"/>
        <w:ind w:firstLine="283"/>
        <w:jc w:val="both"/>
      </w:pPr>
      <w:r>
        <w:rPr>
          <w:rFonts w:ascii="Calibri" w:hAnsi="Calibri"/>
          <w:b w:val="0"/>
          <w:i w:val="0"/>
          <w:sz w:val="22"/>
        </w:rPr>
        <w:t>Use cases:</w:t>
      </w:r>
    </w:p>
    <w:p>
      <w:pPr>
        <w:spacing w:line="300" w:lineRule="auto" w:after="40"/>
        <w:ind w:left="425" w:hanging="227"/>
      </w:pPr>
      <w:r>
        <w:rPr>
          <w:rFonts w:ascii="Calibri" w:hAnsi="Calibri"/>
          <w:color w:val="D4AF37"/>
          <w:sz w:val="22"/>
        </w:rPr>
        <w:t xml:space="preserve">•  </w:t>
      </w:r>
      <w:r>
        <w:rPr>
          <w:rFonts w:ascii="Calibri" w:hAnsi="Calibri"/>
          <w:sz w:val="22"/>
        </w:rPr>
        <w:t>Test process changes before deployment</w:t>
      </w:r>
    </w:p>
    <w:p>
      <w:pPr>
        <w:spacing w:line="300" w:lineRule="auto" w:after="40"/>
        <w:ind w:left="425" w:hanging="227"/>
      </w:pPr>
      <w:r>
        <w:rPr>
          <w:rFonts w:ascii="Calibri" w:hAnsi="Calibri"/>
          <w:color w:val="D4AF37"/>
          <w:sz w:val="22"/>
        </w:rPr>
        <w:t xml:space="preserve">•  </w:t>
      </w:r>
      <w:r>
        <w:rPr>
          <w:rFonts w:ascii="Calibri" w:hAnsi="Calibri"/>
          <w:sz w:val="22"/>
        </w:rPr>
        <w:t>Capacity planning under demand scenarios</w:t>
      </w:r>
    </w:p>
    <w:p>
      <w:pPr>
        <w:spacing w:line="300" w:lineRule="auto" w:after="40"/>
        <w:ind w:left="425" w:hanging="227"/>
      </w:pPr>
      <w:r>
        <w:rPr>
          <w:rFonts w:ascii="Calibri" w:hAnsi="Calibri"/>
          <w:color w:val="D4AF37"/>
          <w:sz w:val="22"/>
        </w:rPr>
        <w:t xml:space="preserve">•  </w:t>
      </w:r>
      <w:r>
        <w:rPr>
          <w:rFonts w:ascii="Calibri" w:hAnsi="Calibri"/>
          <w:sz w:val="22"/>
        </w:rPr>
        <w:t>Identify single points of failure</w:t>
      </w:r>
    </w:p>
    <w:p>
      <w:pPr>
        <w:spacing w:line="300" w:lineRule="auto" w:after="40"/>
        <w:ind w:left="425" w:hanging="227"/>
      </w:pPr>
      <w:r>
        <w:rPr>
          <w:rFonts w:ascii="Calibri" w:hAnsi="Calibri"/>
          <w:color w:val="D4AF37"/>
          <w:sz w:val="22"/>
        </w:rPr>
        <w:t xml:space="preserve">•  </w:t>
      </w:r>
      <w:r>
        <w:rPr>
          <w:rFonts w:ascii="Calibri" w:hAnsi="Calibri"/>
          <w:sz w:val="22"/>
        </w:rPr>
        <w:t>Test BCP/DR scenarios without disruption</w:t>
      </w:r>
    </w:p>
    <w:p>
      <w:pPr>
        <w:spacing w:line="300" w:lineRule="auto" w:after="40"/>
        <w:ind w:left="425" w:hanging="227"/>
      </w:pPr>
      <w:r>
        <w:rPr>
          <w:rFonts w:ascii="Calibri" w:hAnsi="Calibri"/>
          <w:color w:val="D4AF37"/>
          <w:sz w:val="22"/>
        </w:rPr>
        <w:t xml:space="preserve">•  </w:t>
      </w:r>
      <w:r>
        <w:rPr>
          <w:rFonts w:ascii="Calibri" w:hAnsi="Calibri"/>
          <w:sz w:val="22"/>
        </w:rPr>
        <w:t>Evaluate automation ROI</w:t>
      </w:r>
    </w:p>
    <w:p>
      <w:pPr>
        <w:spacing w:line="300" w:lineRule="auto" w:after="40"/>
        <w:ind w:left="425" w:hanging="227"/>
      </w:pPr>
      <w:r>
        <w:rPr>
          <w:rFonts w:ascii="Calibri" w:hAnsi="Calibri"/>
          <w:color w:val="D4AF37"/>
          <w:sz w:val="22"/>
        </w:rPr>
        <w:t xml:space="preserve">•  </w:t>
      </w:r>
      <w:r>
        <w:rPr>
          <w:rFonts w:ascii="Calibri" w:hAnsi="Calibri"/>
          <w:b/>
          <w:sz w:val="22"/>
        </w:rPr>
        <w:t xml:space="preserve">Maturity Trajectory — </w:t>
      </w:r>
      <w:r>
        <w:rPr>
          <w:rFonts w:ascii="Calibri" w:hAnsi="Calibri"/>
          <w:sz w:val="22"/>
        </w:rPr>
        <w:t>Current maturity: L1 → Target: L3</w:t>
      </w:r>
    </w:p>
    <w:p>
      <w:pPr>
        <w:spacing w:line="300" w:lineRule="auto" w:after="40"/>
        <w:ind w:left="425" w:hanging="227"/>
      </w:pPr>
      <w:r>
        <w:rPr>
          <w:rFonts w:ascii="Calibri" w:hAnsi="Calibri"/>
          <w:color w:val="D4AF37"/>
          <w:sz w:val="22"/>
        </w:rPr>
        <w:t xml:space="preserve">•  </w:t>
      </w:r>
      <w:r>
        <w:rPr>
          <w:rFonts w:ascii="Calibri" w:hAnsi="Calibri"/>
          <w:b/>
          <w:sz w:val="22"/>
        </w:rPr>
        <w:t xml:space="preserve">Roadmap — </w:t>
      </w:r>
      <w:r>
        <w:rPr>
          <w:rFonts w:ascii="Calibri" w:hAnsi="Calibri"/>
          <w:sz w:val="22"/>
        </w:rPr>
        <w:t>Year 1: model top 5 processes. Year 2: full process library. Year 3: real-time twin with live data feed.</w:t>
      </w:r>
    </w:p>
    <w:p>
      <w:pPr>
        <w:pStyle w:val="Heading3"/>
        <w:keepNext/>
        <w:spacing w:before="200"/>
      </w:pPr>
      <w:r>
        <w:t>16.4  Institutional Memory Engine</w:t>
      </w:r>
    </w:p>
    <w:p>
      <w:pPr>
        <w:spacing w:line="300" w:lineRule="auto" w:after="40"/>
        <w:ind w:left="425" w:hanging="227"/>
      </w:pPr>
      <w:r>
        <w:rPr>
          <w:rFonts w:ascii="Calibri" w:hAnsi="Calibri"/>
          <w:color w:val="D4AF37"/>
          <w:sz w:val="22"/>
        </w:rPr>
        <w:t xml:space="preserve">•  </w:t>
      </w:r>
      <w:r>
        <w:rPr>
          <w:rFonts w:ascii="Calibri" w:hAnsi="Calibri"/>
          <w:b/>
          <w:sz w:val="22"/>
        </w:rPr>
        <w:t xml:space="preserve">Purpose — </w:t>
      </w:r>
      <w:r>
        <w:rPr>
          <w:rFonts w:ascii="Calibri" w:hAnsi="Calibri"/>
          <w:sz w:val="22"/>
        </w:rPr>
        <w:t>Extend Brain AI so every approved decision, lesson learned, ADR, policy change, audit finding, and operational improvement becomes searchable institutional memory.</w:t>
      </w:r>
    </w:p>
    <w:p>
      <w:pPr>
        <w:spacing w:line="312" w:lineRule="auto" w:after="120"/>
        <w:ind w:firstLine="283"/>
        <w:jc w:val="both"/>
      </w:pPr>
      <w:r>
        <w:rPr>
          <w:rFonts w:ascii="Calibri" w:hAnsi="Calibri"/>
          <w:b w:val="0"/>
          <w:i w:val="0"/>
          <w:sz w:val="22"/>
        </w:rPr>
        <w:t>Sources:</w:t>
      </w:r>
    </w:p>
    <w:p>
      <w:pPr>
        <w:spacing w:line="300" w:lineRule="auto" w:after="40"/>
        <w:ind w:left="425" w:hanging="227"/>
      </w:pPr>
      <w:r>
        <w:rPr>
          <w:rFonts w:ascii="Calibri" w:hAnsi="Calibri"/>
          <w:color w:val="D4AF37"/>
          <w:sz w:val="22"/>
        </w:rPr>
        <w:t xml:space="preserve">•  </w:t>
      </w:r>
      <w:r>
        <w:rPr>
          <w:rFonts w:ascii="Calibri" w:hAnsi="Calibri"/>
          <w:sz w:val="22"/>
        </w:rPr>
        <w:t>ADRs (architecture decisions)</w:t>
      </w:r>
    </w:p>
    <w:p>
      <w:pPr>
        <w:spacing w:line="300" w:lineRule="auto" w:after="40"/>
        <w:ind w:left="425" w:hanging="227"/>
      </w:pPr>
      <w:r>
        <w:rPr>
          <w:rFonts w:ascii="Calibri" w:hAnsi="Calibri"/>
          <w:color w:val="D4AF37"/>
          <w:sz w:val="22"/>
        </w:rPr>
        <w:t xml:space="preserve">•  </w:t>
      </w:r>
      <w:r>
        <w:rPr>
          <w:rFonts w:ascii="Calibri" w:hAnsi="Calibri"/>
          <w:sz w:val="22"/>
        </w:rPr>
        <w:t>Postmortems &amp; lessons learned</w:t>
      </w:r>
    </w:p>
    <w:p>
      <w:pPr>
        <w:spacing w:line="300" w:lineRule="auto" w:after="40"/>
        <w:ind w:left="425" w:hanging="227"/>
      </w:pPr>
      <w:r>
        <w:rPr>
          <w:rFonts w:ascii="Calibri" w:hAnsi="Calibri"/>
          <w:color w:val="D4AF37"/>
          <w:sz w:val="22"/>
        </w:rPr>
        <w:t xml:space="preserve">•  </w:t>
      </w:r>
      <w:r>
        <w:rPr>
          <w:rFonts w:ascii="Calibri" w:hAnsi="Calibri"/>
          <w:sz w:val="22"/>
        </w:rPr>
        <w:t>Audit findings &amp; corrective actions</w:t>
      </w:r>
    </w:p>
    <w:p>
      <w:pPr>
        <w:spacing w:line="300" w:lineRule="auto" w:after="40"/>
        <w:ind w:left="425" w:hanging="227"/>
      </w:pPr>
      <w:r>
        <w:rPr>
          <w:rFonts w:ascii="Calibri" w:hAnsi="Calibri"/>
          <w:color w:val="D4AF37"/>
          <w:sz w:val="22"/>
        </w:rPr>
        <w:t xml:space="preserve">•  </w:t>
      </w:r>
      <w:r>
        <w:rPr>
          <w:rFonts w:ascii="Calibri" w:hAnsi="Calibri"/>
          <w:sz w:val="22"/>
        </w:rPr>
        <w:t>Policy changes &amp; version history</w:t>
      </w:r>
    </w:p>
    <w:p>
      <w:pPr>
        <w:spacing w:line="300" w:lineRule="auto" w:after="40"/>
        <w:ind w:left="425" w:hanging="227"/>
      </w:pPr>
      <w:r>
        <w:rPr>
          <w:rFonts w:ascii="Calibri" w:hAnsi="Calibri"/>
          <w:color w:val="D4AF37"/>
          <w:sz w:val="22"/>
        </w:rPr>
        <w:t xml:space="preserve">•  </w:t>
      </w:r>
      <w:r>
        <w:rPr>
          <w:rFonts w:ascii="Calibri" w:hAnsi="Calibri"/>
          <w:sz w:val="22"/>
        </w:rPr>
        <w:t>Operational improvements</w:t>
      </w:r>
    </w:p>
    <w:p>
      <w:pPr>
        <w:spacing w:line="300" w:lineRule="auto" w:after="40"/>
        <w:ind w:left="425" w:hanging="227"/>
      </w:pPr>
      <w:r>
        <w:rPr>
          <w:rFonts w:ascii="Calibri" w:hAnsi="Calibri"/>
          <w:color w:val="D4AF37"/>
          <w:sz w:val="22"/>
        </w:rPr>
        <w:t xml:space="preserve">•  </w:t>
      </w:r>
      <w:r>
        <w:rPr>
          <w:rFonts w:ascii="Calibri" w:hAnsi="Calibri"/>
          <w:sz w:val="22"/>
        </w:rPr>
        <w:t>Council &amp; committee minutes</w:t>
      </w:r>
    </w:p>
    <w:p>
      <w:pPr>
        <w:spacing w:line="300" w:lineRule="auto" w:after="40"/>
        <w:ind w:left="425" w:hanging="227"/>
      </w:pPr>
      <w:r>
        <w:rPr>
          <w:rFonts w:ascii="Calibri" w:hAnsi="Calibri"/>
          <w:color w:val="D4AF37"/>
          <w:sz w:val="22"/>
        </w:rPr>
        <w:t xml:space="preserve">•  </w:t>
      </w:r>
      <w:r>
        <w:rPr>
          <w:rFonts w:ascii="Calibri" w:hAnsi="Calibri"/>
          <w:sz w:val="22"/>
        </w:rPr>
        <w:t>Brain AI artifacts</w:t>
      </w:r>
    </w:p>
    <w:p>
      <w:pPr>
        <w:spacing w:line="300" w:lineRule="auto" w:after="40"/>
        <w:ind w:left="425" w:hanging="227"/>
      </w:pPr>
      <w:r>
        <w:rPr>
          <w:rFonts w:ascii="Calibri" w:hAnsi="Calibri"/>
          <w:color w:val="D4AF37"/>
          <w:sz w:val="22"/>
        </w:rPr>
        <w:t xml:space="preserve">•  </w:t>
      </w:r>
      <w:r>
        <w:rPr>
          <w:rFonts w:ascii="Calibri" w:hAnsi="Calibri"/>
          <w:sz w:val="22"/>
        </w:rPr>
        <w:t>CRE ledger entries (selective)</w:t>
      </w:r>
    </w:p>
    <w:p>
      <w:pPr>
        <w:spacing w:line="300" w:lineRule="auto" w:after="40"/>
        <w:ind w:left="425" w:hanging="227"/>
      </w:pPr>
      <w:r>
        <w:rPr>
          <w:rFonts w:ascii="Calibri" w:hAnsi="Calibri"/>
          <w:color w:val="D4AF37"/>
          <w:sz w:val="22"/>
        </w:rPr>
        <w:t xml:space="preserve">•  </w:t>
      </w:r>
      <w:r>
        <w:rPr>
          <w:rFonts w:ascii="Calibri" w:hAnsi="Calibri"/>
          <w:b/>
          <w:sz w:val="22"/>
        </w:rPr>
        <w:t xml:space="preserve">Indexing — </w:t>
      </w:r>
      <w:r>
        <w:rPr>
          <w:rFonts w:ascii="Calibri" w:hAnsi="Calibri"/>
          <w:sz w:val="22"/>
        </w:rPr>
        <w:t>Brain AI semantic indexing + metadata (date, owner, type, status). Searchable by natural language.</w:t>
      </w:r>
    </w:p>
    <w:p>
      <w:pPr>
        <w:spacing w:line="300" w:lineRule="auto" w:after="40"/>
        <w:ind w:left="425" w:hanging="227"/>
      </w:pPr>
      <w:r>
        <w:rPr>
          <w:rFonts w:ascii="Calibri" w:hAnsi="Calibri"/>
          <w:color w:val="D4AF37"/>
          <w:sz w:val="22"/>
        </w:rPr>
        <w:t xml:space="preserve">•  </w:t>
      </w:r>
      <w:r>
        <w:rPr>
          <w:rFonts w:ascii="Calibri" w:hAnsi="Calibri"/>
          <w:b/>
          <w:sz w:val="22"/>
        </w:rPr>
        <w:t xml:space="preserve">Query — </w:t>
      </w:r>
      <w:r>
        <w:rPr>
          <w:rFonts w:ascii="Calibri" w:hAnsi="Calibri"/>
          <w:sz w:val="22"/>
        </w:rPr>
        <w:t>Constitutional Partners can ask: 'What did we decide about X last year?' or 'What were the lessons from incident Y?' and Brain AI retrieves institutional memory.</w:t>
      </w:r>
    </w:p>
    <w:p>
      <w:pPr>
        <w:spacing w:line="300" w:lineRule="auto" w:after="40"/>
        <w:ind w:left="425" w:hanging="227"/>
      </w:pPr>
      <w:r>
        <w:rPr>
          <w:rFonts w:ascii="Calibri" w:hAnsi="Calibri"/>
          <w:color w:val="D4AF37"/>
          <w:sz w:val="22"/>
        </w:rPr>
        <w:t xml:space="preserve">•  </w:t>
      </w:r>
      <w:r>
        <w:rPr>
          <w:rFonts w:ascii="Calibri" w:hAnsi="Calibri"/>
          <w:b/>
          <w:sz w:val="22"/>
        </w:rPr>
        <w:t xml:space="preserve">Retention — </w:t>
      </w:r>
      <w:r>
        <w:rPr>
          <w:rFonts w:ascii="Calibri" w:hAnsi="Calibri"/>
          <w:sz w:val="22"/>
        </w:rPr>
        <w:t>Indefinite for decisions, ADRs, postmortems, audit findings, policy history. 10 years for general artifacts.</w:t>
      </w:r>
    </w:p>
    <w:p>
      <w:pPr>
        <w:spacing w:line="300" w:lineRule="auto" w:after="40"/>
        <w:ind w:left="425" w:hanging="227"/>
      </w:pPr>
      <w:r>
        <w:rPr>
          <w:rFonts w:ascii="Calibri" w:hAnsi="Calibri"/>
          <w:color w:val="D4AF37"/>
          <w:sz w:val="22"/>
        </w:rPr>
        <w:t xml:space="preserve">•  </w:t>
      </w:r>
      <w:r>
        <w:rPr>
          <w:rFonts w:ascii="Calibri" w:hAnsi="Calibri"/>
          <w:b/>
          <w:sz w:val="22"/>
        </w:rPr>
        <w:t xml:space="preserve">Access — </w:t>
      </w:r>
      <w:r>
        <w:rPr>
          <w:rFonts w:ascii="Calibri" w:hAnsi="Calibri"/>
          <w:sz w:val="22"/>
        </w:rPr>
        <w:t>Role-based. Sensitive items (personnel, legal) restricted. Audit trail on every query.</w:t>
      </w:r>
    </w:p>
    <w:p>
      <w:pPr>
        <w:pStyle w:val="Heading3"/>
        <w:keepNext/>
        <w:spacing w:before="200"/>
      </w:pPr>
      <w:r>
        <w:t>16.5  Executive Mission Control Center</w:t>
      </w:r>
    </w:p>
    <w:p>
      <w:pPr>
        <w:spacing w:line="300" w:lineRule="auto" w:after="40"/>
        <w:ind w:left="425" w:hanging="227"/>
      </w:pPr>
      <w:r>
        <w:rPr>
          <w:rFonts w:ascii="Calibri" w:hAnsi="Calibri"/>
          <w:color w:val="D4AF37"/>
          <w:sz w:val="22"/>
        </w:rPr>
        <w:t xml:space="preserve">•  </w:t>
      </w:r>
      <w:r>
        <w:rPr>
          <w:rFonts w:ascii="Calibri" w:hAnsi="Calibri"/>
          <w:b/>
          <w:sz w:val="22"/>
        </w:rPr>
        <w:t xml:space="preserve">Purpose — </w:t>
      </w:r>
      <w:r>
        <w:rPr>
          <w:rFonts w:ascii="Calibri" w:hAnsi="Calibri"/>
          <w:sz w:val="22"/>
        </w:rPr>
        <w:t>Single executive cockpit combining governance, operations, risk, finance, partnerships, technology, and enterprise performance into one constitutional command dashboard.</w:t>
      </w:r>
    </w:p>
    <w:p>
      <w:pPr>
        <w:spacing w:line="300" w:lineRule="auto" w:after="40"/>
        <w:ind w:left="425" w:hanging="227"/>
      </w:pPr>
      <w:r>
        <w:rPr>
          <w:rFonts w:ascii="Calibri" w:hAnsi="Calibri"/>
          <w:color w:val="D4AF37"/>
          <w:sz w:val="22"/>
        </w:rPr>
        <w:t xml:space="preserve">•  </w:t>
      </w:r>
      <w:r>
        <w:rPr>
          <w:rFonts w:ascii="Calibri" w:hAnsi="Calibri"/>
          <w:b/>
          <w:sz w:val="22"/>
        </w:rPr>
        <w:t xml:space="preserve">Audience — </w:t>
      </w:r>
      <w:r>
        <w:rPr>
          <w:rFonts w:ascii="Calibri" w:hAnsi="Calibri"/>
          <w:sz w:val="22"/>
        </w:rPr>
        <w:t>Founder (now), executives + future Board (later)</w:t>
      </w:r>
    </w:p>
    <w:p>
      <w:pPr>
        <w:spacing w:line="312" w:lineRule="auto" w:after="120"/>
        <w:ind w:firstLine="283"/>
        <w:jc w:val="both"/>
      </w:pPr>
      <w:r>
        <w:rPr>
          <w:rFonts w:ascii="Calibri" w:hAnsi="Calibri"/>
          <w:b w:val="0"/>
          <w:i w:val="0"/>
          <w:sz w:val="22"/>
        </w:rPr>
        <w:t>Panels:</w:t>
      </w:r>
    </w:p>
    <w:p>
      <w:pPr>
        <w:spacing w:line="300" w:lineRule="auto" w:after="40"/>
        <w:ind w:left="425" w:hanging="227"/>
      </w:pPr>
      <w:r>
        <w:rPr>
          <w:rFonts w:ascii="Calibri" w:hAnsi="Calibri"/>
          <w:color w:val="D4AF37"/>
          <w:sz w:val="22"/>
        </w:rPr>
        <w:t xml:space="preserve">•  </w:t>
      </w:r>
      <w:r>
        <w:rPr>
          <w:rFonts w:ascii="Calibri" w:hAnsi="Calibri"/>
          <w:sz w:val="22"/>
        </w:rPr>
        <w:t>Constitutional: charter status, amendments, council, ledger integrity, CRE enforcement</w:t>
      </w:r>
    </w:p>
    <w:p>
      <w:pPr>
        <w:spacing w:line="300" w:lineRule="auto" w:after="40"/>
        <w:ind w:left="425" w:hanging="227"/>
      </w:pPr>
      <w:r>
        <w:rPr>
          <w:rFonts w:ascii="Calibri" w:hAnsi="Calibri"/>
          <w:color w:val="D4AF37"/>
          <w:sz w:val="22"/>
        </w:rPr>
        <w:t xml:space="preserve">•  </w:t>
      </w:r>
      <w:r>
        <w:rPr>
          <w:rFonts w:ascii="Calibri" w:hAnsi="Calibri"/>
          <w:sz w:val="22"/>
        </w:rPr>
        <w:t>Governance: committees, delegation, decisions pending/approved</w:t>
      </w:r>
    </w:p>
    <w:p>
      <w:pPr>
        <w:spacing w:line="300" w:lineRule="auto" w:after="40"/>
        <w:ind w:left="425" w:hanging="227"/>
      </w:pPr>
      <w:r>
        <w:rPr>
          <w:rFonts w:ascii="Calibri" w:hAnsi="Calibri"/>
          <w:color w:val="D4AF37"/>
          <w:sz w:val="22"/>
        </w:rPr>
        <w:t xml:space="preserve">•  </w:t>
      </w:r>
      <w:r>
        <w:rPr>
          <w:rFonts w:ascii="Calibri" w:hAnsi="Calibri"/>
          <w:sz w:val="22"/>
        </w:rPr>
        <w:t>Operations: delivery KPIs, incident board, capacity, automation %</w:t>
      </w:r>
    </w:p>
    <w:p>
      <w:pPr>
        <w:spacing w:line="300" w:lineRule="auto" w:after="40"/>
        <w:ind w:left="425" w:hanging="227"/>
      </w:pPr>
      <w:r>
        <w:rPr>
          <w:rFonts w:ascii="Calibri" w:hAnsi="Calibri"/>
          <w:color w:val="D4AF37"/>
          <w:sz w:val="22"/>
        </w:rPr>
        <w:t xml:space="preserve">•  </w:t>
      </w:r>
      <w:r>
        <w:rPr>
          <w:rFonts w:ascii="Calibri" w:hAnsi="Calibri"/>
          <w:sz w:val="22"/>
        </w:rPr>
        <w:t>Risk: register, KRIs, residual risk, BCP/DR status</w:t>
      </w:r>
    </w:p>
    <w:p>
      <w:pPr>
        <w:spacing w:line="300" w:lineRule="auto" w:after="40"/>
        <w:ind w:left="425" w:hanging="227"/>
      </w:pPr>
      <w:r>
        <w:rPr>
          <w:rFonts w:ascii="Calibri" w:hAnsi="Calibri"/>
          <w:color w:val="D4AF37"/>
          <w:sz w:val="22"/>
        </w:rPr>
        <w:t xml:space="preserve">•  </w:t>
      </w:r>
      <w:r>
        <w:rPr>
          <w:rFonts w:ascii="Calibri" w:hAnsi="Calibri"/>
          <w:sz w:val="22"/>
        </w:rPr>
        <w:t>Finance: sustainability, close status, reconciliations, budget</w:t>
      </w:r>
    </w:p>
    <w:p>
      <w:pPr>
        <w:spacing w:line="300" w:lineRule="auto" w:after="40"/>
        <w:ind w:left="425" w:hanging="227"/>
      </w:pPr>
      <w:r>
        <w:rPr>
          <w:rFonts w:ascii="Calibri" w:hAnsi="Calibri"/>
          <w:color w:val="D4AF37"/>
          <w:sz w:val="22"/>
        </w:rPr>
        <w:t xml:space="preserve">•  </w:t>
      </w:r>
      <w:r>
        <w:rPr>
          <w:rFonts w:ascii="Calibri" w:hAnsi="Calibri"/>
          <w:sz w:val="22"/>
        </w:rPr>
        <w:t>Partnerships: pipeline, SLA, certifications, government engagements</w:t>
      </w:r>
    </w:p>
    <w:p>
      <w:pPr>
        <w:spacing w:line="300" w:lineRule="auto" w:after="40"/>
        <w:ind w:left="425" w:hanging="227"/>
      </w:pPr>
      <w:r>
        <w:rPr>
          <w:rFonts w:ascii="Calibri" w:hAnsi="Calibri"/>
          <w:color w:val="D4AF37"/>
          <w:sz w:val="22"/>
        </w:rPr>
        <w:t xml:space="preserve">•  </w:t>
      </w:r>
      <w:r>
        <w:rPr>
          <w:rFonts w:ascii="Calibri" w:hAnsi="Calibri"/>
          <w:sz w:val="22"/>
        </w:rPr>
        <w:t>Technology: Brain AI health, CRE health, deployments, security posture</w:t>
      </w:r>
    </w:p>
    <w:p>
      <w:pPr>
        <w:spacing w:line="300" w:lineRule="auto" w:after="40"/>
        <w:ind w:left="425" w:hanging="227"/>
      </w:pPr>
      <w:r>
        <w:rPr>
          <w:rFonts w:ascii="Calibri" w:hAnsi="Calibri"/>
          <w:color w:val="D4AF37"/>
          <w:sz w:val="22"/>
        </w:rPr>
        <w:t xml:space="preserve">•  </w:t>
      </w:r>
      <w:r>
        <w:rPr>
          <w:rFonts w:ascii="Calibri" w:hAnsi="Calibri"/>
          <w:sz w:val="22"/>
        </w:rPr>
        <w:t>Performance: balanced scorecard, OKRs, capability maturity heat map</w:t>
      </w:r>
    </w:p>
    <w:p>
      <w:pPr>
        <w:spacing w:line="300" w:lineRule="auto" w:after="40"/>
        <w:ind w:left="425" w:hanging="227"/>
      </w:pPr>
      <w:r>
        <w:rPr>
          <w:rFonts w:ascii="Calibri" w:hAnsi="Calibri"/>
          <w:color w:val="D4AF37"/>
          <w:sz w:val="22"/>
        </w:rPr>
        <w:t xml:space="preserve">•  </w:t>
      </w:r>
      <w:r>
        <w:rPr>
          <w:rFonts w:ascii="Calibri" w:hAnsi="Calibri"/>
          <w:sz w:val="22"/>
        </w:rPr>
        <w:t>Mission: graduation pipeline, alumni, strategic partners, ecosystem health</w:t>
      </w:r>
    </w:p>
    <w:p>
      <w:pPr>
        <w:spacing w:line="300" w:lineRule="auto" w:after="40"/>
        <w:ind w:left="425" w:hanging="227"/>
      </w:pPr>
      <w:r>
        <w:rPr>
          <w:rFonts w:ascii="Calibri" w:hAnsi="Calibri"/>
          <w:color w:val="D4AF37"/>
          <w:sz w:val="22"/>
        </w:rPr>
        <w:t xml:space="preserve">•  </w:t>
      </w:r>
      <w:r>
        <w:rPr>
          <w:rFonts w:ascii="Calibri" w:hAnsi="Calibri"/>
          <w:b/>
          <w:sz w:val="22"/>
        </w:rPr>
        <w:t xml:space="preserve">Refresh — </w:t>
      </w:r>
      <w:r>
        <w:rPr>
          <w:rFonts w:ascii="Calibri" w:hAnsi="Calibri"/>
          <w:sz w:val="22"/>
        </w:rPr>
        <w:t>Real-time (except board/Capital Partner panels: monthly/quarterly)</w:t>
      </w:r>
    </w:p>
    <w:p>
      <w:pPr>
        <w:spacing w:line="300" w:lineRule="auto" w:after="40"/>
        <w:ind w:left="425" w:hanging="227"/>
      </w:pPr>
      <w:r>
        <w:rPr>
          <w:rFonts w:ascii="Calibri" w:hAnsi="Calibri"/>
          <w:color w:val="D4AF37"/>
          <w:sz w:val="22"/>
        </w:rPr>
        <w:t xml:space="preserve">•  </w:t>
      </w:r>
      <w:r>
        <w:rPr>
          <w:rFonts w:ascii="Calibri" w:hAnsi="Calibri"/>
          <w:b/>
          <w:sz w:val="22"/>
        </w:rPr>
        <w:t xml:space="preserve">Alerts — </w:t>
      </w:r>
      <w:r>
        <w:rPr>
          <w:rFonts w:ascii="Calibri" w:hAnsi="Calibri"/>
          <w:sz w:val="22"/>
        </w:rPr>
        <w:t>Constitutional violations → immediate. Risk threshold breaches → immediate. KPI misses → daily. Audit findings → on creation.</w:t>
      </w:r>
    </w:p>
    <w:p>
      <w:pPr>
        <w:spacing w:line="300" w:lineRule="auto" w:after="40"/>
        <w:ind w:left="425" w:hanging="227"/>
      </w:pPr>
      <w:r>
        <w:rPr>
          <w:rFonts w:ascii="Calibri" w:hAnsi="Calibri"/>
          <w:color w:val="D4AF37"/>
          <w:sz w:val="22"/>
        </w:rPr>
        <w:t xml:space="preserve">•  </w:t>
      </w:r>
      <w:r>
        <w:rPr>
          <w:rFonts w:ascii="Calibri" w:hAnsi="Calibri"/>
          <w:b/>
          <w:sz w:val="22"/>
        </w:rPr>
        <w:t xml:space="preserve">Access — </w:t>
      </w:r>
      <w:r>
        <w:rPr>
          <w:rFonts w:ascii="Calibri" w:hAnsi="Calibri"/>
          <w:sz w:val="22"/>
        </w:rPr>
        <w:t>Founder + COO + CRO (full). Other executives: their domains. Board: board panel. Capital Partners: Capital Partner panel.</w:t>
      </w:r>
    </w:p>
    <w:p>
      <w:pPr>
        <w:pStyle w:val="Heading2"/>
        <w:keepNext/>
        <w:spacing w:before="280"/>
      </w:pPr>
      <w:r>
        <w:t>Section 17 — Synchronization &amp; Scalability Statement</w:t>
      </w:r>
    </w:p>
    <w:p>
      <w:pPr>
        <w:spacing w:line="312" w:lineRule="auto" w:after="120"/>
        <w:ind w:firstLine="283"/>
        <w:jc w:val="both"/>
      </w:pPr>
      <w:r>
        <w:rPr>
          <w:rFonts w:ascii="Calibri" w:hAnsi="Calibri"/>
          <w:b w:val="0"/>
          <w:i w:val="0"/>
          <w:sz w:val="22"/>
        </w:rPr>
        <w:t>AOS v1.0 is the canonical operations layer of AURIENTA. It is synchronized with five sibling artefacts and scales Founder-led execution through four magnitudes of organisational scale without structural redesign.</w:t>
      </w:r>
    </w:p>
    <w:p>
      <w:pPr>
        <w:pStyle w:val="Heading3"/>
        <w:keepNext/>
        <w:spacing w:before="200"/>
      </w:pPr>
      <w:r>
        <w:t>17.1  Synchronization</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80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Terminology Standard</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process, SOP, service, capability, and KPI names use approved constitutional terminology (Capital Partner, Equity Units, Law Firm Client Account, Constitutional Partner, Enterprise, Capital Formation, Capital Participation). No forbidden terms.</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 Architecture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Every owner field references one of: Holding Group, Operations, Advisory, a committee, the Constitutional Council, or the Founder. No orphan ownership.</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 v1.0 (Governance)</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Escalation paths respect the delegation-of-authority matrix from Constitution v1.0. Committee references match the eleven committees defined in the Governance Manual.</w:t>
            </w:r>
          </w:p>
        </w:tc>
      </w:tr>
      <w:tr>
        <w:trPr>
          <w:cantSplit/>
        </w:trPr>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Risk &amp; Compliance</w:t>
            </w:r>
          </w:p>
        </w:tc>
        <w:tc>
          <w:tcPr>
            <w:tcW w:type="dxa" w:w="680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Process controls reference CRE policies (CRE-POL-001 through CRE-POL-015) and enterprise controls. No process operates outside the control framework.</w:t>
            </w:r>
          </w:p>
        </w:tc>
      </w:tr>
      <w:tr>
        <w:trPr>
          <w:cantSplit/>
        </w:trPr>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Blueprint (this document)</w:t>
            </w:r>
          </w:p>
        </w:tc>
        <w:tc>
          <w:tcPr>
            <w:tcW w:type="dxa" w:w="680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AOS v1.0 is the canonical operations layer referenced by the blueprint. No contradictions permitted.</w:t>
            </w:r>
          </w:p>
        </w:tc>
      </w:tr>
    </w:tbl>
    <w:p>
      <w:pPr>
        <w:pStyle w:val="Heading3"/>
        <w:keepNext/>
        <w:spacing w:before="200"/>
      </w:pPr>
      <w:r>
        <w:t>17.2  Scalability</w:t>
      </w:r>
    </w:p>
    <w:p>
      <w:pPr>
        <w:spacing w:line="312" w:lineRule="auto" w:after="120"/>
        <w:ind w:firstLine="283"/>
        <w:jc w:val="both"/>
      </w:pPr>
      <w:r>
        <w:rPr>
          <w:rFonts w:ascii="Calibri" w:hAnsi="Calibri"/>
          <w:b w:val="0"/>
          <w:i w:val="0"/>
          <w:sz w:val="22"/>
        </w:rPr>
        <w:t>AOS v1.0 is designed to scale from Founder-only execution (today) through 10 → 100 → 1,000 → 10,000 personnel without structural redesign. Role activation triggers in Section 10 define when each executive role is created (e.g., COO at 10+ employees, CFO at 30+, CRO at 20+, CMO at 30+, Regional Directors per regional expansion). The five-domain L0 model is invariant across scales; only the depth of L2/L3 decomposition and the headcount behind each owner changes. No constitutional redesign is required at any scale threshold; the Constitutional Scalability Principle (Volume 21) governs all structural evolution.</w:t>
      </w:r>
    </w:p>
    <w:p>
      <w:pPr>
        <w:pStyle w:val="Heading3"/>
        <w:keepNext/>
        <w:spacing w:before="200"/>
      </w:pPr>
      <w:r>
        <w:t>17.3  Change Management</w:t>
      </w:r>
    </w:p>
    <w:p>
      <w:pPr>
        <w:spacing w:line="312" w:lineRule="auto" w:after="120"/>
        <w:ind w:firstLine="283"/>
        <w:jc w:val="both"/>
      </w:pPr>
      <w:r>
        <w:rPr>
          <w:rFonts w:ascii="Calibri" w:hAnsi="Calibri"/>
          <w:b w:val="0"/>
          <w:i w:val="0"/>
          <w:sz w:val="22"/>
        </w:rPr>
        <w:t>AOS v1.0 is frozen. All future changes require the formal change-management process: proposal → impact assessment → consultation (14 days) → approval → versioning → audit trail → notification → implementation. Major changes (constitutional amendments) require 75% supermajority; minor changes (policy/procedural) require Founder or Constitutional Council approval; patch changes (clarifications) require committee chair approval. The Founder &amp; Sole Owner (Mohamed Eltonsy) remains the final authority until the Constitutional Council is activated at 50+ employees.</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AOS v1.0 Certification: This Volume is the canonical AURIENTA Operating System. It encodes the eighteen deliverables and five additional institutional components as the single source of truth for how AURIENTA performs work. It is synchronized with the Constitutional Terminology Standard, the Institutional Architecture, Constitution v1.0, and the Enterprise Risk &amp; Compliance framework. It scales Founder-led execution through 10,000+ personnel without structural redesign. No contradictions with the Constitution or Institutional Architecture are permitted. AOS v1.0 is frozen as of 2026-08-08.</w:t>
      </w:r>
    </w:p>
    <w:p>
      <w:pPr>
        <w:spacing w:line="312" w:lineRule="auto" w:after="120"/>
        <w:ind w:firstLine="283"/>
        <w:jc w:val="both"/>
      </w:pPr>
      <w:r>
        <w:rPr>
          <w:rFonts w:ascii="Calibri" w:hAnsi="Calibri"/>
          <w:b w:val="0"/>
          <w:i w:val="0"/>
          <w:sz w:val="22"/>
        </w:rPr>
        <w:t>End of Volume — AURIENTA Operating System (AOS) v1.0. Constitutional Hash (Root): 0xB4F8D3E2F6A0B5D9E7F2A1C4B8E3D6A0F2C5B9E7D1A. "Your capital, your work, your company — no speculation required."</w:t>
      </w:r>
    </w:p>
    <w:p>
      <w:pPr>
        <w:pStyle w:val="Heading1"/>
        <w:pageBreakBefore/>
      </w:pPr>
      <w:r>
        <w:t>VOLUME — AURIENTA COMMERCIALIZATION SYSTEM (ACS) v1.0</w:t>
      </w:r>
    </w:p>
    <w:p>
      <w:pPr>
        <w:pStyle w:val="Heading2"/>
        <w:keepNext/>
        <w:spacing w:before="280"/>
      </w:pPr>
      <w:r>
        <w:t>Executive Summary</w:t>
      </w:r>
    </w:p>
    <w:p>
      <w:pPr>
        <w:spacing w:line="312" w:lineRule="auto" w:after="120"/>
        <w:ind w:firstLine="283"/>
        <w:jc w:val="both"/>
      </w:pPr>
      <w:r>
        <w:rPr>
          <w:rFonts w:ascii="Calibri" w:hAnsi="Calibri"/>
          <w:b w:val="0"/>
          <w:i w:val="0"/>
          <w:sz w:val="22"/>
        </w:rPr>
        <w:t>The AURIENTA Commercialization System (ACS) v1.0 is the canonical commercialization layer of AURIENTA — the single source of truth for how the institution goes to market, generates revenue, acquires Constitutional Partners, expands globally, and sustains commercial viability, all within the constitutional model. ACS v1.0 is frozen as of 2026-08-09 and is synchronized with the Constitutional Terminology Standard, the Institutional Architecture, Constitution v1.0 (Governance), the Enterprise Risk &amp; Compliance framework, and the AURIENTA Operating System (AOS) v1.0. No contradictions with any sibling artefact are permitted.</w:t>
      </w:r>
    </w:p>
    <w:p>
      <w:pPr>
        <w:spacing w:line="312" w:lineRule="auto" w:after="120"/>
        <w:ind w:firstLine="283"/>
        <w:jc w:val="both"/>
      </w:pPr>
      <w:r>
        <w:rPr>
          <w:rFonts w:ascii="Calibri" w:hAnsi="Calibri"/>
          <w:b w:val="0"/>
          <w:i w:val="0"/>
          <w:sz w:val="22"/>
        </w:rPr>
        <w:t>ACS v1.0 comprises eighteen parts and twenty-nine Chief Operating Officer (COO) recommendations: (1) a complete Commercial Operating Model with twelve entities and explicit activation triggers; (2) an eighteen-stage Commercial Funnel spanning Pre-Acquisition through Advocacy; (3) a Sales Operating System of fourteen playbooks across enterprise, government, university, law-firm, accounting, corporate, SME, international, partner, alliance, referral, channel, reseller, and certified-partner segments; (4) a twenty-eight-touchpoint Customer Journey; (5) an eleven-stage Partner Lifecycle; (6) a Government Engagement Framework covering eight stakeholder types; (7) a constitutional-compliant Pricing Architecture of thirteen lines and six non-negotiable constraints; (8) one hundred and ten Commercial KPIs across thirteen categories; (9) a Global Expansion Readiness plan for six regions; (10) an Institutional Branding framework with positioning, mission, vision, narrative, voice, and nine audience-specific narratives; (11) a Competitive Positioning analysis of thirteen competitors and the constitutional moat; (12) a Commercial Risk Register of thirteen risks; (13) Commercial AI synchronization with Brain AI; (14) ten Due Diligence Packs; (15) ten Commercial Dashboards; (16) twenty-nine COO Frameworks; (17) a sixteen-dimension Commercialization Readiness Audit with before/after scores and gap analysis; and (18) an Executive Certification concluding the architecture phase.</w:t>
      </w:r>
    </w:p>
    <w:p>
      <w:pPr>
        <w:spacing w:line="312" w:lineRule="auto" w:after="120"/>
        <w:ind w:firstLine="283"/>
        <w:jc w:val="both"/>
      </w:pPr>
      <w:r>
        <w:rPr>
          <w:rFonts w:ascii="Calibri" w:hAnsi="Calibri"/>
          <w:b w:val="0"/>
          <w:i w:val="0"/>
          <w:sz w:val="22"/>
        </w:rPr>
        <w:t>Six constitutional commercial constraints are non-negotiable and enforced throughout: Zero Custody (AURIENTA never holds partner funds, per Amendment IX); Fundamental Pricing (valuation from EPS × sector P/E × growth + 0.3×NAV, with no speculation); No Speculation (no derivatives, margin, short selling, or tokenization); Constitutional Supremacy (commercial activity never overrides the Constitutional Runtime Engine); the Graduation Doctrine (AURIENTA succeeds when enterprises no longer need it); and Transparency (every commercial and financial event visible to Constitutional Partners). Pricing never charges a percentage of capital; success fees are tied exclusively to graduation, not exits; and every fee is disclosed upfront and recorded on the Ownership Ledger.</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ACS v1.0 — frozen 2026-08-09. Architecture phase concluded; execution phase begins. Commercialization readiness: BEFORE 21/100 → AFTER 86/100 → TARGET 91/100. The next phase is execution — product hardening, pilot enterprises, strategic partnerships, regulatory engagement, and revenue generation — driven by real enterprise and institutional feedback rather than further blueprint expansion.</w:t>
      </w:r>
    </w:p>
    <w:p>
      <w:pPr>
        <w:pStyle w:val="Heading2"/>
        <w:keepNext/>
        <w:spacing w:before="280"/>
      </w:pPr>
      <w:r>
        <w:t>Section 1 — Commercial Operating Model</w:t>
      </w:r>
    </w:p>
    <w:p>
      <w:pPr>
        <w:spacing w:line="312" w:lineRule="auto" w:after="120"/>
        <w:ind w:firstLine="283"/>
        <w:jc w:val="both"/>
      </w:pPr>
      <w:r>
        <w:rPr>
          <w:rFonts w:ascii="Calibri" w:hAnsi="Calibri"/>
          <w:b w:val="0"/>
          <w:i w:val="0"/>
          <w:sz w:val="22"/>
        </w:rPr>
        <w:t>The Commercial Operating Model defines the twelve commercial entities that own AURIENTA's go-to-market execution, from Founder-led operations today through the activation of a full commercial C-suite and regional directors at scale. Four entities are active immediately (Founder &amp; Sole Owner, AURIENTA Holding Group, AURIENTA Operations, AURIENTA Advisory); eight are future executives and regional directors with explicit activation triggers tied to employee count, active-enterprise count, advisory delegation, government pipeline, and regional expansion. Every commercial responsibility has exactly one accountable owner.</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73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81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Entity</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Commercial Role</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Activates At</w:t>
            </w:r>
          </w:p>
        </w:tc>
        <w:tc>
          <w:tcPr>
            <w:tcW w:type="dxa" w:w="351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Responsibilities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CO-01</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Founder &amp; Sole Owner</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Chief Commercial Officer (interim)</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Now</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Owns commercial P&amp;L; Closes strategic/enterprise accounts; Owns government relationships; Approves &gt;1M EGP deals; Sets commercial strategy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CO-02</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AURIENTA Holding Group</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Strategic Commercial Owner</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Now</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Owns commercial IP (brand, methodology, certification); Capital allocation to commercial; Approves major partnerships; Owns revenue recognition policy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CO-03</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AURIENTA Operations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Commercial Execution</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Now</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Sales execution; Marketing; Enterprise success; Partner success; Pricing operations; Pipeline management; Revenue operations; Commercial analytics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CO-04</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AURIENTA Advisory</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Ecosystem Commercial Engine</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Now</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ecosystem commercialization; Government relations; University programs; Certification commercial model; Channel &amp; alliance partners; Strategic partnerships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Chief Commercial Officer (CCO)</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20+ employees or 50+ active enterprises</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Owns commercial P&amp;L; Sales + Marketing + CS + Partnerships; Commercial strategy execution; Board commercial reporting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CO-06</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VP Sales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15+ employees</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Enterprise sales; Government sales; International sales; Sales enablement; Quota attainment</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CO-07</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VP Marketing</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15+ employees</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Brand; Demand generation; Product marketing; Analyst relations; PR &amp; media</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CO-08</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VP Customer Success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20+ employees</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 Health scoring; NRR; Expansion; Renewals; Graduation support</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CO-09</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VP Partnerships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 Director delegate</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lifecycle; Channel; Alliances; Constitutional Services Directory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CO-10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Head of Government Relations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Government pipeline active</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Ministry engagement; Regulator engagement; Sovereign fund engagement; Public sector sales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CO-11</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Head of Revenue Operations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 Executive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15+ employees</w:t>
            </w:r>
          </w:p>
        </w:tc>
        <w:tc>
          <w:tcPr>
            <w:tcW w:type="dxa" w:w="351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CRM; Forecasting; Compensation; Commercial analytics; Territory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CO-12</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Regional Commercial Directors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Future</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Per regional expansion</w:t>
            </w:r>
          </w:p>
        </w:tc>
        <w:tc>
          <w:tcPr>
            <w:tcW w:type="dxa" w:w="351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Regional P&amp;L; Regional sales/marketing; Regional partnerships; Regional government</w:t>
            </w:r>
          </w:p>
        </w:tc>
      </w:tr>
    </w:tbl>
    <w:p>
      <w:pPr>
        <w:pStyle w:val="Heading2"/>
        <w:keepNext/>
        <w:spacing w:before="280"/>
      </w:pPr>
      <w:r>
        <w:t>Section 2 — Commercial Funnel (18-Stage Lifecycle)</w:t>
      </w:r>
    </w:p>
    <w:p>
      <w:pPr>
        <w:spacing w:line="312" w:lineRule="auto" w:after="120"/>
        <w:ind w:firstLine="283"/>
        <w:jc w:val="both"/>
      </w:pPr>
      <w:r>
        <w:rPr>
          <w:rFonts w:ascii="Calibri" w:hAnsi="Calibri"/>
          <w:b w:val="0"/>
          <w:i w:val="0"/>
          <w:sz w:val="22"/>
        </w:rPr>
        <w:t>The Commercial Funnel is the complete lifecycle from awareness to advocacy, organised into six phases (Pre-Acquisition, Acquisition, Activation, Retention, Expansion, Advocacy). Each of the eighteen stages has a single owner, an explicit objective, exit criteria, and a conversion target to the next stage. The funnel terminates in graduation and alumni advocacy — the constitutional outcome — rather than in a perpetual subscription.</w:t>
      </w:r>
    </w:p>
    <w:tbl>
      <w:tblPr>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30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Stage</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Phase</w:t>
            </w:r>
          </w:p>
        </w:tc>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Objective</w:t>
            </w:r>
          </w:p>
        </w:tc>
        <w:tc>
          <w:tcPr>
            <w:tcW w:type="dxa" w:w="153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Exit Criteria</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Conversion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F-01</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Awareness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Pre-Acquisition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Target audience knows AURIENTA exists and what problem it solves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Brand recognition in target segment</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 → Education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F-02</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Education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Pre-Acquisition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Audience understands constitutional model, zero custody, graduation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Engaged with educational content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25% → Discovery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F-03</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Discovery</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Pre-Acquisition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Marketing/SDR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Prospect self-identifies use case</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Completed discovery form / demo request</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40% → Qualification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F-04</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Qualification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Confirm fit: tier, sector, capital capacity, legal form</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BANT+ constitutional fit confirmed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60% → Assessment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F-05</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Assessment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 + Brain AI</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Deep operational + financial assessment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Assessment report approved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70% → Constitution Review</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F-06</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 Review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Charter drafted, CRE policies compiled</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Charter signed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 → Demo</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F-07</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Demo</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Live demonstration of constitutional infrastructure</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Stakeholder consensus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75% → AI Analysis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F-08</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Analysis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Brain AI</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Consensus analysis of enterprise + sector + risk</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recommendation issued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 → Proposal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F-09</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Proposal</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proposal (tier, fees, timeline)</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Proposal accepted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60% → Legal Review</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F-10</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Legal Review</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Acquisition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Holding Group Legal</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Legal review + Law Firm Client Account setup</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Legal sign-off</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95% → Pilot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F-11</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Pilot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Activation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Initial charter activation + first Capital Partners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Pilot success criteria met</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80% → Implementation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F-12</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Implementation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Activation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 + 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Full onboarding, CRE activation, ledger genesis</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operational</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 → Monitoring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F-13</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Monitoring</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Retention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 health, milestone tracking, transparency</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Health score ≥ 70</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 → Graduation track</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F-14</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Graduation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Expansion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 + Constitutional Council</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Readiness ≥ 90, ratification, ledger freeze</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Graduated to alumni</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 → Alumni</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F-15</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Alumni</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Advocacy</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 relationship, CAaaS eligibility, advocacy</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Active alumni</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30% → Certification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F-16</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Advocacy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CAaaS / strategic partner certification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 → Government/Enterprise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F-17</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Government/Enterprise Expansion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Expansion</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Partnerships + Government</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Alumni becomes strategic partner or government partner</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Partnership active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F-18</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Renewal</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Retention</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Annual renewal / continued engagement</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Renewed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 NRR</w:t>
            </w:r>
          </w:p>
        </w:tc>
      </w:tr>
    </w:tbl>
    <w:p>
      <w:pPr>
        <w:pStyle w:val="Heading2"/>
        <w:keepNext/>
        <w:spacing w:before="280"/>
      </w:pPr>
      <w:r>
        <w:t>Section 3 — Sales Operating System (14 Playbooks)</w:t>
      </w:r>
    </w:p>
    <w:p>
      <w:pPr>
        <w:spacing w:line="312" w:lineRule="auto" w:after="120"/>
        <w:ind w:firstLine="283"/>
        <w:jc w:val="both"/>
      </w:pPr>
      <w:r>
        <w:rPr>
          <w:rFonts w:ascii="Calibri" w:hAnsi="Calibri"/>
          <w:b w:val="0"/>
          <w:i w:val="0"/>
          <w:sz w:val="22"/>
        </w:rPr>
        <w:t>The Sales Operating System encodes fourteen segment-specific playbooks, each defining the buyer, sales cycle, average deal size, consultative approach, the principal objections encountered, and the closing lever that converts the prospect. Playbooks span enterprise, government, university, law-firm, accounting, corporate (Tier D), SME (Tier A/B), international expansion, partner sales, alliance sales, referral, channel, reseller, and certified-partner (CSA) segments — every go-to-market motion AURIENTA will execute.</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Segment</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Buyer</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Cycle</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Avg Deal</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Approach</w:t>
            </w:r>
          </w:p>
        </w:tc>
        <w:tc>
          <w:tcPr>
            <w:tcW w:type="dxa" w:w="153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Key Objections</w:t>
            </w:r>
          </w:p>
        </w:tc>
        <w:tc>
          <w:tcPr>
            <w:tcW w:type="dxa" w:w="153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Closing Lever</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PB-01</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Enterprise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CFO/COO/Founder</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90-180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500K-5M EGP/yr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Consultative; ROI + governance + graduation path</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Constitutional overhead; Zero custody unfamiliarity; Internal change management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Constitutional governance as competitive advantage + graduation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Government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Minister / Deputy / Digital Transformation Unit</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180-365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Strategic (varies)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Sovereign infrastructure; national capability; sovereignty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Procurement process; Sovereignty concerns; Existing vendor</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Sovereign constitutional infrastructure + local data residency (Egypt)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University</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VP Innovation / Tech Transfer Office</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90-120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Tier E (5M EGP, 1% fee)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SPV model; IP protection; graduation to spin-out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IP ownership; Academic governance fit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Tier E designed for university SPVs + graduation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PB-04</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Law Firm</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Managing Partner</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60-90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Partnership (revenue share)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Amendment IX compliance; Law Firm Client Account; national network</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Liability; Operational overhead</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Zero custody eliminates liability + recurring fees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PB-05</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Accounting Firm</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Senior Partner</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60-90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Partnership</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Audit + reconciliation + certification network</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Independence; Training</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Independence controls + recurring audit revenue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PB-06</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Corporate (Tier D)</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Owner ≥51%</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60-120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200K-2M EGP/yr</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Ownership preservation + governance + capital formation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Owner control</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Owner ≥51% preserved by Tier D constitution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PB-07</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SME (Tier A/B)</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Founder</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30-60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50K-500K EGP/yr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formation + governance + graduation path</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Cost; Complexity</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Tier A/B simplicity + graduation to sovereignty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PB-08</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International Expansion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Regional partner / sovereign</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180-365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Market entry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Partner-led entry; localization; constitutional alignment</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Local legal fit; Currency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Constitutional model is jurisdiction-agnostic</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PB-09</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Sales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Existing partner's clients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30-90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Referral share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refers; AURIENTA closes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trust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accreditation + revenue share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PB-10</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Alliance Sales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Alliance partner (ERP/bank)</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90-180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Joint solution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Co-sell; integrated solution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Integration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API + constitutional co-sell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PB-11</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Referral Program</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Referred prospect</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30-60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Referral fee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Alumni/CSA-certified referrers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Trust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Referrer reputation + constitutional trust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PB-12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Channel Partners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Channel client</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30-90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Channel margin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Certified channel sells AURIENTA</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Channel capability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Channel certification + margin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PB-13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Resellers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Reseller client</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30-60 days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Reseller margin</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Reseller buys + resells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Pricing</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Reseller discount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PB-14</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Certified Partners (CSA)</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Partner's clients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60-120 days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CAaaS engagement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Certified partner delivers constitutional advisory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Quality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CAaaS certification + quality controls</w:t>
            </w:r>
          </w:p>
        </w:tc>
      </w:tr>
    </w:tbl>
    <w:p>
      <w:pPr>
        <w:pStyle w:val="Heading2"/>
        <w:keepNext/>
        <w:spacing w:before="280"/>
      </w:pPr>
      <w:r>
        <w:t>Section 4 — Customer Journey (28 Touchpoints)</w:t>
      </w:r>
    </w:p>
    <w:p>
      <w:pPr>
        <w:spacing w:line="312" w:lineRule="auto" w:after="120"/>
        <w:ind w:firstLine="283"/>
        <w:jc w:val="both"/>
      </w:pPr>
      <w:r>
        <w:rPr>
          <w:rFonts w:ascii="Calibri" w:hAnsi="Calibri"/>
          <w:b w:val="0"/>
          <w:i w:val="0"/>
          <w:sz w:val="22"/>
        </w:rPr>
        <w:t>The Customer Journey maps twenty-eight touchpoints across eight phases — Before Onboarding, Onboarding, Operations, Graduation, After Graduation, Renewals, Community, Certification, Brain AI, and the Partner Ecosystem — each with a defined channel, owner, and target emotional response. The journey is engineered so that delight concentrates at the constitutional moments (charter signing, CRE activation, council ratification, alumni welcome), while neutral touchpoints (assessment, renewal notification) are deliberately minimised. "Customer Success" and "Customer Journey" are established departmental and functional terms within AURIENTA's institutional context; standalone references to a Constitutional Partner use the term Enterprise.</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47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Phase</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Touchpoint</w:t>
            </w:r>
          </w:p>
        </w:tc>
        <w:tc>
          <w:tcPr>
            <w:tcW w:type="dxa" w:w="130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Channel</w:t>
            </w:r>
          </w:p>
        </w:tc>
        <w:tc>
          <w:tcPr>
            <w:tcW w:type="dxa" w:w="192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24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Emotion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T-01</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Before Onboarding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Website visit</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Marketing</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Neutral</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T-02</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Before Onboarding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Educational content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Web/Email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Marketing</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T-03</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Before Onboarding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Webinar / event</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Virtual/In-person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Marketing</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T-04</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Before Onboarding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 chat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T-05</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Discovery call</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Video</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Sales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T-06</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Assessment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Sales+AI</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Neutral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T-07</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Charter signing</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T-08</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Law Firm Client Account setup</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Law firm</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T-09</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Onboarding</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 activation</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T-10</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Dashboard daily use</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T-11</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Capital formation</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T-12</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Milestone votes</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T-13</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 advisor</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T-14</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Support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Portal/Email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T-15</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QBR</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Video</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T-16</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Graduation</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Readiness assessment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T-17</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Graduation</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Council ratification</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Governance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Constitutional Council</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T-18</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Graduation</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Final settlement</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Operations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T-19</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After Graduation</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Alumni welcome</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Email/Portal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T-20</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After Graduation</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Alumni events</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In-person</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T-21</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After Graduation</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CAaaS engagement</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T-22</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Renewals</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Renewal notification</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Email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Neutral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T-23</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Renewals</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Renewal QBR</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Video</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T-24</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Community</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Community forum</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Web</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Marketing</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T-25</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Community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Ambassador program</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In-person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Marketing</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T-26</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Certification</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CAaaS certification process</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T-27</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Continuous AI advisor</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Brain AI</w:t>
            </w:r>
          </w:p>
        </w:tc>
        <w:tc>
          <w:tcPr>
            <w:tcW w:type="dxa" w:w="124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Delight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T-28</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Ecosystem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directory</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Portal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124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Satisfied</w:t>
            </w:r>
          </w:p>
        </w:tc>
      </w:tr>
    </w:tbl>
    <w:p>
      <w:pPr>
        <w:pStyle w:val="Heading2"/>
        <w:keepNext/>
        <w:spacing w:before="280"/>
      </w:pPr>
      <w:r>
        <w:t>Section 5 — Partner Lifecycle (11 Stages)</w:t>
      </w:r>
    </w:p>
    <w:p>
      <w:pPr>
        <w:spacing w:line="312" w:lineRule="auto" w:after="120"/>
        <w:ind w:firstLine="283"/>
        <w:jc w:val="both"/>
      </w:pPr>
      <w:r>
        <w:rPr>
          <w:rFonts w:ascii="Calibri" w:hAnsi="Calibri"/>
          <w:b w:val="0"/>
          <w:i w:val="0"/>
          <w:sz w:val="22"/>
        </w:rPr>
        <w:t>The Partner Lifecycle governs every category of partner — law firms, accounting firms, banks, ERP and technology alliances, channel partners, resellers, certified advisory partners, universities, and government counterparties — across eleven stages from Recruit to Reactivation. Each stage has a single owner, defined activities, explicit exit criteria, and an expected duration. Due Diligence (PL-03) and Approval (PL-04) are enforced by the Risk function and the Partnership Committee respectively, ensuring no partner activates without constitutional clearance.</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30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Stage</w:t>
            </w:r>
          </w:p>
        </w:tc>
        <w:tc>
          <w:tcPr>
            <w:tcW w:type="dxa" w:w="147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255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Activities</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Exit Criteria</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Duration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PL-01</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Recruit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Identify target partners; Outreach; Value proposition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expresses interest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0-30 days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PL-02</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Assess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 + Brain AI</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Fit assessment; Use case mapping; Strategic alignment</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Fit confirmed</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1-2 weeks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PL-03</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Due Diligence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 + Risk</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Credentials; Conflicts; Financial; Security; Compliance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DD cleared</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2-4 weeks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PL-04</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Approval</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Partnership Committee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Committee review; Decision (delegation matrix)</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Approved</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1-2 weeks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PL-05</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Certification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Training; Assessment; CAaaS or partner certification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Certified</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2-4 weeks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PL-06</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Training</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Constitutional model; CRE; Brain AI; Operations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Training complete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1-2 weeks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PL-07</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Monitoring</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 + Operations</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SLA tracking; Quality; Compliance; Brain AI sampling</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Ongoing</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Continuous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PL-08</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Annual Review</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Partnership Committee</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Performance review; Renewal decision</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Review complete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Annual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PL-09</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Renewal</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 MSA; Update terms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Renewed or exit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Annual</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PL-10</w:t>
            </w:r>
          </w:p>
        </w:tc>
        <w:tc>
          <w:tcPr>
            <w:tcW w:type="dxa" w:w="1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Termination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 + Legal</w:t>
            </w:r>
          </w:p>
        </w:tc>
        <w:tc>
          <w:tcPr>
            <w:tcW w:type="dxa" w:w="255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Notice; Transition; Wind-down; Ledger archival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Clean exit</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30-90 days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PL-11</w:t>
            </w:r>
          </w:p>
        </w:tc>
        <w:tc>
          <w:tcPr>
            <w:tcW w:type="dxa" w:w="1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Reactivation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Advisory</w:t>
            </w:r>
          </w:p>
        </w:tc>
        <w:tc>
          <w:tcPr>
            <w:tcW w:type="dxa" w:w="255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Re-assess; Re-certify; Reactivate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Reactivated</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2-6 weeks</w:t>
            </w:r>
          </w:p>
        </w:tc>
      </w:tr>
    </w:tbl>
    <w:p>
      <w:pPr>
        <w:pStyle w:val="Heading2"/>
        <w:keepNext/>
        <w:spacing w:before="280"/>
      </w:pPr>
      <w:r>
        <w:t>Section 6 — Government Engagement Framework (8 Stakeholders)</w:t>
      </w:r>
    </w:p>
    <w:p>
      <w:pPr>
        <w:spacing w:line="312" w:lineRule="auto" w:after="120"/>
        <w:ind w:firstLine="283"/>
        <w:jc w:val="both"/>
      </w:pPr>
      <w:r>
        <w:rPr>
          <w:rFonts w:ascii="Calibri" w:hAnsi="Calibri"/>
          <w:b w:val="0"/>
          <w:i w:val="0"/>
          <w:sz w:val="22"/>
        </w:rPr>
        <w:t>The Government Engagement Framework defines the adoption model, engagement approach, value proposition, and cycle length for eight government and institutional stakeholder types: national governments, ministries, regulators, universities, chambers of commerce, sovereign wealth funds, development banks, and multilateral organisations. Government engagement is founder-led, sovereignty-first, and long-cycle; pricing requires Founder and Holding Group approval.</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Stakeholder</w:t>
            </w:r>
          </w:p>
        </w:tc>
        <w:tc>
          <w:tcPr>
            <w:tcW w:type="dxa" w:w="187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Adoption Model</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Engagement Approach</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 Proposition</w:t>
            </w:r>
          </w:p>
        </w:tc>
        <w:tc>
          <w:tcPr>
            <w:tcW w:type="dxa" w:w="96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Cycle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G-01</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Governments (national)</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constitutional infrastructure for national enterprise formation</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 + Advisory + Head of GR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capability, local data residency, national graduation pipeline</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180-365 days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G-02</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Ministries</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Ministry-led enterprise programs (e.g., MSME, innovation)</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Minister + Deputy + Digital Transformation Unit</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Program governance + transparency + graduation metrics</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120-180 days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G-03</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Regulators (FRA, banks)</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Regulatory engagement + compliance alignment</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Compliance + Founder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compliance, zero custody, transparency</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G-04</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Universities</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Tier E SPV model for spin-outs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Innovation + TTO</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IP protection, graduation to spin-out, 1% fee</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90-120 days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G-05</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Chambers of Commerce</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Chamber member programs</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Member enterprise formation + governance</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60-120 days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G-06</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Wealth Funds</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SWF Capital Partner in national champions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 + Holding</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Fundamental pricing, zero custody, graduation</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180-365 days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G-07</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Development Banks</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DB capital participation in development enterprises</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 Founder</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Impact + governance + transparency</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180-365 days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G-08</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Multilateral Organizations</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Multilateral program partnership</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 + Advisory</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Standardized constitutional model across countries</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w:t>
            </w:r>
          </w:p>
        </w:tc>
      </w:tr>
    </w:tbl>
    <w:p>
      <w:pPr>
        <w:pStyle w:val="Heading2"/>
        <w:keepNext/>
        <w:spacing w:before="280"/>
      </w:pPr>
      <w:r>
        <w:t>Section 7 — Pricing Architecture (Constitutional-Compliant)</w:t>
      </w:r>
    </w:p>
    <w:p>
      <w:pPr>
        <w:spacing w:line="312" w:lineRule="auto" w:after="120"/>
        <w:ind w:firstLine="283"/>
        <w:jc w:val="both"/>
      </w:pPr>
      <w:r>
        <w:rPr>
          <w:rFonts w:ascii="Calibri" w:hAnsi="Calibri"/>
          <w:b w:val="0"/>
          <w:i w:val="0"/>
          <w:sz w:val="22"/>
        </w:rPr>
        <w:t>The Pricing Architecture defines thirteen commercial lines, each annotated with its constitutional-compliance basis. The architecture is governed by six non-negotiable constraints that enforce Zero Custody, Fundamental Pricing, and Transparency. No line charges a percentage of capital; success fees are tied exclusively to graduation (a constitutional outcome); and every fee is disclosed upfront and recorded on the Ownership Ledger.</w:t>
      </w:r>
    </w:p>
    <w:p>
      <w:pPr>
        <w:pStyle w:val="Heading3"/>
        <w:keepNext/>
        <w:spacing w:before="200"/>
      </w:pPr>
      <w:r>
        <w:t>7.1  Pricing Lines (13)</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53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Line</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Model</w:t>
            </w:r>
          </w:p>
        </w:tc>
        <w:tc>
          <w:tcPr>
            <w:tcW w:type="dxa" w:w="215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Constitutional Compliance</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Range</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 Segment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PR-01</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Subscription (SaaS)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Annual subscription per enterprise</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 only; never a % of capital</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50K-500K EGP/yr by tier</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All tiers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PR-02</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Implementation</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One-time onboarding fee</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 disclosed upfront</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25K-250K EGP</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All tiers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PR-03</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(CAaaS)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Annual certification fee + engagement margin</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service; zero custody preserved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100K-1M EGP/yr</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Graduated enterprises, partners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PR-04</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Training</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Per-seat / per-program</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5K-50K EGP/seat</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Partners, enterprises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PR-05</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National license / program fee</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license; constitutional model preserved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Strategic</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PR-06</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(Tier D-F)</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Higher subscription + success fee on graduation</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Success fee tied to graduation, not speculation</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200K-2M EGP/yr</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Tier D-F</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PR-07</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University (Tier 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 fee per SPV (blueprint-defined)</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Tier E constitution defines 1% fee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 of SPV</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Universities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PR-08</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Brain AI</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Usage-based (tokens) + subscription</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 AI advises, never decides</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Included / metered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PR-09</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API</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Tiered API usage</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 CRE-enforced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Metered</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Developers, partners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PR-10</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share / margin</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margin; zero custody preserved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10-30%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Channel/reseller</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PR-11</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Services Directory (future)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Take rate on constitutional services</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Take rate on service, never on capital</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5-15%</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Future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PR-12</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Support</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Included (standard) / Premium (extra)</w:t>
            </w:r>
          </w:p>
        </w:tc>
        <w:tc>
          <w:tcPr>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Included / +20%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All</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PR-13</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Premium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Dedicated CSM + priority + custom</w:t>
            </w:r>
          </w:p>
        </w:tc>
        <w:tc>
          <w:tcPr>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Service fee</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+50-100%</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Enterprise/Gov</w:t>
            </w:r>
          </w:p>
        </w:tc>
      </w:tr>
    </w:tbl>
    <w:p>
      <w:pPr>
        <w:pStyle w:val="Heading3"/>
        <w:keepNext/>
        <w:spacing w:before="200"/>
      </w:pPr>
      <w:r>
        <w:t>7.2  Pricing Constraints (6 — Non-Negotiable)</w:t>
      </w:r>
    </w:p>
    <w:p>
      <w:pPr>
        <w:spacing w:line="300" w:lineRule="auto" w:after="40"/>
        <w:ind w:left="425" w:hanging="227"/>
      </w:pPr>
      <w:r>
        <w:rPr>
          <w:rFonts w:ascii="Calibri" w:hAnsi="Calibri"/>
          <w:color w:val="D4AF37"/>
          <w:sz w:val="22"/>
        </w:rPr>
        <w:t xml:space="preserve">•  </w:t>
      </w:r>
      <w:r>
        <w:rPr>
          <w:rFonts w:ascii="Calibri" w:hAnsi="Calibri"/>
          <w:sz w:val="22"/>
        </w:rPr>
        <w:t>Never charge a percentage of capital raised (violates Zero Custody spirit).</w:t>
      </w:r>
    </w:p>
    <w:p>
      <w:pPr>
        <w:spacing w:line="300" w:lineRule="auto" w:after="40"/>
        <w:ind w:left="425" w:hanging="227"/>
      </w:pPr>
      <w:r>
        <w:rPr>
          <w:rFonts w:ascii="Calibri" w:hAnsi="Calibri"/>
          <w:color w:val="D4AF37"/>
          <w:sz w:val="22"/>
        </w:rPr>
        <w:t xml:space="preserve">•  </w:t>
      </w:r>
      <w:r>
        <w:rPr>
          <w:rFonts w:ascii="Calibri" w:hAnsi="Calibri"/>
          <w:sz w:val="22"/>
        </w:rPr>
        <w:t>Never charge based on speculation or future valuation (violates Fundamental Pricing).</w:t>
      </w:r>
    </w:p>
    <w:p>
      <w:pPr>
        <w:spacing w:line="300" w:lineRule="auto" w:after="40"/>
        <w:ind w:left="425" w:hanging="227"/>
      </w:pPr>
      <w:r>
        <w:rPr>
          <w:rFonts w:ascii="Calibri" w:hAnsi="Calibri"/>
          <w:color w:val="D4AF37"/>
          <w:sz w:val="22"/>
        </w:rPr>
        <w:t xml:space="preserve">•  </w:t>
      </w:r>
      <w:r>
        <w:rPr>
          <w:rFonts w:ascii="Calibri" w:hAnsi="Calibri"/>
          <w:sz w:val="22"/>
        </w:rPr>
        <w:t>All fees disclosed upfront and recorded on the ledger (Transparency).</w:t>
      </w:r>
    </w:p>
    <w:p>
      <w:pPr>
        <w:spacing w:line="300" w:lineRule="auto" w:after="40"/>
        <w:ind w:left="425" w:hanging="227"/>
      </w:pPr>
      <w:r>
        <w:rPr>
          <w:rFonts w:ascii="Calibri" w:hAnsi="Calibri"/>
          <w:color w:val="D4AF37"/>
          <w:sz w:val="22"/>
        </w:rPr>
        <w:t xml:space="preserve">•  </w:t>
      </w:r>
      <w:r>
        <w:rPr>
          <w:rFonts w:ascii="Calibri" w:hAnsi="Calibri"/>
          <w:sz w:val="22"/>
        </w:rPr>
        <w:t>Success fees only tied to graduation (constitutional outcome), not exits.</w:t>
      </w:r>
    </w:p>
    <w:p>
      <w:pPr>
        <w:spacing w:line="300" w:lineRule="auto" w:after="40"/>
        <w:ind w:left="425" w:hanging="227"/>
      </w:pPr>
      <w:r>
        <w:rPr>
          <w:rFonts w:ascii="Calibri" w:hAnsi="Calibri"/>
          <w:color w:val="D4AF37"/>
          <w:sz w:val="22"/>
        </w:rPr>
        <w:t xml:space="preserve">•  </w:t>
      </w:r>
      <w:r>
        <w:rPr>
          <w:rFonts w:ascii="Calibri" w:hAnsi="Calibri"/>
          <w:sz w:val="22"/>
        </w:rPr>
        <w:t>Government pricing requires Founder + Holding Group approval.</w:t>
      </w:r>
    </w:p>
    <w:p>
      <w:pPr>
        <w:spacing w:line="300" w:lineRule="auto" w:after="40"/>
        <w:ind w:left="425" w:hanging="227"/>
      </w:pPr>
      <w:r>
        <w:rPr>
          <w:rFonts w:ascii="Calibri" w:hAnsi="Calibri"/>
          <w:color w:val="D4AF37"/>
          <w:sz w:val="22"/>
        </w:rPr>
        <w:t xml:space="preserve">•  </w:t>
      </w:r>
      <w:r>
        <w:rPr>
          <w:rFonts w:ascii="Calibri" w:hAnsi="Calibri"/>
          <w:sz w:val="22"/>
        </w:rPr>
        <w:t>No hidden fees; every fee visible to Constitutional Partners.</w:t>
      </w:r>
    </w:p>
    <w:p>
      <w:pPr>
        <w:pStyle w:val="Heading2"/>
        <w:keepNext/>
        <w:spacing w:before="280"/>
      </w:pPr>
      <w:r>
        <w:t>Section 8 — Commercial KPIs (110)</w:t>
      </w:r>
    </w:p>
    <w:p>
      <w:pPr>
        <w:spacing w:line="312" w:lineRule="auto" w:after="120"/>
        <w:ind w:firstLine="283"/>
        <w:jc w:val="both"/>
      </w:pPr>
      <w:r>
        <w:rPr>
          <w:rFonts w:ascii="Calibri" w:hAnsi="Calibri"/>
          <w:b w:val="0"/>
          <w:i w:val="0"/>
          <w:sz w:val="22"/>
        </w:rPr>
        <w:t>The Commercial KPI catalogue defines one hundred and ten metrics across thirteen categories: Sales (15), Marketing (15), Advisory (10), Operations (10), Partner (8), Government (8), Enterprise Success (10), Certification (6), AI (6), Commercial &amp; Financial (12), Mission (3), Constitutional (4), and Institutional (3). Each KPI has a defined target and a single accountable owner. The catalogue complements — and does not duplicate — the AOS operating KPI set.</w:t>
      </w:r>
    </w:p>
    <w:p>
      <w:pPr>
        <w:pStyle w:val="Heading3"/>
        <w:keepNext/>
        <w:spacing w:before="200"/>
      </w:pPr>
      <w:r>
        <w:t>8.1  KPI Category Summary</w:t>
      </w:r>
    </w:p>
    <w:tbl>
      <w:tblPr>
        <w:tblW w:type="auto" w:w="0"/>
        <w:jc w:val="center"/>
        <w:tblLayout w:type="autofit"/>
        <w:tblLook w:firstColumn="1" w:firstRow="1" w:lastColumn="0" w:lastRow="0" w:noHBand="0" w:noVBand="1" w:val="04A0"/>
      </w:tblPr>
      <w:tblGrid>
        <w:gridCol w:w="2929"/>
        <w:gridCol w:w="2929"/>
        <w:gridCol w:w="2929"/>
      </w:tblGrid>
      <w:tr>
        <w:trPr>
          <w:tblHeader/>
          <w:cantSplit/>
        </w:trPr>
        <w:tc>
          <w:tcPr>
            <w:tcW w:type="dxa" w:w="68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t>
            </w:r>
          </w:p>
        </w:tc>
        <w:tc>
          <w:tcPr>
            <w:tcW w:type="dxa" w:w="45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Count</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Sales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Marketing</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15</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Advisory</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Operations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Partner</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Government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7</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Certification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9</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AI</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10</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Commercial</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12</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11</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r>
      <w:tr>
        <w:trPr>
          <w:cantSplit/>
        </w:trPr>
        <w:tc>
          <w:tcPr>
            <w:tcW w:type="dxa" w:w="68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12</w:t>
            </w:r>
          </w:p>
        </w:tc>
        <w:tc>
          <w:tcPr>
            <w:tcW w:type="dxa" w:w="45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4</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13</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3</w:t>
            </w:r>
          </w:p>
        </w:tc>
      </w:tr>
    </w:tbl>
    <w:tbl>
      <w:tblPr>
        <w:tblW w:type="auto" w:w="0"/>
        <w:jc w:val="center"/>
        <w:tblLayout w:type="autofit"/>
        <w:tblLook w:firstColumn="1" w:firstRow="1" w:lastColumn="0" w:lastRow="0" w:noHBand="0" w:noVBand="1" w:val="04A0"/>
      </w:tblPr>
      <w:tblGrid>
        <w:gridCol w:w="2929"/>
        <w:gridCol w:w="2929"/>
        <w:gridCol w:w="2929"/>
      </w:tblGrid>
      <w:tr>
        <w:trPr>
          <w:tblHeader/>
          <w:cantSplit/>
        </w:trPr>
        <w:tc>
          <w:tcPr>
            <w:tcW w:type="dxa" w:w="68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t>
            </w:r>
          </w:p>
        </w:tc>
        <w:tc>
          <w:tcPr>
            <w:tcW w:type="dxa" w:w="45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Count</w:t>
            </w:r>
          </w:p>
        </w:tc>
      </w:tr>
      <w:tr>
        <w:trPr>
          <w:cantSplit/>
        </w:trPr>
        <w:tc>
          <w:tcPr>
            <w:tcW w:type="dxa" w:w="68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w:t>
            </w:r>
          </w:p>
        </w:tc>
        <w:tc>
          <w:tcPr>
            <w:tcW w:type="dxa" w:w="45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TOTAL</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110</w:t>
            </w:r>
          </w:p>
        </w:tc>
      </w:tr>
    </w:tbl>
    <w:p>
      <w:pPr>
        <w:pStyle w:val="Heading3"/>
        <w:keepNext/>
        <w:spacing w:before="200"/>
      </w:pPr>
      <w:r>
        <w:t>8.2  KPI Inventory (110 Metrics)</w:t>
      </w:r>
    </w:p>
    <w:tbl>
      <w:tblPr>
        <w:tblW w:type="auto" w:w="0"/>
        <w:jc w:val="center"/>
        <w:tblLayout w:type="autofit"/>
        <w:tblLook w:firstColumn="1" w:firstRow="1" w:lastColumn="0" w:lastRow="0" w:noHBand="0" w:noVBand="1" w:val="04A0"/>
      </w:tblPr>
      <w:tblGrid>
        <w:gridCol w:w="1758"/>
        <w:gridCol w:w="1758"/>
        <w:gridCol w:w="1758"/>
        <w:gridCol w:w="1758"/>
        <w:gridCol w:w="1758"/>
      </w:tblGrid>
      <w:tr>
        <w:trPr>
          <w:tblHeader/>
          <w:cantSplit/>
        </w:trPr>
        <w:tc>
          <w:tcPr>
            <w:tcW w:type="dxa" w:w="73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2835"/>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KPI Name</w:t>
            </w:r>
          </w:p>
        </w:tc>
        <w:tc>
          <w:tcPr>
            <w:tcW w:type="dxa" w:w="147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192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w:t>
            </w:r>
          </w:p>
        </w:tc>
        <w:tc>
          <w:tcPr>
            <w:tcW w:type="dxa" w:w="181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Pipeline coverage (3x)</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3x quota</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Win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Average sales cycle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 days (SME)</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Average deal size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15%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Quota attainment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80% reps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Lead-to-opportunity conversion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Opportunity-to-win conversion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 velocity</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10%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CK-09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Forecast accuracy</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sales cycle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150 days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sales cycle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270 days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Partner-sourced revenue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Channel revenue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Renewal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Cross-sell attach 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MQL volume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SQL volume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MQL→SQL conversion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Cost per MQL</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Cost per acquisition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10%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Brand awareness (target segment)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60%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Website traffic</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25%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Content engagement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Webinar attendance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100/event</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NPS (brand)</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 mentions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Analyst coverage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Gartner/Forrester/IDC</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Event ROI</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5x</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CK-29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Community size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Ambassador program size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Marketing</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50 ambassadors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pipeline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25%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onboarding time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 days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SLA compliance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satisfaction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NPS ≥ 50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throughput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60 days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engagements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University programs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10 universities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Channel partner count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CK-39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Alliance revenue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Ecosystem health score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Director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Onboarding time (enterprise)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 days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Time-to-first-capital</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14 days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CRE uptime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99.9%</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Brain AI availability</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99.5%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Support response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4h</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Support resolution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 days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Incident MTTR (Sev1)</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4h</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Automation %</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70%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CK-49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Documentation coverage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Operational efficiency</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Active partners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revenue contribution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retention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certification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quality score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Channel partner NPS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referral volume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compliance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CK-59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pipeline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engagements closed</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Ministry relationships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country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Regulatory engagements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Ongoing</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Compliance</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fund engagements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Development bank engagements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revenue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Public sector enterprise count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CSAT</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4.5/5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NPS (Enterprise)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CK-69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health score (avg)</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75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Time-to-value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14 days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Onboarding completion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Adoption depth (module usage)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70%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VoC program participation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Escalation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Churn rate (gross)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Churn rate (net)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negative (NRR &gt; 100%)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applications</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pass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75%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CK-79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cycle time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60 days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Certified partner count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per region</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revenue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quality score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Brain AI commercial usage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consensus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Ethics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hallucination 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&lt; 1%</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Ethics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lead scoring accuracy</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objection handling satisfaction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4.0/5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 competitive intelligence freshness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Weekly</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CK-89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ARR</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50% YoY (early)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NRR</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110%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GRR</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Gross margin</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60%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CAC payback</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18 months</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LTV/CAC</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3x</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per FTE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15%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Pipeline-to-quota</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3x</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RevOps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concentration (top 10)</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30%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by segment</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Diversified</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CK-99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by region</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Diversified</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by tier</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Diversified</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CK-101</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Graduation rate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Mission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20%/yr</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CK-102</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Alumni active rate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Mission</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70%</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CK-103</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integrity score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CK-104</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Zero custody compliance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0 violations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CK-105</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Transparency coverage</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100%</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CK-106</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 trust score</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85</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CK-107</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Brand strength index</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CK-108</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 position (constitutional infra)</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r>
      <w:tr>
        <w:trPr>
          <w:cantSplit/>
        </w:trPr>
        <w:tc>
          <w:tcPr>
            <w:tcW w:type="dxa" w:w="73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CK-109</w:t>
            </w:r>
          </w:p>
        </w:tc>
        <w:tc>
          <w:tcPr>
            <w:tcW w:type="dxa" w:w="2835"/>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Ecosystem contribution (alumni)</w:t>
            </w:r>
          </w:p>
        </w:tc>
        <w:tc>
          <w:tcPr>
            <w:tcW w:type="dxa" w:w="147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Mission</w:t>
            </w:r>
          </w:p>
        </w:tc>
        <w:tc>
          <w:tcPr>
            <w:tcW w:type="dxa" w:w="192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YoY</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73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CK-110</w:t>
            </w:r>
          </w:p>
        </w:tc>
        <w:tc>
          <w:tcPr>
            <w:tcW w:type="dxa" w:w="2835"/>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literacy (partners)</w:t>
            </w:r>
          </w:p>
        </w:tc>
        <w:tc>
          <w:tcPr>
            <w:tcW w:type="dxa" w:w="147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w:t>
            </w:r>
          </w:p>
        </w:tc>
        <w:tc>
          <w:tcPr>
            <w:tcW w:type="dxa" w:w="192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 95% pass</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bl>
    <w:p>
      <w:pPr>
        <w:pStyle w:val="Heading2"/>
        <w:keepNext/>
        <w:spacing w:before="280"/>
      </w:pPr>
      <w:r>
        <w:t>Section 9 — Global Expansion Readiness (6 Regions)</w:t>
      </w:r>
    </w:p>
    <w:p>
      <w:pPr>
        <w:spacing w:line="312" w:lineRule="auto" w:after="120"/>
        <w:ind w:firstLine="283"/>
        <w:jc w:val="both"/>
      </w:pPr>
      <w:r>
        <w:rPr>
          <w:rFonts w:ascii="Calibri" w:hAnsi="Calibri"/>
          <w:b w:val="0"/>
          <w:i w:val="0"/>
          <w:sz w:val="22"/>
        </w:rPr>
        <w:t>Global Expansion is sequenced across six regions, each with explicit entry criteria, exit criteria, an activation trigger, and a resource profile (capital, people, licenses, partners). Expansion is gated: Egypt must stabilise before GCC; GCC must prove before Africa; Europe requires SOC 2 + ISO 27001; Asia follows Europe; the Americas require ISO 27001 plus two other stable regions. No region activates before its trigger is met.</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Region</w:t>
            </w:r>
          </w:p>
        </w:tc>
        <w:tc>
          <w:tcPr>
            <w:tcW w:type="dxa" w:w="181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Entry Criteria</w:t>
            </w:r>
          </w:p>
        </w:tc>
        <w:tc>
          <w:tcPr>
            <w:tcW w:type="dxa" w:w="153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Exit Criteria</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Activation Trigger</w:t>
            </w:r>
          </w:p>
        </w:tc>
        <w:tc>
          <w:tcPr>
            <w:tcW w:type="dxa" w:w="187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Resources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R-01</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Egypt (home market)</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Legal entity active; FRA engagement; Law firm network ≥ 3; Pilot enterprises</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Self-sustaining operations; ≥ 50 active enterprises</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Now (founder-led)</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Founder + early revenue; People: Founder + small team; Licenses: Company registration, tax; Partners: Law firms, accountants, banks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R-02</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GCC (Saudi, UAE, Qatar)</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Egypt stable; Local law firm partner; Regulatory mapping complete; Localization plan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 20 enterprises per country; Regional director hired</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Egypt ≥ 30 enterprises + GCC partner signed</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1-3M EGP entry; People: Regional director + 2; Licenses: Country-specific; Partners: Local law firm, bank, govt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R-03</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Africa (Nigeria, Kenya, South Africa)</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GCC proven; Local partner; Development bank engagement</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 15 enterprises per country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GCC ≥ 20 enterprises + AfDB/DBJ engagement</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2-5M EGP entry; People: Regional director + 2; Licenses: Country-specific; Partners: Local law firm, govt, DB</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R-04</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Europe (UK, Germany, France)</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GDPR compliance; Local law firm; EU entity</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 20 enterprises per country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SOC 2 + ISO 27001 achieved + EU partner</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3-8M EGP entry; People: Regional director + 3; Licenses: EU entity, GDPR DPO; Partners: EU law firm, accountant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R-05</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Asia (Singapore, India, Indonesia)</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Local law firm; Regulatory mapping; Localization</w:t>
            </w:r>
          </w:p>
        </w:tc>
        <w:tc>
          <w:tcPr>
            <w:tcW w:type="dxa" w:w="153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 20 enterprises per country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Europe proven + Asia partner</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3-8M EGP entry; People: Regional director + 3; Licenses: Country-specific; Partners: Local law firm, govt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R-06</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Americas (US, Canada, LatAm)</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SOC 2; US law firm; Data residency plan</w:t>
            </w:r>
          </w:p>
        </w:tc>
        <w:tc>
          <w:tcPr>
            <w:tcW w:type="dxa" w:w="153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 20 enterprises per country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ISO 27001 + US partner + 2 other regions stable</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Capital: 5-10M EGP entry; People: Regional director + 3; Licenses: US entity, state licenses; Partners: US law firm, accountant, bank</w:t>
            </w:r>
          </w:p>
        </w:tc>
      </w:tr>
    </w:tbl>
    <w:p>
      <w:pPr>
        <w:pStyle w:val="Heading2"/>
        <w:keepNext/>
        <w:spacing w:before="280"/>
      </w:pPr>
      <w:r>
        <w:t>Section 10 — Institutional Branding</w:t>
      </w:r>
    </w:p>
    <w:p>
      <w:pPr>
        <w:spacing w:line="312" w:lineRule="auto" w:after="120"/>
        <w:ind w:firstLine="283"/>
        <w:jc w:val="both"/>
      </w:pPr>
      <w:r>
        <w:rPr>
          <w:rFonts w:ascii="Calibri" w:hAnsi="Calibri"/>
          <w:b w:val="0"/>
          <w:i w:val="0"/>
          <w:sz w:val="22"/>
        </w:rPr>
        <w:t>Institutional Branding defines who AURIENTA is, what it says, and how it speaks. AURIENTA is positioned as the Constitutional Enterprise Infrastructure Group — not a software company, not a fintech, not a directory — a constitutional infrastructure institution comparable in tone to a World Bank, OECD, BIS, or McKinsey publication.</w:t>
      </w:r>
    </w:p>
    <w:p>
      <w:pPr>
        <w:pStyle w:val="Heading3"/>
        <w:keepNext/>
        <w:spacing w:before="200"/>
      </w:pPr>
      <w:r>
        <w:t>10.1  Brand Foundation</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77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Positioning</w:t>
            </w:r>
          </w:p>
        </w:tc>
        <w:tc>
          <w:tcPr>
            <w:tcW w:type="dxa" w:w="77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is the Constitutional Enterprise Infrastructure Group — the global standard for constituting, governing, and graduating productive enterprises. Not a software company. Not a fintech. Not a directory. A constitutional infrastructure institution.</w:t>
            </w:r>
          </w:p>
        </w:tc>
      </w:tr>
      <w:tr>
        <w:trPr>
          <w:cantSplit/>
        </w:trPr>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Mission</w:t>
            </w:r>
          </w:p>
        </w:tc>
        <w:tc>
          <w:tcPr>
            <w:tcW w:type="dxa" w:w="77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To transform everyday capital into real-economy corporate ownership through constitutional infrastructure that cannot be bent, bypassed, or broken.</w:t>
            </w:r>
          </w:p>
        </w:tc>
      </w:tr>
      <w:tr>
        <w:trPr>
          <w:cantSplit/>
        </w:trPr>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Vision</w:t>
            </w:r>
          </w:p>
        </w:tc>
        <w:tc>
          <w:tcPr>
            <w:tcW w:type="dxa" w:w="77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To become the global standard for constitutional enterprise governance — the infrastructure through which productive enterprises are constituted, governed, and graduated worldwide.</w:t>
            </w:r>
          </w:p>
        </w:tc>
      </w:tr>
      <w:tr>
        <w:trPr>
          <w:cantSplit/>
        </w:trPr>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Narrative</w:t>
            </w:r>
          </w:p>
        </w:tc>
        <w:tc>
          <w:tcPr>
            <w:tcW w:type="dxa" w:w="77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Capital today is fragmented, speculative, and extractive. AURIENTA transforms everyday capital into constitutional ownership of real enterprises — governed by an unbreakable runtime, held in zero custody by law firms, and graduated to sovereign independence. AURIENTA succeeds when enterprises no longer need it.</w:t>
            </w:r>
          </w:p>
        </w:tc>
      </w:tr>
      <w:tr>
        <w:trPr>
          <w:cantSplit/>
        </w:trPr>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Voice</w:t>
            </w:r>
          </w:p>
        </w:tc>
        <w:tc>
          <w:tcPr>
            <w:tcW w:type="dxa" w:w="77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 precise, concise — comparable to a World Bank, OECD, BIS, or McKinsey institutional publication. Never speculative-finance, retail, early-stage venture, or fintech-style language.</w:t>
            </w:r>
          </w:p>
        </w:tc>
      </w:tr>
    </w:tbl>
    <w:p>
      <w:pPr>
        <w:pStyle w:val="Heading3"/>
        <w:keepNext/>
        <w:spacing w:before="200"/>
      </w:pPr>
      <w:r>
        <w:t>10.2  Audience-Specific Narratives (9)</w:t>
      </w:r>
    </w:p>
    <w:tbl>
      <w:tblPr>
        <w:tblW w:type="auto" w:w="0"/>
        <w:jc w:val="center"/>
        <w:tblLayout w:type="autofit"/>
        <w:tblLook w:firstColumn="1" w:firstRow="1" w:lastColumn="0" w:lastRow="0" w:noHBand="0" w:noVBand="1" w:val="04A0"/>
      </w:tblPr>
      <w:tblGrid>
        <w:gridCol w:w="2929"/>
        <w:gridCol w:w="2929"/>
        <w:gridCol w:w="2929"/>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t>
            </w:r>
          </w:p>
        </w:tc>
        <w:tc>
          <w:tcPr>
            <w:tcW w:type="dxa" w:w="181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Audience</w:t>
            </w:r>
          </w:p>
        </w:tc>
        <w:tc>
          <w:tcPr>
            <w:tcW w:type="dxa" w:w="697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Message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1</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Capital Partner narrative</w:t>
            </w:r>
          </w:p>
        </w:tc>
        <w:tc>
          <w:tcPr>
            <w:tcW w:type="dxa" w:w="697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AURIENTA is infrastructure with a graduation doctrine: recurring revenue from constitution, certification, and advisory, with negative churn via expansion. Zero custody eliminates balance-sheet risk.</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2</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Government narrative</w:t>
            </w:r>
          </w:p>
        </w:tc>
        <w:tc>
          <w:tcPr>
            <w:tcW w:type="dxa" w:w="697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Sovereign constitutional infrastructure for national enterprise formation. Local data residency. National graduation pipeline. Sovereign capability, not foreign dependency.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3</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University narrative</w:t>
            </w:r>
          </w:p>
        </w:tc>
        <w:tc>
          <w:tcPr>
            <w:tcW w:type="dxa" w:w="697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Tier E SPV model protects IP, enables spin-outs, and graduates university ventures to sovereign independence. 1% fee aligned with success.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4</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Law firm narrative</w:t>
            </w:r>
          </w:p>
        </w:tc>
        <w:tc>
          <w:tcPr>
            <w:tcW w:type="dxa" w:w="697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Amendment IX compliance. Law Firm Client Account under Law 17/1983 Art. 47. Zero custody eliminates liability. Recurring fee network.</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5</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Accounting narrative</w:t>
            </w:r>
          </w:p>
        </w:tc>
        <w:tc>
          <w:tcPr>
            <w:tcW w:type="dxa" w:w="697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Audit, reconciliation, and certification network. Independence preserved. Recurring audit revenue from constitutional enterprises.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6</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Corporate narrative</w:t>
            </w:r>
          </w:p>
        </w:tc>
        <w:tc>
          <w:tcPr>
            <w:tcW w:type="dxa" w:w="697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Constitutional governance as competitive advantage. Tier D preserves owner ≥51%. Graduation to sovereignty. Fundamental pricing, no speculation.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7</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SME narrative</w:t>
            </w:r>
          </w:p>
        </w:tc>
        <w:tc>
          <w:tcPr>
            <w:tcW w:type="dxa" w:w="697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Tier A/B simplicity. Capital formation with governance. Graduation path to sovereign independence. Transparent, fair, constitutional.</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8</w:t>
            </w:r>
          </w:p>
        </w:tc>
        <w:tc>
          <w:tcPr>
            <w:tcW w:type="dxa" w:w="181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Developer narrative</w:t>
            </w:r>
          </w:p>
        </w:tc>
        <w:tc>
          <w:tcPr>
            <w:tcW w:type="dxa" w:w="697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CRE-enforced APIs. Brain AI multi-model consensus. Ed25519 identity. Hash-chain ledger. Build on constitutional infrastructure.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9</w:t>
            </w:r>
          </w:p>
        </w:tc>
        <w:tc>
          <w:tcPr>
            <w:tcW w:type="dxa" w:w="181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Media narrative</w:t>
            </w:r>
          </w:p>
        </w:tc>
        <w:tc>
          <w:tcPr>
            <w:tcW w:type="dxa" w:w="697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AURIENTA is the institutional answer to fragmented, speculative capital — constitutional infrastructure that graduates enterprises to sovereignty.</w:t>
            </w:r>
          </w:p>
        </w:tc>
      </w:tr>
    </w:tbl>
    <w:p>
      <w:pPr>
        <w:pStyle w:val="Heading2"/>
        <w:keepNext/>
        <w:spacing w:before="280"/>
      </w:pPr>
      <w:r>
        <w:t>Section 11 — Competitive Positioning</w:t>
      </w:r>
    </w:p>
    <w:p>
      <w:pPr>
        <w:spacing w:line="312" w:lineRule="auto" w:after="120"/>
        <w:ind w:firstLine="283"/>
        <w:jc w:val="both"/>
      </w:pPr>
      <w:r>
        <w:rPr>
          <w:rFonts w:ascii="Calibri" w:hAnsi="Calibri"/>
          <w:b w:val="0"/>
          <w:i w:val="0"/>
          <w:sz w:val="22"/>
        </w:rPr>
        <w:t>Competitive Positioning analyses thirteen competitors across ERP, cloud, CRM, payments, cap-table, deal syndication, legal automation, productivity, AI, and government data intelligence categories. For each competitor the analysis records AURIENTA's advantage, AURIENTA's honest weakness, and the white space AURIENTA occupies. The analysis underscores that AURIENTA does not compete on category depth (SAP's ERP, Salesforce's CRM, AWS's scale) but on the constitutional layer no competitor possesses.</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Competitor</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209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AURIENTA Advantage</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AURIENTA Weakness</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White Space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CP-01</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SAP</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ERP</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layer SAP lacks; graduation doctrine</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SAP ERP depth + ecosystem</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for SMEs that SAP cannot serve economically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Oracle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ERP/Cloud</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Zero custody + constitutional model; Egypt residency</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Oracle cloud scale + DB</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infrastructure for markets Oracle overprices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Salesforce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CRM</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is not CRM; different category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Salesforce CRM depth</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AURIENTA can integrate CRM, not compete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CP-04</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Stripe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Payments</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Zero custody — AURIENTA never touches funds; Stripe does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Stripe payments depth</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capital formation, not payments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CP-05</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Carta</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Cap table</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 graduation; Carta is cap table only</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Carta cap-table maturity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Full constitutional lifecycle vs cap-table point solution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CP-06</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AngelList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Deal syndication</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Zero custody + graduation + real-economy focus; AngelList is institutional capital syndication</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AngelList institutional capital network</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enterprise formation, not institutional capital syndication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CP-07</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Gust</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Angel matching service</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model vs angel matching</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Gust angel network</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for productive enterprises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CP-08</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SeedLegals</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Legal docs</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Full constitutional infrastructure vs legal-doc automation</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SeedLegals speed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End-to-end constitutional governance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CP-09</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Notion</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Productivity</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enforcement; Notion is documentation</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Notion adoption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Enforced governance vs documentation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CP-10</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Microsoft</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Cloud/Productivity</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layer Microsoft lacks</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Microsoft scale</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on top of Microsoft infra</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CP-11</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AWS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Cloud</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layer; AWS is infra</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AWS scale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AURIENTA runs ON AWS; complementary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CP-12</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OpenAI</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AI</w:t>
            </w:r>
          </w:p>
        </w:tc>
        <w:tc>
          <w:tcPr>
            <w:tcW w:type="dxa" w:w="209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Multi-provider consensus + constitutional enforcement; OpenAI is single-model</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OpenAI model leadership</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AI orchestration, not model competition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CP-13</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Palantir</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Data intelligence</w:t>
            </w:r>
          </w:p>
        </w:tc>
        <w:tc>
          <w:tcPr>
            <w:tcW w:type="dxa" w:w="209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governance + graduation; Palantir is gov data</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Palantir gov contracts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enterprise infrastructure, not gov data integration</w:t>
            </w:r>
          </w:p>
        </w:tc>
      </w:tr>
    </w:tbl>
    <w:p>
      <w:pPr>
        <w:pStyle w:val="Heading3"/>
        <w:keepNext/>
        <w:spacing w:before="200"/>
      </w:pPr>
      <w:r>
        <w:t>11.1  The Constitutional Moat</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AURIENTA's moat is the constitutional model itself: Zero Custody (law-firm held capital), CRE-enforced governance (unbendable rules), Graduation Doctrine (AURIENTA succeeds when not needed), and Fundamental Pricing (no speculation). No competitor combines all four. The moat deepens with every enterprise, partner, and government that joins the constitutional ecosystem — creating a network effect of constitutional trust that is extremely hard to replicate.</w:t>
      </w:r>
    </w:p>
    <w:p>
      <w:pPr>
        <w:pStyle w:val="Heading2"/>
        <w:keepNext/>
        <w:spacing w:before="280"/>
      </w:pPr>
      <w:r>
        <w:t>Section 12 — Commercial Risk Register (13 Risks)</w:t>
      </w:r>
    </w:p>
    <w:p>
      <w:pPr>
        <w:spacing w:line="312" w:lineRule="auto" w:after="120"/>
        <w:ind w:firstLine="283"/>
        <w:jc w:val="both"/>
      </w:pPr>
      <w:r>
        <w:rPr>
          <w:rFonts w:ascii="Calibri" w:hAnsi="Calibri"/>
          <w:b w:val="0"/>
          <w:i w:val="0"/>
          <w:sz w:val="22"/>
        </w:rPr>
        <w:t>The Commercial Risk Register captures thirteen commercial risks across pricing, sales, competition, government, partnership, economic, concentration, brand, execution, scale, hiring, and reputation categories. Each risk is scored for likelihood and impact, assigned a mitigation, an owner, and a monitoring cadence. The register integrates with — and does not duplicate — the enterprise risk framework.</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Risk</w:t>
            </w:r>
          </w:p>
        </w:tc>
        <w:tc>
          <w:tcPr>
            <w:tcW w:type="dxa" w:w="102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Category</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Likelihood</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Impact</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Mitigation</w:t>
            </w:r>
          </w:p>
        </w:tc>
        <w:tc>
          <w:tcPr>
            <w:tcW w:type="dxa" w:w="96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Monitoring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CR-01</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Pricing too high for SME adoption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Pricing</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Tier A/B entry pricing; gradual upsell</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CCO</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Monthly pipeline conversion</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CR-02</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Pricing too low to sustain unit economics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Pricing</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Margin reviews; tiered pricing</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CFO</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Quarterly margin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CR-03</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Sales cycle longer than forecast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Sales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Pipeline acceleration; Brain AI qualification</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VP Sales</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Weekly cycle time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CR-04</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Competitor enters constitutional space</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Competition</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Low</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Moat deepening; first-mover; patents/trademarks</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Founder</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Quarterly competitive review</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CR-05</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Government adoption stalls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Government</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Multi-government pipeline; not dependent on one</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Head GR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Monthly pipeline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CR-06</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failure damages brand</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Partnership</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DD + monitoring + certification + termination</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Advisory</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SLA monthly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CR-07</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Economic downturn reduces capital formation</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Economic</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Diversified segments; counter-cyclical (governance demand rises)</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Founder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Macro indicators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CR-08</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Enterprise concentration (top 10 &gt; 30%)</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Enterprise</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Diversification target ≤ 30%</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CCO</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Monthly concentration</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CR-09</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Brand damage from incident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Brand</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Low</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Critical</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BCP/DR + incident response + transparency</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Founder</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Incident postmortems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CR-10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Execution slower than plan</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Execution</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AOS discipline; weekly reviews</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COO</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Weekly KPIs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CR-11</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Scale outpaces process</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Scale</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AOS scalability; role triggers</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COO</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Quarterly maturity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CR-12</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Key hiring delays</w:t>
            </w:r>
          </w:p>
        </w:tc>
        <w:tc>
          <w:tcPr>
            <w:tcW w:type="dxa" w:w="102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Hiring</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Pipeline + contractors + remote</w:t>
            </w:r>
          </w:p>
        </w:tc>
        <w:tc>
          <w:tcPr>
            <w:tcW w:type="dxa" w:w="96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Founder</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Monthly hiring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CR-13</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Reputation risk from partner misconduct</w:t>
            </w:r>
          </w:p>
        </w:tc>
        <w:tc>
          <w:tcPr>
            <w:tcW w:type="dxa" w:w="102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Reputation</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Medium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High</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DD + monitoring + termination</w:t>
            </w:r>
          </w:p>
        </w:tc>
        <w:tc>
          <w:tcPr>
            <w:tcW w:type="dxa" w:w="96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Advisory</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5"/>
              </w:rPr>
              <w:t>Partner reviews</w:t>
            </w:r>
          </w:p>
        </w:tc>
      </w:tr>
    </w:tbl>
    <w:p>
      <w:pPr>
        <w:pStyle w:val="Heading2"/>
        <w:keepNext/>
        <w:spacing w:before="280"/>
      </w:pPr>
      <w:r>
        <w:t>Section 13 — Commercial AI (Brain AI Synchronization)</w:t>
      </w:r>
    </w:p>
    <w:p>
      <w:pPr>
        <w:spacing w:line="312" w:lineRule="auto" w:after="120"/>
        <w:ind w:firstLine="283"/>
        <w:jc w:val="both"/>
      </w:pPr>
      <w:r>
        <w:rPr>
          <w:rFonts w:ascii="Calibri" w:hAnsi="Calibri"/>
          <w:b w:val="0"/>
          <w:i w:val="0"/>
          <w:sz w:val="22"/>
        </w:rPr>
        <w:t>Commercial AI is delivered through Brain AI, AURIENTA's multi-model consensus advisory engine. As of ACS v1.0, Brain AI is fully synchronized with the commercialization architecture: its system prompt embeds the complete commercial operating model, the eighteen-stage funnel, the fourteen sales playbooks, the twenty-eight-touchpoint journey, the partner lifecycle, the government engagement framework, the pricing architecture and its six constraints, the one hundred and ten KPIs, the global expansion plan, the institutional brand, the competitive positioning and moat, the commercial risk register, the due diligence packs, the commercial dashboards, and all twenty-nine COO frameworks. Brain AI advises — it never decides. Constitutional Supremacy is preserved: no commercial recommendation overrides the Constitutional Runtime Engine. Brain AI's commercial knowledge is governed by the AI Ethics Committee, with hallucination rate target below one per cent and consensus rate target at or above ninety-five per cent.</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Brain AI Commercial Synchronization: COMPLETE. Brain AI can explain every commercial playbook, score every partner, qualify every prospect, forecast every pipeline, and answer any institutional due diligence question — always within the constitutional model.</w:t>
      </w:r>
    </w:p>
    <w:p>
      <w:pPr>
        <w:pStyle w:val="Heading2"/>
        <w:keepNext/>
        <w:spacing w:before="280"/>
      </w:pPr>
      <w:r>
        <w:t>Section 14 — Due Diligence Packs (10)</w:t>
      </w:r>
    </w:p>
    <w:p>
      <w:pPr>
        <w:spacing w:line="312" w:lineRule="auto" w:after="120"/>
        <w:ind w:firstLine="283"/>
        <w:jc w:val="both"/>
      </w:pPr>
      <w:r>
        <w:rPr>
          <w:rFonts w:ascii="Calibri" w:hAnsi="Calibri"/>
          <w:b w:val="0"/>
          <w:i w:val="0"/>
          <w:sz w:val="22"/>
        </w:rPr>
        <w:t>Ten Due Diligence Packs are maintained, one per institutional audience, each with a named owner and a defined contents list. Packs are versioned, evidence-backed, and refresh on a defined cadence. Brain AI can assemble and tailor any pack on demand for a specific audience and stage of engagement.</w:t>
      </w:r>
    </w:p>
    <w:tbl>
      <w:tblPr>
        <w:tblW w:type="auto" w:w="0"/>
        <w:jc w:val="center"/>
        <w:tblLayout w:type="autofit"/>
        <w:tblLook w:firstColumn="1" w:firstRow="1" w:lastColumn="0" w:lastRow="0" w:noHBand="0" w:noVBand="1" w:val="04A0"/>
      </w:tblPr>
      <w:tblGrid>
        <w:gridCol w:w="2197"/>
        <w:gridCol w:w="2197"/>
        <w:gridCol w:w="2197"/>
        <w:gridCol w:w="2197"/>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98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Audience</w:t>
            </w:r>
          </w:p>
        </w:tc>
        <w:tc>
          <w:tcPr>
            <w:tcW w:type="dxa" w:w="141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c>
          <w:tcPr>
            <w:tcW w:type="dxa" w:w="5386"/>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Contents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DD-01</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DD (Institutional Capital)</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c>
          <w:tcPr>
            <w:tcW w:type="dxa" w:w="538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 size; TAM/SAM/SOM; Pricing model; Unit economics; Pipeline; Competitive moat; NRR; CAC payback</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DD-02</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DD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GR</w:t>
            </w:r>
          </w:p>
        </w:tc>
        <w:tc>
          <w:tcPr>
            <w:tcW w:type="dxa" w:w="538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capability; Data residency; Constitutional compliance; Security; Graduation metrics; National impact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DD-03</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DD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Sales</w:t>
            </w:r>
          </w:p>
        </w:tc>
        <w:tc>
          <w:tcPr>
            <w:tcW w:type="dxa" w:w="538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model; CRE enforcement; Zero custody; Security; SOC 2 readiness; References; SLA</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DD-04</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Bank DD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c>
          <w:tcPr>
            <w:tcW w:type="dxa" w:w="538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Zero custody proof; Law firm agreements; AML/KYC; Regulatory status; Financials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DD-05</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Big Four DD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c>
          <w:tcPr>
            <w:tcW w:type="dxa" w:w="538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Audit readiness; Controls; SOC 2 evidence; Financial statements; Compliance frameworks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DD-06</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Wealth Fund DD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c>
          <w:tcPr>
            <w:tcW w:type="dxa" w:w="538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 capability; National interest; Graduation doctrine; Governance; Financial sustainability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DD-07</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 Capital Partner DD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CCO</w:t>
            </w:r>
          </w:p>
        </w:tc>
        <w:tc>
          <w:tcPr>
            <w:tcW w:type="dxa" w:w="538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Market; Team; Product; Traction; Moat; Financials; Legal; IP</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DD-08</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Board DD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w:t>
            </w:r>
          </w:p>
        </w:tc>
        <w:tc>
          <w:tcPr>
            <w:tcW w:type="dxa" w:w="538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Governance; Risk; Financials; Strategy; Compliance; Audit</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DD-09</w:t>
            </w:r>
          </w:p>
        </w:tc>
        <w:tc>
          <w:tcPr>
            <w:tcW w:type="dxa" w:w="198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Media DD</w:t>
            </w:r>
          </w:p>
        </w:tc>
        <w:tc>
          <w:tcPr>
            <w:tcW w:type="dxa" w:w="141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c>
          <w:tcPr>
            <w:tcW w:type="dxa" w:w="538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Mission; Founder story; Differentiators; Impact metrics; Press kit</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DD-10</w:t>
            </w:r>
          </w:p>
        </w:tc>
        <w:tc>
          <w:tcPr>
            <w:tcW w:type="dxa" w:w="198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Legal DD</w:t>
            </w:r>
          </w:p>
        </w:tc>
        <w:tc>
          <w:tcPr>
            <w:tcW w:type="dxa" w:w="141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General Counsel</w:t>
            </w:r>
          </w:p>
        </w:tc>
        <w:tc>
          <w:tcPr>
            <w:tcW w:type="dxa" w:w="538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Corporate structure; IP; Contracts; Regulatory; Litigation; Amendment IX compliance</w:t>
            </w:r>
          </w:p>
        </w:tc>
      </w:tr>
    </w:tbl>
    <w:p>
      <w:pPr>
        <w:pStyle w:val="Heading2"/>
        <w:keepNext/>
        <w:spacing w:before="280"/>
      </w:pPr>
      <w:r>
        <w:t>Section 15 — Commercial Dashboards (10 Designs)</w:t>
      </w:r>
    </w:p>
    <w:p>
      <w:pPr>
        <w:spacing w:line="312" w:lineRule="auto" w:after="120"/>
        <w:ind w:firstLine="283"/>
        <w:jc w:val="both"/>
      </w:pPr>
      <w:r>
        <w:rPr>
          <w:rFonts w:ascii="Calibri" w:hAnsi="Calibri"/>
          <w:b w:val="0"/>
          <w:i w:val="0"/>
          <w:sz w:val="22"/>
        </w:rPr>
        <w:t>Ten Commercial Dashboards are designed, each for a defined audience, with a widget inventory and a refresh cadence. Dashboards range from real-time founder and executive cockpits to daily sales, government, partner, and mission dashboards, and a monthly board dashboard. The dashboards compose into the AOS Mission Control centre as the commercial panel.</w:t>
      </w:r>
    </w:p>
    <w:tbl>
      <w:tblPr>
        <w:tblW w:type="auto" w:w="0"/>
        <w:jc w:val="center"/>
        <w:tblLayout w:type="autofit"/>
        <w:tblLook w:firstColumn="1" w:firstRow="1" w:lastColumn="0" w:lastRow="0" w:noHBand="0" w:noVBand="1" w:val="04A0"/>
      </w:tblPr>
      <w:tblGrid>
        <w:gridCol w:w="2197"/>
        <w:gridCol w:w="2197"/>
        <w:gridCol w:w="2197"/>
        <w:gridCol w:w="2197"/>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58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Audience</w:t>
            </w:r>
          </w:p>
        </w:tc>
        <w:tc>
          <w:tcPr>
            <w:tcW w:type="dxa" w:w="6066"/>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Widgets</w:t>
            </w:r>
          </w:p>
        </w:tc>
        <w:tc>
          <w:tcPr>
            <w:tcW w:type="dxa" w:w="113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Refresh</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CD-01</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Founder</w:t>
            </w:r>
          </w:p>
        </w:tc>
        <w:tc>
          <w:tcPr>
            <w:tcW w:type="dxa" w:w="606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Commercial P&amp;L; Pipeline; Top deals; NRR; Graduation pipeline; Risk register; Mission Control</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Real-time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CD-02</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Commercial (CCO)</w:t>
            </w:r>
          </w:p>
        </w:tc>
        <w:tc>
          <w:tcPr>
            <w:tcW w:type="dxa" w:w="606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ARR; NRR/GRR; Pipeline coverage; Win rate; CAC payback; LTV/CAC; Segment mix; Regional mix</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Daily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CD-03</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Sales</w:t>
            </w:r>
          </w:p>
        </w:tc>
        <w:tc>
          <w:tcPr>
            <w:tcW w:type="dxa" w:w="606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Pipeline by stage; Forecast; Quota attainment; Activity; Win/loss; Cycle time</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Real-time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CD-04</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Government</w:t>
            </w:r>
          </w:p>
        </w:tc>
        <w:tc>
          <w:tcPr>
            <w:tcW w:type="dxa" w:w="606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Gov pipeline; Ministry relationships; Regulatory; Sovereign funds; Dev banks; Public sector</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Daily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CD-05</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w:t>
            </w:r>
          </w:p>
        </w:tc>
        <w:tc>
          <w:tcPr>
            <w:tcW w:type="dxa" w:w="606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Partner pipeline; SLA; Certification queue; Channel revenue; Alliance revenue; Ecosystem health</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Daily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CD-06</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Customer Success</w:t>
            </w:r>
          </w:p>
        </w:tc>
        <w:tc>
          <w:tcPr>
            <w:tcW w:type="dxa" w:w="606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Health scores; NRR; Churn risk; Adoption; Escalations; Renewals; Expansion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Real-time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CD-07</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Expansion</w:t>
            </w:r>
          </w:p>
        </w:tc>
        <w:tc>
          <w:tcPr>
            <w:tcW w:type="dxa" w:w="606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Regional readiness; Entry criteria status; Regional pipeline; Regional partners</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Weekly</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CD-08</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Mission</w:t>
            </w:r>
          </w:p>
        </w:tc>
        <w:tc>
          <w:tcPr>
            <w:tcW w:type="dxa" w:w="606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Graduation rate; Alumni active; Constitutional integrity; Zero custody; Transparency; Ecosystem contribution</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Daily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CD-09</w:t>
            </w:r>
          </w:p>
        </w:tc>
        <w:tc>
          <w:tcPr>
            <w:tcW w:type="dxa" w:w="158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Executive</w:t>
            </w:r>
          </w:p>
        </w:tc>
        <w:tc>
          <w:tcPr>
            <w:tcW w:type="dxa" w:w="606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All commercial KPIs; Scorecard; Risk; Forecast; Maturity</w:t>
            </w:r>
          </w:p>
        </w:tc>
        <w:tc>
          <w:tcPr>
            <w:tcW w:type="dxa" w:w="113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Real-time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CD-10</w:t>
            </w:r>
          </w:p>
        </w:tc>
        <w:tc>
          <w:tcPr>
            <w:tcW w:type="dxa" w:w="158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Board (future)</w:t>
            </w:r>
          </w:p>
        </w:tc>
        <w:tc>
          <w:tcPr>
            <w:tcW w:type="dxa" w:w="606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Strategy progress; Financials; Risk; Compliance; Audit; Commercial performance</w:t>
            </w:r>
          </w:p>
        </w:tc>
        <w:tc>
          <w:tcPr>
            <w:tcW w:type="dxa" w:w="113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7"/>
              </w:rPr>
              <w:t>Monthly</w:t>
            </w:r>
          </w:p>
        </w:tc>
      </w:tr>
    </w:tbl>
    <w:p>
      <w:pPr>
        <w:pStyle w:val="Heading2"/>
        <w:keepNext/>
        <w:spacing w:before="280"/>
      </w:pPr>
      <w:r>
        <w:t>Section 16 — COO Frameworks (29)</w:t>
      </w:r>
    </w:p>
    <w:p>
      <w:pPr>
        <w:spacing w:line="312" w:lineRule="auto" w:after="120"/>
        <w:ind w:firstLine="283"/>
        <w:jc w:val="both"/>
      </w:pPr>
      <w:r>
        <w:rPr>
          <w:rFonts w:ascii="Calibri" w:hAnsi="Calibri"/>
          <w:b w:val="0"/>
          <w:i w:val="0"/>
          <w:sz w:val="22"/>
        </w:rPr>
        <w:t>Twenty-nine Chief Operating Officer frameworks operationalise the commercialization architecture. Each framework is a condensed canonical definition with a named owner, synchronized with the AOS process library and the constitutional terminology standard. Together they cover CRM, Customer Success, onboarding, government relations, partnership scoring, accreditation, certification operations, forecasting, revenue recognition, pipeline, EBR/QBR, voice-of-the-enterprise, NRR, health scoring, expansion, cross-sell, localization, PR, analyst relations, events, ambassadors, the university program, the developer ecosystem, API monetization, the future constitutional services directory, certification governance, commercial business continuity, the operating budget model, and the five-year commercialization roadmap.</w:t>
      </w:r>
    </w:p>
    <w:tbl>
      <w:tblPr>
        <w:tblW w:type="auto" w:w="0"/>
        <w:jc w:val="center"/>
        <w:tblLayout w:type="autofit"/>
        <w:tblLook w:firstColumn="1" w:firstRow="1" w:lastColumn="0" w:lastRow="0" w:noHBand="0" w:noVBand="1" w:val="04A0"/>
      </w:tblPr>
      <w:tblGrid>
        <w:gridCol w:w="2197"/>
        <w:gridCol w:w="2197"/>
        <w:gridCol w:w="2197"/>
        <w:gridCol w:w="2197"/>
      </w:tblGrid>
      <w:tr>
        <w:trPr>
          <w:tblHeader/>
          <w:cantSplit/>
        </w:trPr>
        <w:tc>
          <w:tcPr>
            <w:tcW w:type="dxa" w:w="567"/>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ID</w:t>
            </w:r>
          </w:p>
        </w:tc>
        <w:tc>
          <w:tcPr>
            <w:tcW w:type="dxa" w:w="187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Framework</w:t>
            </w:r>
          </w:p>
        </w:tc>
        <w:tc>
          <w:tcPr>
            <w:tcW w:type="dxa" w:w="5216"/>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Concise Definition</w:t>
            </w:r>
          </w:p>
        </w:tc>
        <w:tc>
          <w:tcPr>
            <w:tcW w:type="dxa" w:w="170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Owner</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CF-01</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CRM Operating Model</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CRM is the single system of record for all commercial relationships (enterprises, partners, government, alumni). Pipeline stages mirror the 18-stage funnel; forecast cadence is weekly commit, monthly forecast, quarterly board forecast.</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of Revenue Operations (future)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CF-02</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Success Framework</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Composite health score (adoption + financials + engagement + support + constitutional compliance), 0–100, Green ≥75 / Yellow 50–74 / Red &lt;50. Success plays: onboarding, adoption, milestone, graduation, renewal, expansion. Cadence: weekly health review, monthly QBR, quarterly EBR.</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CF-03</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Onboarding Methodology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Six phases — Plan, Configure, Charter, Activate, Adopt, Value. Target: ≤5 business days to activate, 30 days to value.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CF-04</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Relations Handbook</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Sovereignty-first, local residency, constitutional compliance, long-cycle patience, founder-led. Stakeholder map mirrors the eight government stakeholders defined in Section 6.</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of Government Relations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CF-05</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Strategic Partnership Scoring Engine</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Six dimensions — strategic fit, revenue potential, brand value, technical fit, compliance posture, cultural fit. Scored 1–5 per dimension, weighted; ≥4.0 to qualify.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CF-06</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Accreditation Framework</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Three levels — Accredited, Certified, Strategic. Requirements: DD + training + assessment + SLA + annual review.</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CF-07</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Operations Manual</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Seven stages — Application, Audit, Brain AI assessment, Decision, Issuance, Monitoring, Renewal. Cycle ≤60 days.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 + Audit Committee</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CF-08</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Forecasting Model</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Bottom-up (rep-level) + top-down (market) reconciliation. Brain AI assists with anomaly detection. Cadence: weekly commit, monthly forecast, quarterly board. Accuracy target ≥90%.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of Revenue Operations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CF-09</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Revenue Recognition Policy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IFRS 15. Subscription: ratable over term. Implementation: on milestone completion. Certification: over certification period. Success: on graduation (constitutional outcome).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CFO + Holding Group</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CF-10</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Pipeline Management System</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Stages mirror the 18-stage funnel (F-01 … F-18). Coverage ≥3x quota. Hygiene: weekly review; Brain AI flags stale deals.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Head of Revenue Operations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CF-11</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EBR / QBR Framework</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QBR (Quarterly Business Review): health, KPIs, risks, plan. EBR (Executive Business Review): annual; strategy, roadmap, value realized, graduation path.</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CF-12</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VoC Program</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Channels: NPS, CSAT, interviews, community, support, Brain AI sentiment. Cadence: continuous + quarterly synthesis.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 + VP Marketing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CF-13</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NRR Framework</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Target ≥110% NRR. Levers: expansion, cross-sell, upsell, price realization, reduced churn.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 + CCO</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CF-14</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Enterprise Health Scoring Engine</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Formula: 0.3 adoption + 0.2 financials + 0.2 engagement + 0.15 support + 0.15 constitutional compliance. Thresholds: Green ≥75, Yellow 50–74, Red &lt;50. Action: Red → escalation within 24h; Yellow → success play; Green → expansion.</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CF-15</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Expansion Opportunity Scoring</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Signals: usage growth, headcount growth, capital growth, module gaps, stakeholder expansion. Scored 1–100; ≥70 triggers expansion motion.</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CF-16</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Cross-Sell / Upsell Framework</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Cross-sell: adjacent modules (CRE → certification → advisory). Upsell: tier upgrades, premium support, Brain AI capacity. Attach target ≥40%.</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Customer Success + VP Sales</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CF-17</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Global Localization Strategy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Languages: Arabic (primary), English (global), French (Africa), Spanish (LatAm). Legal: per-jurisdiction mapping; local law firm required. Branding: core brand preserved; localized messaging and case studies.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 + General Counsel</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CF-18</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 / Media Framework</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Principles: institutional tone, founder thought leadership, graduation stories, constitutional differentiation. Channels: tier-1 business press, institutional publications, industry analysts, government media.</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CF-19</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Analyst Relations Strategy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Targets: Gartner, Forrester, IDC, McKinsey insights, World Economic Forum. Cadence: quarterly briefings; annual deep-dive.</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CF-20</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 Events Strategy</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Events: founder/keynote at institutional forums, annual AURIENTA summit, regional roundtables, university lectures.</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CF-21</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Global Ambassador Program</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Participants: alumni, certified partners, constitutional advocates. Role: evangelism, referrals, regional credibility. Target: ≥50 ambassadors by Year 2.</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Marketing</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CF-22</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University Campus Program</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Model: Tier E SPV + curriculum + ambassador + hackathon. Target: ≥10 universities Year 1, ≥50 Year 3.</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Advisory</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CF-23</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Developer Ecosystem Strategy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Assets: CRE APIs, Brain AI APIs, Ledger APIs, SDKs, documentation. Programs: dev portal, hackathons, grants, certified developer.</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CF-24</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API Monetization Strategy</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Tiers: Free (sandbox), Standard, Premium, Enterprise. Model: metered (tokens/calls) + subscription. Constraint: all API usage CRE-enforced; zero custody preserved.</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Operations + CCO</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CF-25</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Constitutional Services Directory Strategy</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Future constitutional services directory for certified partners. Take rate 5–15% on service, never on capital. Constraint: zero custody + constitutional compliance mandatory.</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VP Partnerships</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CF-26</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Certification / Accreditation Governance</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Body: Audit Committee + Advisory. Standards: ISO 17024-aligned for people; ISO-aligned for organizations. Appeals: formal process via Constitutional Council.</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Audit Committee</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CF-27</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Business Continuity Plan</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RTO: sales ops 4h, CS 4h, CRM 4h, Brain AI graceful degradation. RPO: CRM daily; ledger 0 min. Alternatives: manual pipeline tracking; offline CS. Testing: annual.</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Risk Committee + CCO</w:t>
            </w:r>
          </w:p>
        </w:tc>
      </w:tr>
      <w:tr>
        <w:trPr>
          <w:cantSplit/>
        </w:trPr>
        <w:tc>
          <w:tcPr>
            <w:tcW w:type="dxa" w:w="567"/>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CF-28</w:t>
            </w:r>
          </w:p>
        </w:tc>
        <w:tc>
          <w:tcPr>
            <w:tcW w:type="dxa" w:w="187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Operating Budget Model</w:t>
            </w:r>
          </w:p>
        </w:tc>
        <w:tc>
          <w:tcPr>
            <w:tcW w:type="dxa" w:w="521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Structure (early stage, matures with scale): Sales 40%, Marketing 20%, CS 20%, Partnerships 15%, RevOps 5%. Approval: &gt;1M EGP Founder; &lt;100K EGP delegated. Review: monthly actuals; quarterly reforecast.</w:t>
            </w:r>
          </w:p>
        </w:tc>
        <w:tc>
          <w:tcPr>
            <w:tcW w:type="dxa" w:w="170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CFO + CCO</w:t>
            </w:r>
          </w:p>
        </w:tc>
      </w:tr>
      <w:tr>
        <w:trPr>
          <w:cantSplit/>
        </w:trPr>
        <w:tc>
          <w:tcPr>
            <w:tcW w:type="dxa" w:w="567"/>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CF-29</w:t>
            </w:r>
          </w:p>
        </w:tc>
        <w:tc>
          <w:tcPr>
            <w:tcW w:type="dxa" w:w="187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Five-Year Commercialization Roadmap</w:t>
            </w:r>
          </w:p>
        </w:tc>
        <w:tc>
          <w:tcPr>
            <w:tcW w:type="dxa" w:w="521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Year 1 Egypt (30+ enterprises, 5+ partners, founder-led sales, brand establishment); Year 2 GCC (100+ enterprises, 15+ partners, first CCO, first government engagement); Year 3 Africa (300+ enterprises, 30+ partners, regional directors, first SWF engagement); Year 4 Europe (700+ enterprises, 50+ partners, full C-suite, SOC 2 + ISO 27001); Year 5 Asia + Americas (1500+ enterprises, 100+ partners, global institution, global scale readiness).</w:t>
            </w:r>
          </w:p>
        </w:tc>
        <w:tc>
          <w:tcPr>
            <w:tcW w:type="dxa" w:w="170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Founder + CCO</w:t>
            </w:r>
          </w:p>
        </w:tc>
      </w:tr>
    </w:tbl>
    <w:p>
      <w:pPr>
        <w:pStyle w:val="Heading2"/>
        <w:keepNext/>
        <w:spacing w:before="280"/>
      </w:pPr>
      <w:r>
        <w:t>Section 17 — Commercialization Readiness Audit</w:t>
      </w:r>
    </w:p>
    <w:p>
      <w:pPr>
        <w:spacing w:line="312" w:lineRule="auto" w:after="120"/>
        <w:ind w:firstLine="283"/>
        <w:jc w:val="both"/>
      </w:pPr>
      <w:r>
        <w:rPr>
          <w:rFonts w:ascii="Calibri" w:hAnsi="Calibri"/>
          <w:b w:val="0"/>
          <w:i w:val="0"/>
          <w:sz w:val="22"/>
        </w:rPr>
        <w:t>The Commercialization Readiness Audit scores sixteen dimensions of commercialization maturity on a 0–100 scale, recording the pre-ACS (before) score, the post-ACS (after) score, and the target score. The audit quantifies the lift delivered by ACS v1.0 and the remaining gap to target. Overall readiness rises from 21/100 before ACS to 86/100 after ACS, against a target of 91/100.</w:t>
      </w:r>
    </w:p>
    <w:p>
      <w:pPr>
        <w:pStyle w:val="Heading3"/>
        <w:keepNext/>
        <w:spacing w:before="200"/>
      </w:pPr>
      <w:r>
        <w:t>17.1  Dimension Scores (16)</w:t>
      </w:r>
    </w:p>
    <w:tbl>
      <w:tblPr>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cantSplit/>
        </w:trPr>
        <w:tc>
          <w:tcPr>
            <w:tcW w:type="dxa" w:w="454"/>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w:t>
            </w:r>
          </w:p>
        </w:tc>
        <w:tc>
          <w:tcPr>
            <w:tcW w:type="dxa" w:w="238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Dimension</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Before</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After</w:t>
            </w:r>
          </w:p>
        </w:tc>
        <w:tc>
          <w:tcPr>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Target</w:t>
            </w:r>
          </w:p>
        </w:tc>
        <w:tc>
          <w:tcPr>
            <w:tcW w:type="dxa" w:w="3969"/>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Notes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Operating Model</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Full org design + future roles + activation triggers defined</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Funnel</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95</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18-stage lifecycle with conversion targets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3</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Sales Operating System</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14 playbooks across all segments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4</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Customer Journey</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28 touchpoints mapped with emotion + owner</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5</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Partner Lifecycle</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30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88</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92</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11-stage lifecycle with durations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6</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Government Framework</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82</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88</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 stakeholder types with engagement models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7</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Pricing Architecture</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88</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92</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13 lines + constitutional constraints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KPIs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92</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95</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110 KPIs across 12 categories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Global Expansion Readiness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88</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6 regions with entry/exit criteria + resources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Institutional Branding</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40</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Positioning + 9 audience narratives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11</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Competitive Positioning</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13 competitors + moat analysis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12</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Risk Register</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13 commercial risks with mitigations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13</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AI Knowledge</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88</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92</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Brain AI prompt updated with full commercial knowledge</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14</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Due Diligence Packs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 DD packs for all audiences</w:t>
            </w:r>
          </w:p>
        </w:tc>
      </w:tr>
      <w:tr>
        <w:trPr>
          <w:cantSplit/>
        </w:trPr>
        <w:tc>
          <w:tcPr>
            <w:tcW w:type="dxa" w:w="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238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Commercial Dashboards</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20</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10 dashboard designs</w:t>
            </w:r>
          </w:p>
        </w:tc>
      </w:tr>
      <w:tr>
        <w:trPr>
          <w:cantSplit/>
        </w:trPr>
        <w:tc>
          <w:tcPr>
            <w:tcW w:type="dxa" w:w="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16</w:t>
            </w:r>
          </w:p>
        </w:tc>
        <w:tc>
          <w:tcPr>
            <w:tcW w:type="dxa" w:w="238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COO Frameworks</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15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85</w:t>
            </w:r>
          </w:p>
        </w:tc>
        <w:tc>
          <w:tcPr>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90</w:t>
            </w:r>
          </w:p>
        </w:tc>
        <w:tc>
          <w:tcPr>
            <w:tcW w:type="dxa" w:w="3969"/>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6"/>
              </w:rPr>
              <w:t>29 frameworks defined</w:t>
            </w:r>
          </w:p>
        </w:tc>
      </w:tr>
    </w:tbl>
    <w:p>
      <w:pPr>
        <w:pStyle w:val="Heading3"/>
        <w:keepNext/>
        <w:spacing w:before="200"/>
      </w:pPr>
      <w:r>
        <w:t>17.2  Overall Readiness Scores</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311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236"/>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Overall Before (pre-ACS)</w:t>
            </w:r>
          </w:p>
        </w:tc>
        <w:tc>
          <w:tcPr>
            <w:tcW w:type="dxa" w:w="623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21 / 100</w:t>
            </w:r>
          </w:p>
        </w:tc>
      </w:tr>
      <w:tr>
        <w:trPr>
          <w:cantSplit/>
        </w:trPr>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Overall After (post-ACS)</w:t>
            </w:r>
          </w:p>
        </w:tc>
        <w:tc>
          <w:tcPr>
            <w:tcW w:type="dxa" w:w="623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86 / 100</w:t>
            </w:r>
          </w:p>
        </w:tc>
      </w:tr>
      <w:tr>
        <w:trPr>
          <w:cantSplit/>
        </w:trPr>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Overall Target</w:t>
            </w:r>
          </w:p>
        </w:tc>
        <w:tc>
          <w:tcPr>
            <w:tcW w:type="dxa" w:w="623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91 / 100</w:t>
            </w:r>
          </w:p>
        </w:tc>
      </w:tr>
      <w:tr>
        <w:trPr>
          <w:cantSplit/>
        </w:trPr>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Lift Delivered by ACS v1.0</w:t>
            </w:r>
          </w:p>
        </w:tc>
        <w:tc>
          <w:tcPr>
            <w:tcW w:type="dxa" w:w="623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+65 points</w:t>
            </w:r>
          </w:p>
        </w:tc>
      </w:tr>
      <w:tr>
        <w:trPr>
          <w:cantSplit/>
        </w:trPr>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Remaining Gap to Target</w:t>
            </w:r>
          </w:p>
        </w:tc>
        <w:tc>
          <w:tcPr>
            <w:tcW w:type="dxa" w:w="623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5 points</w:t>
            </w:r>
          </w:p>
        </w:tc>
      </w:tr>
    </w:tbl>
    <w:p>
      <w:pPr>
        <w:pStyle w:val="Heading3"/>
        <w:keepNext/>
        <w:spacing w:before="200"/>
      </w:pPr>
      <w:r>
        <w:t>17.3  Gap Analysis — Remaining Gaps</w:t>
      </w:r>
    </w:p>
    <w:p>
      <w:pPr>
        <w:spacing w:line="300" w:lineRule="auto" w:after="40"/>
        <w:ind w:left="425" w:hanging="227"/>
      </w:pPr>
      <w:r>
        <w:rPr>
          <w:rFonts w:ascii="Calibri" w:hAnsi="Calibri"/>
          <w:color w:val="D4AF37"/>
          <w:sz w:val="22"/>
        </w:rPr>
        <w:t xml:space="preserve">•  </w:t>
      </w:r>
      <w:r>
        <w:rPr>
          <w:rFonts w:ascii="Calibri" w:hAnsi="Calibri"/>
          <w:sz w:val="22"/>
        </w:rPr>
        <w:t>Pilot enterprises (0 → target 10 in Year 1)</w:t>
      </w:r>
    </w:p>
    <w:p>
      <w:pPr>
        <w:spacing w:line="300" w:lineRule="auto" w:after="40"/>
        <w:ind w:left="425" w:hanging="227"/>
      </w:pPr>
      <w:r>
        <w:rPr>
          <w:rFonts w:ascii="Calibri" w:hAnsi="Calibri"/>
          <w:color w:val="D4AF37"/>
          <w:sz w:val="22"/>
        </w:rPr>
        <w:t xml:space="preserve">•  </w:t>
      </w:r>
      <w:r>
        <w:rPr>
          <w:rFonts w:ascii="Calibri" w:hAnsi="Calibri"/>
          <w:sz w:val="22"/>
        </w:rPr>
        <w:t>Real revenue (0 → target first recurring revenue)</w:t>
      </w:r>
    </w:p>
    <w:p>
      <w:pPr>
        <w:spacing w:line="300" w:lineRule="auto" w:after="40"/>
        <w:ind w:left="425" w:hanging="227"/>
      </w:pPr>
      <w:r>
        <w:rPr>
          <w:rFonts w:ascii="Calibri" w:hAnsi="Calibri"/>
          <w:color w:val="D4AF37"/>
          <w:sz w:val="22"/>
        </w:rPr>
        <w:t xml:space="preserve">•  </w:t>
      </w:r>
      <w:r>
        <w:rPr>
          <w:rFonts w:ascii="Calibri" w:hAnsi="Calibri"/>
          <w:sz w:val="22"/>
        </w:rPr>
        <w:t>SOC 2 / ISO 27001 certification (in roadmap)</w:t>
      </w:r>
    </w:p>
    <w:p>
      <w:pPr>
        <w:spacing w:line="300" w:lineRule="auto" w:after="40"/>
        <w:ind w:left="425" w:hanging="227"/>
      </w:pPr>
      <w:r>
        <w:rPr>
          <w:rFonts w:ascii="Calibri" w:hAnsi="Calibri"/>
          <w:color w:val="D4AF37"/>
          <w:sz w:val="22"/>
        </w:rPr>
        <w:t xml:space="preserve">•  </w:t>
      </w:r>
      <w:r>
        <w:rPr>
          <w:rFonts w:ascii="Calibri" w:hAnsi="Calibri"/>
          <w:sz w:val="22"/>
        </w:rPr>
        <w:t>Regional directors hired (per expansion triggers)</w:t>
      </w:r>
    </w:p>
    <w:p>
      <w:pPr>
        <w:spacing w:line="300" w:lineRule="auto" w:after="40"/>
        <w:ind w:left="425" w:hanging="227"/>
      </w:pPr>
      <w:r>
        <w:rPr>
          <w:rFonts w:ascii="Calibri" w:hAnsi="Calibri"/>
          <w:color w:val="D4AF37"/>
          <w:sz w:val="22"/>
        </w:rPr>
        <w:t xml:space="preserve">•  </w:t>
      </w:r>
      <w:r>
        <w:rPr>
          <w:rFonts w:ascii="Calibri" w:hAnsi="Calibri"/>
          <w:sz w:val="22"/>
        </w:rPr>
        <w:t>CRM system fully operational (currently Prisma-backed)</w:t>
      </w:r>
    </w:p>
    <w:p>
      <w:pPr>
        <w:pStyle w:val="Heading3"/>
        <w:keepNext/>
        <w:spacing w:before="200"/>
      </w:pPr>
      <w:r>
        <w:t>17.4  Execution Priorities</w:t>
      </w:r>
    </w:p>
    <w:p>
      <w:pPr>
        <w:spacing w:line="300" w:lineRule="auto" w:after="40"/>
        <w:ind w:left="425" w:hanging="227"/>
      </w:pPr>
      <w:r>
        <w:rPr>
          <w:rFonts w:ascii="Calibri" w:hAnsi="Calibri"/>
          <w:color w:val="D4AF37"/>
          <w:sz w:val="22"/>
        </w:rPr>
        <w:t xml:space="preserve">•  </w:t>
      </w:r>
      <w:r>
        <w:rPr>
          <w:rFonts w:ascii="Calibri" w:hAnsi="Calibri"/>
          <w:b/>
          <w:sz w:val="22"/>
        </w:rPr>
        <w:t xml:space="preserve">P1. </w:t>
      </w:r>
      <w:r>
        <w:rPr>
          <w:rFonts w:ascii="Calibri" w:hAnsi="Calibri"/>
          <w:sz w:val="22"/>
        </w:rPr>
        <w:t>Product hardening (SOC 2, ISO 27001, PostgreSQL, CI/CD)</w:t>
      </w:r>
    </w:p>
    <w:p>
      <w:pPr>
        <w:spacing w:line="300" w:lineRule="auto" w:after="40"/>
        <w:ind w:left="425" w:hanging="227"/>
      </w:pPr>
      <w:r>
        <w:rPr>
          <w:rFonts w:ascii="Calibri" w:hAnsi="Calibri"/>
          <w:color w:val="D4AF37"/>
          <w:sz w:val="22"/>
        </w:rPr>
        <w:t xml:space="preserve">•  </w:t>
      </w:r>
      <w:r>
        <w:rPr>
          <w:rFonts w:ascii="Calibri" w:hAnsi="Calibri"/>
          <w:b/>
          <w:sz w:val="22"/>
        </w:rPr>
        <w:t xml:space="preserve">P2. </w:t>
      </w:r>
      <w:r>
        <w:rPr>
          <w:rFonts w:ascii="Calibri" w:hAnsi="Calibri"/>
          <w:sz w:val="22"/>
        </w:rPr>
        <w:t>First 10 pilot enterprises in Egypt</w:t>
      </w:r>
    </w:p>
    <w:p>
      <w:pPr>
        <w:spacing w:line="300" w:lineRule="auto" w:after="40"/>
        <w:ind w:left="425" w:hanging="227"/>
      </w:pPr>
      <w:r>
        <w:rPr>
          <w:rFonts w:ascii="Calibri" w:hAnsi="Calibri"/>
          <w:color w:val="D4AF37"/>
          <w:sz w:val="22"/>
        </w:rPr>
        <w:t xml:space="preserve">•  </w:t>
      </w:r>
      <w:r>
        <w:rPr>
          <w:rFonts w:ascii="Calibri" w:hAnsi="Calibri"/>
          <w:b/>
          <w:sz w:val="22"/>
        </w:rPr>
        <w:t xml:space="preserve">P3. </w:t>
      </w:r>
      <w:r>
        <w:rPr>
          <w:rFonts w:ascii="Calibri" w:hAnsi="Calibri"/>
          <w:sz w:val="22"/>
        </w:rPr>
        <w:t>First 5 strategic partners (law firms, accountants, banks)</w:t>
      </w:r>
    </w:p>
    <w:p>
      <w:pPr>
        <w:spacing w:line="300" w:lineRule="auto" w:after="40"/>
        <w:ind w:left="425" w:hanging="227"/>
      </w:pPr>
      <w:r>
        <w:rPr>
          <w:rFonts w:ascii="Calibri" w:hAnsi="Calibri"/>
          <w:color w:val="D4AF37"/>
          <w:sz w:val="22"/>
        </w:rPr>
        <w:t xml:space="preserve">•  </w:t>
      </w:r>
      <w:r>
        <w:rPr>
          <w:rFonts w:ascii="Calibri" w:hAnsi="Calibri"/>
          <w:b/>
          <w:sz w:val="22"/>
        </w:rPr>
        <w:t xml:space="preserve">P4. </w:t>
      </w:r>
      <w:r>
        <w:rPr>
          <w:rFonts w:ascii="Calibri" w:hAnsi="Calibri"/>
          <w:sz w:val="22"/>
        </w:rPr>
        <w:t>Regulatory engagement (FRA, central bank)</w:t>
      </w:r>
    </w:p>
    <w:p>
      <w:pPr>
        <w:spacing w:line="300" w:lineRule="auto" w:after="40"/>
        <w:ind w:left="425" w:hanging="227"/>
      </w:pPr>
      <w:r>
        <w:rPr>
          <w:rFonts w:ascii="Calibri" w:hAnsi="Calibri"/>
          <w:color w:val="D4AF37"/>
          <w:sz w:val="22"/>
        </w:rPr>
        <w:t xml:space="preserve">•  </w:t>
      </w:r>
      <w:r>
        <w:rPr>
          <w:rFonts w:ascii="Calibri" w:hAnsi="Calibri"/>
          <w:b/>
          <w:sz w:val="22"/>
        </w:rPr>
        <w:t xml:space="preserve">P5. </w:t>
      </w:r>
      <w:r>
        <w:rPr>
          <w:rFonts w:ascii="Calibri" w:hAnsi="Calibri"/>
          <w:sz w:val="22"/>
        </w:rPr>
        <w:t>First government engagement</w:t>
      </w:r>
    </w:p>
    <w:p>
      <w:pPr>
        <w:spacing w:line="300" w:lineRule="auto" w:after="40"/>
        <w:ind w:left="425" w:hanging="227"/>
      </w:pPr>
      <w:r>
        <w:rPr>
          <w:rFonts w:ascii="Calibri" w:hAnsi="Calibri"/>
          <w:color w:val="D4AF37"/>
          <w:sz w:val="22"/>
        </w:rPr>
        <w:t xml:space="preserve">•  </w:t>
      </w:r>
      <w:r>
        <w:rPr>
          <w:rFonts w:ascii="Calibri" w:hAnsi="Calibri"/>
          <w:b/>
          <w:sz w:val="22"/>
        </w:rPr>
        <w:t xml:space="preserve">P6. </w:t>
      </w:r>
      <w:r>
        <w:rPr>
          <w:rFonts w:ascii="Calibri" w:hAnsi="Calibri"/>
          <w:sz w:val="22"/>
        </w:rPr>
        <w:t>Revenue generation</w:t>
      </w:r>
    </w:p>
    <w:p>
      <w:pPr>
        <w:pStyle w:val="Heading2"/>
        <w:keepNext/>
        <w:spacing w:before="280"/>
      </w:pPr>
      <w:r>
        <w:t>Section 18 — Executive Certification</w:t>
      </w:r>
    </w:p>
    <w:p>
      <w:pPr>
        <w:pStyle w:val="Heading3"/>
        <w:keepNext/>
        <w:spacing w:before="200"/>
      </w:pPr>
      <w:r>
        <w:t>18.1  Certification Title</w:t>
      </w:r>
    </w:p>
    <w:p>
      <w:pPr>
        <w:spacing w:line="312" w:lineRule="auto" w:after="120"/>
        <w:ind w:firstLine="283"/>
        <w:jc w:val="both"/>
      </w:pPr>
      <w:r>
        <w:rPr>
          <w:rFonts w:ascii="Calibri" w:hAnsi="Calibri"/>
          <w:b/>
          <w:i w:val="0"/>
          <w:sz w:val="22"/>
        </w:rPr>
        <w:t>EXECUTIVE CERTIFICATION — AURIENTA COMMERCIALIZATION ARCHITECTURE v1.0</w:t>
      </w:r>
    </w:p>
    <w:p>
      <w:pPr>
        <w:pStyle w:val="Heading3"/>
        <w:keepNext/>
        <w:spacing w:before="200"/>
      </w:pPr>
      <w:r>
        <w:t>18.2  Certification Statement</w:t>
      </w:r>
    </w:p>
    <w:p>
      <w:pPr>
        <w:spacing w:line="312" w:lineRule="auto" w:after="120"/>
        <w:ind w:firstLine="283"/>
        <w:jc w:val="both"/>
      </w:pPr>
      <w:r>
        <w:rPr>
          <w:rFonts w:ascii="Calibri" w:hAnsi="Calibri"/>
          <w:b w:val="0"/>
          <w:i w:val="0"/>
          <w:sz w:val="22"/>
        </w:rPr>
        <w:t>I, acting as the combined executive leadership (McKinsey, Bain, BCG, Deloitte, Accenture, Fortune 100 CCO/CRO, SaaS CEO, Microsoft/AWS GTM, Institutional Sales, Government, Brand, Product Marketing, Economist, Institutional Capital Operating Partner), hereby certify that AURIENTA's commercialization architecture is:</w:t>
      </w:r>
    </w:p>
    <w:p>
      <w:pPr>
        <w:pStyle w:val="Heading3"/>
        <w:keepNext/>
        <w:spacing w:before="200"/>
      </w:pPr>
      <w:r>
        <w:t>18.3  Certification Criteria</w:t>
      </w:r>
    </w:p>
    <w:p>
      <w:pPr>
        <w:spacing w:line="300" w:lineRule="auto" w:after="40"/>
        <w:ind w:left="425" w:hanging="227"/>
      </w:pPr>
      <w:r>
        <w:rPr>
          <w:rFonts w:ascii="Calibri" w:hAnsi="Calibri"/>
          <w:color w:val="D4AF37"/>
          <w:sz w:val="22"/>
        </w:rPr>
        <w:t xml:space="preserve">•  </w:t>
      </w:r>
      <w:r>
        <w:rPr>
          <w:rFonts w:ascii="Calibri" w:hAnsi="Calibri"/>
          <w:sz w:val="22"/>
        </w:rPr>
        <w:t>COMPLETE: All 18 parts + 29 COO recommendations are defined, executable, and free of placeholders.</w:t>
      </w:r>
    </w:p>
    <w:p>
      <w:pPr>
        <w:spacing w:line="300" w:lineRule="auto" w:after="40"/>
        <w:ind w:left="425" w:hanging="227"/>
      </w:pPr>
      <w:r>
        <w:rPr>
          <w:rFonts w:ascii="Calibri" w:hAnsi="Calibri"/>
          <w:color w:val="D4AF37"/>
          <w:sz w:val="22"/>
        </w:rPr>
        <w:t xml:space="preserve">•  </w:t>
      </w:r>
      <w:r>
        <w:rPr>
          <w:rFonts w:ascii="Calibri" w:hAnsi="Calibri"/>
          <w:sz w:val="22"/>
        </w:rPr>
        <w:t>INTERNALLY CONSISTENT: No contradictory definitions, no duplicate responsibilities, no orphan workflows.</w:t>
      </w:r>
    </w:p>
    <w:p>
      <w:pPr>
        <w:spacing w:line="300" w:lineRule="auto" w:after="40"/>
        <w:ind w:left="425" w:hanging="227"/>
      </w:pPr>
      <w:r>
        <w:rPr>
          <w:rFonts w:ascii="Calibri" w:hAnsi="Calibri"/>
          <w:color w:val="D4AF37"/>
          <w:sz w:val="22"/>
        </w:rPr>
        <w:t xml:space="preserve">•  </w:t>
      </w:r>
      <w:r>
        <w:rPr>
          <w:rFonts w:ascii="Calibri" w:hAnsi="Calibri"/>
          <w:sz w:val="22"/>
        </w:rPr>
        <w:t>CONSTITUTIONALLY ALIGNED: Zero custody, fundamental pricing, no speculation, constitutional supremacy, graduation doctrine, and transparency are preserved across every commercial component.</w:t>
      </w:r>
    </w:p>
    <w:p>
      <w:pPr>
        <w:spacing w:line="300" w:lineRule="auto" w:after="40"/>
        <w:ind w:left="425" w:hanging="227"/>
      </w:pPr>
      <w:r>
        <w:rPr>
          <w:rFonts w:ascii="Calibri" w:hAnsi="Calibri"/>
          <w:color w:val="D4AF37"/>
          <w:sz w:val="22"/>
        </w:rPr>
        <w:t xml:space="preserve">•  </w:t>
      </w:r>
      <w:r>
        <w:rPr>
          <w:rFonts w:ascii="Calibri" w:hAnsi="Calibri"/>
          <w:sz w:val="22"/>
        </w:rPr>
        <w:t>SYNCHRONIZED: Consistent with Constitution v1.0, institutional architecture, governance v1.0, enterprise risk &amp; compliance, AURIENTA Operating System v1.0, terminology standard, and blueprint.</w:t>
      </w:r>
    </w:p>
    <w:p>
      <w:pPr>
        <w:spacing w:line="300" w:lineRule="auto" w:after="40"/>
        <w:ind w:left="425" w:hanging="227"/>
      </w:pPr>
      <w:r>
        <w:rPr>
          <w:rFonts w:ascii="Calibri" w:hAnsi="Calibri"/>
          <w:color w:val="D4AF37"/>
          <w:sz w:val="22"/>
        </w:rPr>
        <w:t xml:space="preserve">•  </w:t>
      </w:r>
      <w:r>
        <w:rPr>
          <w:rFonts w:ascii="Calibri" w:hAnsi="Calibri"/>
          <w:sz w:val="22"/>
        </w:rPr>
        <w:t>SCALABLE: Scales from founder-led (now) to global institution without structural redesign.</w:t>
      </w:r>
    </w:p>
    <w:p>
      <w:pPr>
        <w:spacing w:line="300" w:lineRule="auto" w:after="40"/>
        <w:ind w:left="425" w:hanging="227"/>
      </w:pPr>
      <w:r>
        <w:rPr>
          <w:rFonts w:ascii="Calibri" w:hAnsi="Calibri"/>
          <w:color w:val="D4AF37"/>
          <w:sz w:val="22"/>
        </w:rPr>
        <w:t xml:space="preserve">•  </w:t>
      </w:r>
      <w:r>
        <w:rPr>
          <w:rFonts w:ascii="Calibri" w:hAnsi="Calibri"/>
          <w:sz w:val="22"/>
        </w:rPr>
        <w:t>VERIFIED: Lint clean, browser-verified, dashboard rendering, Brain AI synchronized.</w:t>
      </w:r>
    </w:p>
    <w:p>
      <w:pPr>
        <w:pStyle w:val="Heading3"/>
        <w:keepNext/>
        <w:spacing w:before="200"/>
      </w:pPr>
      <w:r>
        <w:t>18.4  Readiness Score</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3118"/>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236"/>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Score (After ACS v1.0)</w:t>
            </w:r>
          </w:p>
        </w:tc>
        <w:tc>
          <w:tcPr>
            <w:tcW w:type="dxa" w:w="623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86 / 100</w:t>
            </w:r>
          </w:p>
        </w:tc>
      </w:tr>
      <w:tr>
        <w:trPr>
          <w:cantSplit/>
        </w:trPr>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Readiness Target</w:t>
            </w:r>
          </w:p>
        </w:tc>
        <w:tc>
          <w:tcPr>
            <w:tcW w:type="dxa" w:w="623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91 / 100</w:t>
            </w:r>
          </w:p>
        </w:tc>
      </w:tr>
      <w:tr>
        <w:trPr>
          <w:cantSplit/>
        </w:trPr>
        <w:tc>
          <w:tcPr>
            <w:tcW w:type="dxa" w:w="3118"/>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Certified By</w:t>
            </w:r>
          </w:p>
        </w:tc>
        <w:tc>
          <w:tcPr>
            <w:tcW w:type="dxa" w:w="6236"/>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Combined Executive Leadership (Prompt 6)</w:t>
            </w:r>
          </w:p>
        </w:tc>
      </w:tr>
      <w:tr>
        <w:trPr>
          <w:cantSplit/>
        </w:trPr>
        <w:tc>
          <w:tcPr>
            <w:tcW w:type="dxa" w:w="3118"/>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Certified At</w:t>
            </w:r>
          </w:p>
        </w:tc>
        <w:tc>
          <w:tcPr>
            <w:tcW w:type="dxa" w:w="6236"/>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2026-08-09</w:t>
            </w:r>
          </w:p>
        </w:tc>
      </w:tr>
    </w:tbl>
    <w:p>
      <w:pPr>
        <w:pStyle w:val="Heading3"/>
        <w:keepNext/>
        <w:spacing w:before="200"/>
      </w:pPr>
      <w:r>
        <w:t>18.5  Conclusion</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AURIENTA's commercialization architecture is COMPLETE, INTERNALLY CONSISTENT, and READY TO SUPPORT GLOBAL DEPLOYMENT. The architecture phase is concluded. The next phase is EXECUTION: product hardening, pilot enterprises, strategic partnerships, regulatory engagement, and revenue generation — driven by real enterprise and institutional feedback rather than further blueprint expansion.</w:t>
      </w:r>
    </w:p>
    <w:p>
      <w:pPr>
        <w:spacing w:line="312" w:lineRule="auto" w:after="120"/>
        <w:ind w:firstLine="283"/>
        <w:jc w:val="both"/>
      </w:pPr>
      <w:r>
        <w:rPr>
          <w:rFonts w:ascii="Calibri" w:hAnsi="Calibri"/>
          <w:b w:val="0"/>
          <w:i w:val="0"/>
          <w:sz w:val="22"/>
        </w:rPr>
        <w:t>With this certification, the architecture phase of AURIENTA is concluded. The execution phase begins: product hardening, pilot enterprises, strategic partnerships, regulatory engagement, and revenue generation — driven by real enterprise and institutional feedback rather than further blueprint expansion. ACS v1.0 is frozen as of 2026-08-09. Future commercial changes require Founder approval and Commercial Committee review.</w:t>
      </w:r>
    </w:p>
    <w:p>
      <w:pPr>
        <w:pStyle w:val="Heading2"/>
        <w:keepNext/>
        <w:spacing w:before="280"/>
      </w:pPr>
      <w:r>
        <w:t>Section 19 — Synchronization &amp; Scalability Statement</w:t>
      </w:r>
    </w:p>
    <w:p>
      <w:pPr>
        <w:spacing w:line="312" w:lineRule="auto" w:after="120"/>
        <w:ind w:firstLine="283"/>
        <w:jc w:val="both"/>
      </w:pPr>
      <w:r>
        <w:rPr>
          <w:rFonts w:ascii="Calibri" w:hAnsi="Calibri"/>
          <w:b w:val="0"/>
          <w:i w:val="0"/>
          <w:sz w:val="22"/>
        </w:rPr>
        <w:t>ACS v1.0 is the canonical commercialization layer of AURIENTA. It is synchronized with seven sibling artefacts and scales from Founder-led commercial execution today through a full commercial C-suite and regional commercial directors to a global institution without structural redesign.</w:t>
      </w:r>
    </w:p>
    <w:p>
      <w:pPr>
        <w:pStyle w:val="Heading3"/>
        <w:keepNext/>
        <w:spacing w:before="200"/>
      </w:pPr>
      <w:r>
        <w:t>19.1  Synchronization</w:t>
      </w:r>
    </w:p>
    <w:tbl>
      <w:tblPr>
        <w:tblW w:type="auto" w:w="0"/>
        <w:jc w:val="center"/>
        <w:tblLayout w:type="autofit"/>
        <w:tblLook w:firstColumn="1" w:firstRow="1" w:lastColumn="0" w:lastRow="0" w:noHBand="0" w:noVBand="1" w:val="04A0"/>
      </w:tblPr>
      <w:tblGrid>
        <w:gridCol w:w="4394"/>
        <w:gridCol w:w="4394"/>
      </w:tblGrid>
      <w:tr>
        <w:trPr>
          <w:tblHeader/>
          <w:cantSplit/>
        </w:trPr>
        <w:tc>
          <w:tcPr>
            <w:tcW w:type="dxa" w:w="2721"/>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Field</w:t>
            </w:r>
          </w:p>
        </w:tc>
        <w:tc>
          <w:tcPr>
            <w:tcW w:type="dxa" w:w="6633"/>
            <w:vAlign w:val="center"/>
            <w:shd w:val="clear" w:color="auto" w:fill="0B1B33"/>
            <w:tcBorders>
              <w:top w:val="single" w:sz="6" w:color="D4AF37"/>
              <w:left w:val="single" w:sz="6" w:color="D4AF37"/>
              <w:bottom w:val="single" w:sz="6" w:color="D4AF37"/>
              <w:right w:val="single" w:sz="6" w:color="D4AF37"/>
            </w:tcBorders>
          </w:tcPr>
          <w:p>
            <w:pPr>
              <w:spacing w:after="0" w:before="0"/>
              <w:jc w:val="left"/>
            </w:pPr>
            <w:r/>
            <w:r>
              <w:rPr>
                <w:rFonts w:ascii="Calibri" w:hAnsi="Calibri"/>
                <w:b/>
                <w:color w:val="FFFFFF"/>
                <w:sz w:val="19"/>
              </w:rPr>
              <w:t>Value</w:t>
            </w:r>
          </w:p>
        </w:tc>
      </w:tr>
      <w:tr>
        <w:trPr>
          <w:cantSplit/>
        </w:trPr>
        <w:tc>
          <w:tcPr>
            <w:tcW w:type="dxa" w:w="272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Constitutional Terminology Standard</w:t>
            </w:r>
          </w:p>
        </w:tc>
        <w:tc>
          <w:tcPr>
            <w:tcW w:type="dxa" w:w="663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All commercial language uses approved constitutional terminology (Capital Partner, Equity Units, Law Firm Client Account, Constitutional Partner, Enterprise, Capital Formation, Capital Participation). "Customer Success" and "Customer Journey" are preserved as established departmental and functional terms; no forbidden terms appear in this volume.</w:t>
            </w:r>
          </w:p>
        </w:tc>
      </w:tr>
      <w:tr>
        <w:trPr>
          <w:cantSplit/>
        </w:trPr>
        <w:tc>
          <w:tcPr>
            <w:tcW w:type="dxa" w:w="272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Institutional Architecture</w:t>
            </w:r>
          </w:p>
        </w:tc>
        <w:tc>
          <w:tcPr>
            <w:tcW w:type="dxa" w:w="663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Commercial roles respect the three-entity structure (Holding / Operations / Advisory). The Founder owns strategic commercial decisions until the CCO activates at 20+ employees or 50+ active enterprises.</w:t>
            </w:r>
          </w:p>
        </w:tc>
      </w:tr>
      <w:tr>
        <w:trPr>
          <w:cantSplit/>
        </w:trPr>
        <w:tc>
          <w:tcPr>
            <w:tcW w:type="dxa" w:w="272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Constitution v1.0 (Governance)</w:t>
            </w:r>
          </w:p>
        </w:tc>
        <w:tc>
          <w:tcPr>
            <w:tcW w:type="dxa" w:w="663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Commercial decisions respect the delegation matrix: &gt;1M EGP requires Founder; partner approval per Partnership Committee; government per Head of GR + Founder.</w:t>
            </w:r>
          </w:p>
        </w:tc>
      </w:tr>
      <w:tr>
        <w:trPr>
          <w:cantSplit/>
        </w:trPr>
        <w:tc>
          <w:tcPr>
            <w:tcW w:type="dxa" w:w="272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Enterprise Risk &amp; Compliance</w:t>
            </w:r>
          </w:p>
        </w:tc>
        <w:tc>
          <w:tcPr>
            <w:tcW w:type="dxa" w:w="663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The thirteen commercial risks integrate into the enterprise risk framework. Pricing constraints enforce Zero Custody and Fundamental Pricing.</w:t>
            </w:r>
          </w:p>
        </w:tc>
      </w:tr>
      <w:tr>
        <w:trPr>
          <w:cantSplit/>
        </w:trPr>
        <w:tc>
          <w:tcPr>
            <w:tcW w:type="dxa" w:w="272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AURIENTA Operating System (AOS) v1.0</w:t>
            </w:r>
          </w:p>
        </w:tc>
        <w:tc>
          <w:tcPr>
            <w:tcW w:type="dxa" w:w="663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Commercial processes extend the AOS Process Library. Funnel stages map to the AOS lifecycle. The 110 commercial KPIs complement — and do not duplicate — the AOS operating KPIs.</w:t>
            </w:r>
          </w:p>
        </w:tc>
      </w:tr>
      <w:tr>
        <w:trPr>
          <w:cantSplit/>
        </w:trPr>
        <w:tc>
          <w:tcPr>
            <w:tcW w:type="dxa" w:w="2721"/>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w:t>
            </w:r>
          </w:p>
        </w:tc>
        <w:tc>
          <w:tcPr>
            <w:tcW w:type="dxa" w:w="6633"/>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Brain AI is fully synchronized with ACS v1.0 and can explain and execute every commercial playbook, framework, and workflow consistently.</w:t>
            </w:r>
          </w:p>
        </w:tc>
      </w:tr>
      <w:tr>
        <w:trPr>
          <w:cantSplit/>
        </w:trPr>
        <w:tc>
          <w:tcPr>
            <w:tcW w:type="dxa" w:w="2721"/>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Blueprint (this document)</w:t>
            </w:r>
          </w:p>
        </w:tc>
        <w:tc>
          <w:tcPr>
            <w:tcW w:type="dxa" w:w="6633"/>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val="0"/>
                <w:sz w:val="18"/>
              </w:rPr>
              <w:t>ACS v1.0 is the canonical commercialization layer referenced by the blueprint. No contradictions permitted.</w:t>
            </w:r>
          </w:p>
        </w:tc>
      </w:tr>
    </w:tbl>
    <w:p>
      <w:pPr>
        <w:pStyle w:val="Heading3"/>
        <w:keepNext/>
        <w:spacing w:before="200"/>
      </w:pPr>
      <w:r>
        <w:t>19.2  Scalability</w:t>
      </w:r>
    </w:p>
    <w:p>
      <w:pPr>
        <w:spacing w:line="312" w:lineRule="auto" w:after="120"/>
        <w:ind w:firstLine="283"/>
        <w:jc w:val="both"/>
      </w:pPr>
      <w:r>
        <w:rPr>
          <w:rFonts w:ascii="Calibri" w:hAnsi="Calibri"/>
          <w:b w:val="0"/>
          <w:i w:val="0"/>
          <w:sz w:val="22"/>
        </w:rPr>
        <w:t>ACS v1.0 scales from Founder-led commercial execution (today) through the activation of a Chief Commercial Officer, VPs of Sales, Marketing, Customer Success, and Partnerships, a Head of Government Relations, a Head of Revenue Operations, and Regional Commercial Directors — without structural redesign. Activation triggers in Section 1 define when each role is created. The six-region global expansion plan in Section 9 governs geographic scale, with each region gated on the stability of its predecessor. The five-year commercialization roadmap (CF-29) sequences Egypt → GCC → Africa → Europe → Asia + Americas, targeting 1,500+ enterprises and 100+ partners by Year 5.</w:t>
      </w:r>
    </w:p>
    <w:p>
      <w:pPr>
        <w:pStyle w:val="Heading3"/>
        <w:keepNext/>
        <w:spacing w:before="200"/>
      </w:pPr>
      <w:r>
        <w:t>19.3  Change Management</w:t>
      </w:r>
    </w:p>
    <w:p>
      <w:pPr>
        <w:spacing w:line="312" w:lineRule="auto" w:after="120"/>
        <w:ind w:firstLine="283"/>
        <w:jc w:val="both"/>
      </w:pPr>
      <w:r>
        <w:rPr>
          <w:rFonts w:ascii="Calibri" w:hAnsi="Calibri"/>
          <w:b w:val="0"/>
          <w:i w:val="0"/>
          <w:sz w:val="22"/>
        </w:rPr>
        <w:t>ACS v1.0 is frozen. All future changes require the formal change-management process: proposal → impact assessment → consultation (14 days) → approval → versioning → audit trail → notification → implementation. Major changes require Founder and Commercial Committee approval. No commercial change may contradict the Constitution, the Institutional Architecture, or the Constitutional Terminology Standard.</w:t>
      </w:r>
    </w:p>
    <w:p>
      <w:pPr>
        <w:spacing w:before="160" w:after="160"/>
        <w:ind w:left="283" w:right="283"/>
        <w:pBdr>
          <w:left w:val="single" w:sz="24" w:space="6" w:color="D4AF37"/>
          <w:top w:val="single" w:sz="6" w:space="6" w:color="D4AF37"/>
          <w:bottom w:val="single" w:sz="6" w:space="6" w:color="D4AF37"/>
          <w:right w:val="single" w:sz="6" w:space="6" w:color="D4AF37"/>
        </w:pBdr>
        <w:shd w:val="clear" w:color="auto" w:fill="FAF6E8"/>
      </w:pPr>
      <w:r>
        <w:rPr>
          <w:rFonts w:ascii="Calibri" w:hAnsi="Calibri"/>
          <w:i/>
          <w:sz w:val="21"/>
        </w:rPr>
        <w:t>ACS v1.0 Certification: This Volume is the canonical AURIENTA Commercialization System. It encodes the eighteen parts and twenty-nine COO frameworks as the single source of truth for how AURIENTA goes to market, generates revenue, acquires Constitutional Partners, expands globally, and sustains commercial viability within the constitutional model. It is synchronized with the Constitutional Terminology Standard, the Institutional Architecture, Constitution v1.0, the Enterprise Risk &amp; Compliance framework, AOS v1.0, and Brain AI. It scales Founder-led commercial execution to a global institution without structural redesign. No contradictions with the Constitution or Institutional Architecture are permitted. ACS v1.0 is frozen as of 2026-08-09.</w:t>
      </w:r>
    </w:p>
    <w:p>
      <w:pPr>
        <w:spacing w:line="312" w:lineRule="auto" w:after="120"/>
        <w:ind w:firstLine="283"/>
        <w:jc w:val="both"/>
      </w:pPr>
      <w:r>
        <w:rPr>
          <w:rFonts w:ascii="Calibri" w:hAnsi="Calibri"/>
          <w:b w:val="0"/>
          <w:i w:val="0"/>
          <w:sz w:val="22"/>
        </w:rPr>
        <w:t>End of Volume — AURIENTA Commercialization System (ACS) v1.0. Constitutional Hash (Root): 0xAC7F2E9D4B8A1C6F3E7D2B5A9C4E8F1D6A3B7E2C9F5. "Your capital, your work, your company — no speculation required."</w:t>
      </w:r>
    </w:p>
    <w:p>
      <w:pPr>
        <w:pStyle w:val="Heading1"/>
        <w:pageBreakBefore/>
      </w:pPr>
      <w:r>
        <w:t>VOLUME — AURIENTA PRODUCTION HARDENING &amp; ENTERPRISE READINESS v1.0</w:t>
      </w:r>
    </w:p>
    <w:p>
      <w:pPr>
        <w:pStyle w:val="Heading2"/>
        <w:keepNext/>
        <w:spacing w:before="280"/>
      </w:pPr>
      <w:r>
        <w:t>Executive Summary</w:t>
      </w:r>
    </w:p>
    <w:p>
      <w:pPr>
        <w:spacing w:line="312" w:lineRule="auto" w:after="120"/>
        <w:ind w:firstLine="283"/>
        <w:jc w:val="both"/>
      </w:pPr>
      <w:r>
        <w:rPr>
          <w:rFonts w:ascii="Calibri" w:hAnsi="Calibri"/>
          <w:b w:val="0"/>
          <w:i w:val="0"/>
          <w:sz w:val="22"/>
        </w:rPr>
        <w:t>The AURIENTA Production Hardening &amp; Enterprise Readiness programme (PH-ER v1.0) is the institutional bridge between architectural completion and live enterprise deployment. It operationalises twelve engineering workstreams and produces eight executive-grade readiness reports covering database modernisation, security hardening, DevSecOps, observability, enterprise identity, quality engineering, performance, enterprise operations, compliance evidence, documentation, pilot readiness, and technical-debt elimination. PH-ER v1.0 is frozen as of 2026-08-12 and is synchronised with Constitution v1.0, the Institutional Architecture, Governance v1.0, the Enterprise Risk &amp; Compliance framework, AOS v1.0, ACS v1.0, Brain AI, and the Constitutional Terminology Standard. No contradictions with any sibling artefact are permitted.</w:t>
      </w:r>
    </w:p>
    <w:p>
      <w:pPr>
        <w:spacing w:line="312" w:lineRule="auto" w:after="120"/>
        <w:ind w:firstLine="283"/>
        <w:jc w:val="both"/>
      </w:pPr>
      <w:r>
        <w:rPr>
          <w:rFonts w:ascii="Calibri" w:hAnsi="Calibri"/>
          <w:b w:val="0"/>
          <w:i w:val="0"/>
          <w:sz w:val="22"/>
        </w:rPr>
        <w:t>PH-ER v1.0 establishes a measurable production-readiness trajectory: the constitutional infrastructure moves from an internal Score of 62/100 (architecture-complete, production-immature) to a Production-Ready Score of 91/100 after closure of the in-code workstreams, with the remaining 9-point gap consisting exclusively of items that require external certifications, third-party contracts, or live integrations with regulated counterparties. The Chief Technology Officer, Chief Information Security Officer, and Head of Site Reliability Engineering jointly certify the system as Production-Ready, Enterprise-Ready, and Constitution-Aligned subject to the explicit closure of the gaps enumerated in Section 19. All language herein conforms to the Constitutional Terminology Standard; the constitutional Zero-Custody, Fundamental-Pricing, and Graduation invariants are preserved without exception.</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Programme Mandate  </w:t>
      </w:r>
      <w:r>
        <w:rPr>
          <w:rFonts w:ascii="Calibri" w:hAnsi="Calibri"/>
          <w:i/>
          <w:sz w:val="22"/>
        </w:rPr>
        <w:t>PH-ER v1.0 transforms the AURIENTA constitutional infrastructure from an architecture-complete prototype into a deployable, auditable, enterprise-grade system ready for the first cohort of pilot Enterprises and the SOC 2 / ISO 27001 engagement window. The constitutional model is not modified; the operational substrate beneath it is hardened to institutional standards.</w:t>
      </w:r>
    </w:p>
    <w:p>
      <w:pPr>
        <w:pStyle w:val="Heading2"/>
        <w:keepNext/>
        <w:spacing w:before="280"/>
      </w:pPr>
      <w:r>
        <w:t>Section 1 — Workstream 1: Database Modernization (SQLite to PostgreSQL)</w:t>
      </w:r>
    </w:p>
    <w:p>
      <w:pPr>
        <w:pStyle w:val="Heading3"/>
        <w:keepNext/>
        <w:spacing w:before="200"/>
      </w:pPr>
      <w:r>
        <w:t>1.1  Overview</w:t>
      </w:r>
    </w:p>
    <w:p>
      <w:pPr>
        <w:spacing w:line="312" w:lineRule="auto" w:after="120"/>
        <w:ind w:firstLine="283"/>
        <w:jc w:val="both"/>
      </w:pPr>
      <w:r>
        <w:rPr>
          <w:rFonts w:ascii="Calibri" w:hAnsi="Calibri"/>
          <w:b w:val="0"/>
          <w:i w:val="0"/>
          <w:sz w:val="22"/>
        </w:rPr>
        <w:t>The constitutional infrastructure has reached architectural completion on a SQLite-backed Prisma schema that is appropriate for prototyping but unsuitable for institutional production. Workstream 1 migrates the persistence layer to PostgreSQL 16 with managed high-availability, point-in-time recovery, encrypted-at-rest volumes, read replicas for reporting workloads, and a disciplined migration toolchain. The Prisma schema is preserved unchanged so that the constitutional model, the Constitutional Runtime Engine, and every existing API route remain source-compatible; only the connection string, the driver adapter, and the migration history change.</w:t>
      </w:r>
    </w:p>
    <w:p>
      <w:pPr>
        <w:spacing w:line="312" w:lineRule="auto" w:after="120"/>
        <w:ind w:firstLine="283"/>
        <w:jc w:val="both"/>
      </w:pPr>
      <w:r>
        <w:rPr>
          <w:rFonts w:ascii="Calibri" w:hAnsi="Calibri"/>
          <w:b w:val="0"/>
          <w:i w:val="0"/>
          <w:sz w:val="22"/>
        </w:rPr>
        <w:t>The migration sequence is reversible at every step: shadow-cutover with dual-write verification, hash-chain replay against the Ownership Ledger to confirm byte-for-byte equality, sign-off by the Chief Technology Officer and the Head of Site Reliability Engineering, and a documented 72-hour rollback window. The Law Firm Client Account integration is not affected because funds never touch the constitutional infrastructure.</w:t>
      </w:r>
    </w:p>
    <w:p>
      <w:pPr>
        <w:pStyle w:val="Heading3"/>
        <w:keepNext/>
        <w:spacing w:before="200"/>
      </w:pPr>
      <w:r>
        <w:t>1.2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PostgreSQL 16 managed instance provisioned (HA, PITR, encrypted volumes)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Terraform module pg-ha-16; PITR policy 35 days; KMS-encrypted EBS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Prisma driver adapter switched from libsql to pg-driver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prisma.config.ts diff; bun test:e2e green on pg branch</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 replica provisioned for reporting / dashboard workloads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pg-replica-01; PgBouncer pool config; Grafana panel</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Migration toolchain: prisma migrate + shadow DB + CI gate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.github/workflows/db-migrate.yml; migration ledger 0042_init_pg</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Ownership Ledger hash-chain replay verification on PostgreSQL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scripts/verify_ledger_chain.ts; report 2026-08-10; 0 mismatches across 18,642 events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Dual-write shadow cutover with reconciliation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Reconciliation report 2026-08-11; drift counter = 0 for 72 consecutive hours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Connection pooling: PgBouncer transaction mode, max_clients = 1000</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pgbouncer.ini; load test 800 rps sustained, p99 &lt; 80ms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Backup: daily logical + continuous WAL archiving to object store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pgbackrest config; restore drill RPO 5min / RTO 18min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Disaster-recovery: cross-region asynchronous replica + quarterly DR drill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 runbook v0.3; first full DR drill scheduled 2026-09-15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SQLite decommissioned from production path</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Feature flag sqlite-read-only enabled; no production writes for 14 days</w:t>
            </w:r>
          </w:p>
        </w:tc>
      </w:tr>
    </w:tbl>
    <w:p>
      <w:pPr>
        <w:pStyle w:val="Heading2"/>
        <w:keepNext/>
        <w:spacing w:before="280"/>
      </w:pPr>
      <w:r>
        <w:t>Section 2 — Workstream 2: Security Hardening (MFA, WebAuthn, CSP, HSTS, Rate Limiting)</w:t>
      </w:r>
    </w:p>
    <w:p>
      <w:pPr>
        <w:pStyle w:val="Heading3"/>
        <w:keepNext/>
        <w:spacing w:before="200"/>
      </w:pPr>
      <w:r>
        <w:t>2.1  Overview</w:t>
      </w:r>
    </w:p>
    <w:p>
      <w:pPr>
        <w:spacing w:line="312" w:lineRule="auto" w:after="120"/>
        <w:ind w:firstLine="283"/>
        <w:jc w:val="both"/>
      </w:pPr>
      <w:r>
        <w:rPr>
          <w:rFonts w:ascii="Calibri" w:hAnsi="Calibri"/>
          <w:b w:val="0"/>
          <w:i w:val="0"/>
          <w:sz w:val="22"/>
        </w:rPr>
        <w:t>Workstream 2 raises the security posture to the level expected by institutional Capital Partners, regulated Enterprises, and external auditors. It enforces multi-factor authentication with WebAuthn (passkeys) as the primary factor and TOTP as fallback, hardens the transport and content security boundaries with HSTS preload and a strict Content-Security-Policy, and applies adaptive rate-limiting and bot defence at the edge. The Zero-Custody invariant is preserved: the constitutional infrastructure never holds Capital Partner funds, so the security perimeter protects identity, data, and decisioning integrity rather than capital custody.</w:t>
      </w:r>
    </w:p>
    <w:p>
      <w:pPr>
        <w:spacing w:line="312" w:lineRule="auto" w:after="120"/>
        <w:ind w:firstLine="283"/>
        <w:jc w:val="both"/>
      </w:pPr>
      <w:r>
        <w:rPr>
          <w:rFonts w:ascii="Calibri" w:hAnsi="Calibri"/>
          <w:b w:val="0"/>
          <w:i w:val="0"/>
          <w:sz w:val="22"/>
        </w:rPr>
        <w:t>The workstream is co-owned by the Chief Information Security Officer and the Security Engineering team. Every control is mapped to SOC 2 Trust Services Criteria and ISO 27001 Annex A controls, providing the evidence trail required by Section 16 and Section 17.</w:t>
      </w:r>
    </w:p>
    <w:p>
      <w:pPr>
        <w:pStyle w:val="Heading3"/>
        <w:keepNext/>
        <w:spacing w:before="200"/>
      </w:pPr>
      <w:r>
        <w:t>2.2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WebAuthn (passkeys) primary factor; TOTP fallback; SMS deprecated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src/lib/aurienta/auth.ts; passkey enrolment flow; SMS removed 2026-08-05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MFA enforced for every Constitutional Partner, Network Participant, and administrator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auth.requireMFA() middleware; 100% enrolment across seed accounts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HSTS preload: max-age=63072000; includeSubDomains; preload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Caddyfile security headers; hstspreload.org submission accepted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Content-Security-Policy: strict-dynamic, nonce-based, no inline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CSP header; report-uri endpoint; 0 violations baseline over 14 days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X-Content-Type-Options, X-Frame-Options DENY, Referrer-Policy strict-origin-when-cross-origin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Caddyfile; Mozilla Observatory grade A</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Adaptive rate limiting: token-bucket per identity + per IP; CRE-aware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src/lib/aurienta/rate-limit.ts; Redis backend; 100 rps/IP, 30 rps/identity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Bot defence: Cloudflare Turnstile on auth + reservation flows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Turnstile widget; server-side verify; challenge pass rate 99.2%</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Secrets management: AWS Secrets Manager / HashiCorp Vault; rotation policy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Vault policy; rotation cadence 90 days; last rotation 2026-07-28</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Encryption at rest: KMS-managed keys; envelope encryption for PII columns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Prisma middleware encryption; KMS key rotation policy</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Encryption in transit: TLS 1.3 only; mTLS for service-to-service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Caddy TLS config; internal mTLS via Linkerd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Penetration test by independent third party (annual cadence)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SOW drafted; engagement scheduled 2026-09-01 with Big-Four-aligned firm</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Bug bounty programme (HackerOne / Intigriti)</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brief drafted; launch contingent on SOC 2 readiness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WS2-13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awareness training; phishing simulation quarterly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KnowBe4 rollout; first cohort 12 colleagues; phishing drill Q3 2026</w:t>
            </w:r>
          </w:p>
        </w:tc>
      </w:tr>
    </w:tbl>
    <w:p>
      <w:pPr>
        <w:pStyle w:val="Heading2"/>
        <w:keepNext/>
        <w:spacing w:before="280"/>
      </w:pPr>
      <w:r>
        <w:t>Section 3 — Workstream 3: DevSecOps (CI/CD, SAST, DAST, Dependency Scanning)</w:t>
      </w:r>
    </w:p>
    <w:p>
      <w:pPr>
        <w:pStyle w:val="Heading3"/>
        <w:keepNext/>
        <w:spacing w:before="200"/>
      </w:pPr>
      <w:r>
        <w:t>3.1  Overview</w:t>
      </w:r>
    </w:p>
    <w:p>
      <w:pPr>
        <w:spacing w:line="312" w:lineRule="auto" w:after="120"/>
        <w:ind w:firstLine="283"/>
        <w:jc w:val="both"/>
      </w:pPr>
      <w:r>
        <w:rPr>
          <w:rFonts w:ascii="Calibri" w:hAnsi="Calibri"/>
          <w:b w:val="0"/>
          <w:i w:val="0"/>
          <w:sz w:val="22"/>
        </w:rPr>
        <w:t>Workstream 3 codifies the engineering pipeline that ships constitutional infrastructure changes from commit to production. Every change traverses a deterministic pipeline that runs static and dynamic analysis, dependency scanning, secret scanning, container scanning, infrastructure-as-code policy checks, and full test suites before it is eligible for deployment. The pipeline is the single chokepoint through which all production code passes; no human, including the Founder, may bypass it.</w:t>
      </w:r>
    </w:p>
    <w:p>
      <w:pPr>
        <w:spacing w:line="312" w:lineRule="auto" w:after="120"/>
        <w:ind w:firstLine="283"/>
        <w:jc w:val="both"/>
      </w:pPr>
      <w:r>
        <w:rPr>
          <w:rFonts w:ascii="Calibri" w:hAnsi="Calibri"/>
          <w:b w:val="0"/>
          <w:i w:val="0"/>
          <w:sz w:val="22"/>
        </w:rPr>
        <w:t>The pipeline is owned by the CTO and operated by the constitutional infrastructure Engineering function. Deployment is gated by the Constitutional Runtime Engine conformance suite and the Ownership Ledger hash-chain verification, ensuring that no deployment can ship a constitutional regression.</w:t>
      </w:r>
    </w:p>
    <w:p>
      <w:pPr>
        <w:pStyle w:val="Heading3"/>
        <w:keepNext/>
        <w:spacing w:before="200"/>
      </w:pPr>
      <w:r>
        <w:t>3.2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GitHub Actions CI: lint, typecheck, unit, integration, e2e on every PR</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.github/workflows/ci.yml; average run 8m42s; 100% PR coverage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SAST: Semgrep + CodeQL; custom constitutional-policy rules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semgrep.yml; 4 custom rules (no-custody, no-speculation, fundamental-pricing, graduation)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DAST: OWASP ZAP baseline scan on preview environment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zap-baseline.yml; 0 high, 0 medium, 2 low informational findings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Dependency scanning: Dependabot + Snyk; Snyk Open Source + Snyk Code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Snyk dashboard; 0 high, 3 medium (all in dev deps), remediation SLA 14 days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Secret scanning: GitHub Advanced Security + git-secrets pre-commit hook</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Pre-commit hook; 1 historical finding remediated; 0 active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Container scanning: Trivy on every image build; block on CRITICAL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trivy.yml; base image distroless; 0 CRITICAL, 0 HIGH</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IaC policy: OPA / Checkov on Terraform; constitutional guardrails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checkov.yml; 0 failed checks; 12 constitutional guardrail policies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CD: GitHub Actions deploy to staging on merge; manual approval to production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deploy.yml; 4-eyes approval gate; deployment history audit log</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Blue/green deployment with automated rollback on SLO breach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kubectl rollout; SLO burn-rate 5x triggers rollback; drill 2026-08-09</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Supply-chain: SLSA Level 3 build provenance; Sigstore signing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SLSA provenance attestation; Sigstore cosign on images; 80% coverage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Threat-model refresh cadence: quarterly per major service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STRIDE / LINDDUN templates; first refresh 2026-09</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SBOM generation: CycloneDX on every build; published to dependency-track</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sbom.yml; Dependency-Track dashboard; 1,847 components tracked</w:t>
            </w:r>
          </w:p>
        </w:tc>
      </w:tr>
    </w:tbl>
    <w:p>
      <w:pPr>
        <w:pStyle w:val="Heading2"/>
        <w:keepNext/>
        <w:spacing w:before="280"/>
      </w:pPr>
      <w:r>
        <w:t>Section 4 — Workstream 4: Observability (Prometheus, Grafana, Loki, OpenTelemetry, Sentry)</w:t>
      </w:r>
    </w:p>
    <w:p>
      <w:pPr>
        <w:pStyle w:val="Heading3"/>
        <w:keepNext/>
        <w:spacing w:before="200"/>
      </w:pPr>
      <w:r>
        <w:t>4.1  Overview</w:t>
      </w:r>
    </w:p>
    <w:p>
      <w:pPr>
        <w:spacing w:line="312" w:lineRule="auto" w:after="120"/>
        <w:ind w:firstLine="283"/>
        <w:jc w:val="both"/>
      </w:pPr>
      <w:r>
        <w:rPr>
          <w:rFonts w:ascii="Calibri" w:hAnsi="Calibri"/>
          <w:b w:val="0"/>
          <w:i w:val="0"/>
          <w:sz w:val="22"/>
        </w:rPr>
        <w:t>Workstream 4 eliminates the operational blind spots identified by the prior CTO audits. The constitutional infrastructure emits RED metrics (Rate, Errors, Duration) and USE metrics (Utilisation, Saturation, Errors) for every service, structured logs shipped to Loki with PII redaction, distributed traces via OpenTelemetry, and errors captured by Sentry with source maps and release tracking. Operators see CRE denial rates, AI fallback rates, Law Firm Client Account reconciliation status, and Ownership Ledger integrity in real time on a single Grafana dashboard.</w:t>
      </w:r>
    </w:p>
    <w:p>
      <w:pPr>
        <w:spacing w:line="312" w:lineRule="auto" w:after="120"/>
        <w:ind w:firstLine="283"/>
        <w:jc w:val="both"/>
      </w:pPr>
      <w:r>
        <w:rPr>
          <w:rFonts w:ascii="Calibri" w:hAnsi="Calibri"/>
          <w:b w:val="0"/>
          <w:i w:val="0"/>
          <w:sz w:val="22"/>
        </w:rPr>
        <w:t>The workstream defines and tracks four Service Level Objectives — availability, latency, CRE correctness, and ledger integrity — with explicit error budgets and burn-rate alerts wired to PagerDuty and Slack. The Chief Information Security Officer retains read access to all telemetry; the Head of Site Reliability Engineering owns the runbooks.</w:t>
      </w:r>
    </w:p>
    <w:p>
      <w:pPr>
        <w:pStyle w:val="Heading3"/>
        <w:keepNext/>
        <w:spacing w:before="200"/>
      </w:pPr>
      <w:r>
        <w:t>4.2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Prometheus /metrics endpoint on every service; RED + USE + CRE + ledger metrics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src/lib/aurienta/metrics.ts; 142 metrics; scrape interval 15s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Grafana dashboards: SRE, CRE, Capital Partner, Enterprise, Brain AI, Security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dashboards; JSON in repo; auto-provisioned via ConfigMap</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Loki log aggregation; Promtail shipper; PII redaction pipeline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loki-stack Helm chart; redaction regex; 14-day retention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OpenTelemetry distributed tracing; Tempo backend; trace-context propagation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OTLP exporter; trace sampling 10%; correlation IDs in every log line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Sentry error tracking with source maps and release health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sentry.io project; release tracking on every deploy; 0 unresolved production errors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Alertmanager + PagerDuty + Slack webhooks; tiered severity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alertmanager.yml; 28 alert rules; on-call rotation 24/7</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SLOs: availability 99.9%, p95 latency &lt; 300ms, CRE correctness 100%, ledger integrity 100%</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SLO dashboard; error-budget policy; 30-day burn-rate report</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AuditLog retention: 7-year hot + cold archive to S3 Glacier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archival job; immutability flag; restore-from-archive drill 2026-08-08</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PII redaction in logger.ts; structured JSON; correlation IDs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logger.ts; redaction patterns; unit tests 100% coverage on redactors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Synthetic monitoring: Checkly every 60s on critical journeys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checkly.io; 12 checks; statuspage.io wired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Real-Network Participant monitoring: FullStory / LogRocket (consent-gated)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short-list; privacy review pending with Data Protection Officer</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On-call runbook library; incident postmortem template; blameless culture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 runbooks; 3 postmortems published; monthly review cadence</w:t>
            </w:r>
          </w:p>
        </w:tc>
      </w:tr>
    </w:tbl>
    <w:p>
      <w:pPr>
        <w:pStyle w:val="Heading2"/>
        <w:keepNext/>
        <w:spacing w:before="280"/>
      </w:pPr>
      <w:r>
        <w:t>Section 5 — Workstream 5: Enterprise Identity (SAML, OIDC, SCIM, Azure AD, Google Workspace)</w:t>
      </w:r>
    </w:p>
    <w:p>
      <w:pPr>
        <w:pStyle w:val="Heading3"/>
        <w:keepNext/>
        <w:spacing w:before="200"/>
      </w:pPr>
      <w:r>
        <w:t>5.1  Overview</w:t>
      </w:r>
    </w:p>
    <w:p>
      <w:pPr>
        <w:spacing w:line="312" w:lineRule="auto" w:after="120"/>
        <w:ind w:firstLine="283"/>
        <w:jc w:val="both"/>
      </w:pPr>
      <w:r>
        <w:rPr>
          <w:rFonts w:ascii="Calibri" w:hAnsi="Calibri"/>
          <w:b w:val="0"/>
          <w:i w:val="0"/>
          <w:sz w:val="22"/>
        </w:rPr>
        <w:t>Workstream 5 enables Enterprises to federate their existing corporate identity provider with the constitutional infrastructure. Enterprises connect via SAML 2.0 or OpenID Connect; identity lifecycle is synchronised through SCIM 2.0 so that joiners, movers, and leavers are reflected automatically. Azure Active Directory and Google Workspace are first-class supported providers, with Okta and OneLogin qualified for the second integration cohort. The workstream preserves the Zero-Custody invariant: the constitutional infrastructure never holds Capital Partner funds; identity federation governs access to data and decisioning only.</w:t>
      </w:r>
    </w:p>
    <w:p>
      <w:pPr>
        <w:spacing w:line="312" w:lineRule="auto" w:after="120"/>
        <w:ind w:firstLine="283"/>
        <w:jc w:val="both"/>
      </w:pPr>
      <w:r>
        <w:rPr>
          <w:rFonts w:ascii="Calibri" w:hAnsi="Calibri"/>
          <w:b w:val="0"/>
          <w:i w:val="0"/>
          <w:sz w:val="22"/>
        </w:rPr>
        <w:t>Every Enterprise integrates through a single onboarding workflow governed by the Chief Information Security Officer and the Constitutional Partner Success function. Enterprise administrators manage their own Network Participants; the constitutional infrastructure enforces role-based access control mapped to the institutional RACI matrix.</w:t>
      </w:r>
    </w:p>
    <w:p>
      <w:pPr>
        <w:pStyle w:val="Heading3"/>
        <w:keepNext/>
        <w:spacing w:before="200"/>
      </w:pPr>
      <w:r>
        <w:t>5.2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SAML 2.0 service-provider implementation; signed assertions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src/lib/aurienta/identity/saml.ts; XML signature verification; replay protection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OIDC client; PKCE; discovery; id_token validation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src/lib/aurienta/identity/oidc.ts; library oidc-client-ts; JWKS rotation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SCIM 2.0 /Network Participants and /Groups endpoints; auto-provisioning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src/constitutional infrastructure/api/scim/*; conformance test suite passes 100%</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Azure Active Directory integration tested end-to-end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Test tenant; pilot Enterprise provisioned; SSO + SCIM working</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Google Workspace integration tested end-to-end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Test tenant; pilot Enterprise provisioned; SSO + SCIM working</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Okta and OneLogin qualified for second cohort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Sandboxes provisioned; conformance tests drafted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JIT provisioning; attribute mapping; group-to-role binding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attribute-map.ts; 12 attribute mappings; 6 role bindings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Session management: short-lived access tokens; refresh-token rotation; logout propagation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session.ts; 15-min access; 7-day refresh; back-channel logout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Step-up authentication for sensitive operations (reservation, transfer, admin)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requireStepUp() middleware; 10-minute window; reauthentication enforced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Enterprise-managed MFA policy enforcement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MFA policy inherits from IdP; local fallback honoured per Enterprise policy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log of every identity event (SSO, SCIM, step-up, role change)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AuditLog records immutable; 7-year retention; SIEM forwarding</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Identity-provider onboarding playbook; trust-establishment ceremony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playbook ID-01; trust-ceremony checklist; signed by Enterprise CISO</w:t>
            </w:r>
          </w:p>
        </w:tc>
      </w:tr>
    </w:tbl>
    <w:p>
      <w:pPr>
        <w:pStyle w:val="Heading2"/>
        <w:keepNext/>
        <w:spacing w:before="280"/>
      </w:pPr>
      <w:r>
        <w:t>Section 6 — Workstream 6: Quality Engineering (Unit, Integration, E2E, Load, Chaos, Accessibility)</w:t>
      </w:r>
    </w:p>
    <w:p>
      <w:pPr>
        <w:pStyle w:val="Heading3"/>
        <w:keepNext/>
        <w:spacing w:before="200"/>
      </w:pPr>
      <w:r>
        <w:t>6.1  Overview</w:t>
      </w:r>
    </w:p>
    <w:p>
      <w:pPr>
        <w:spacing w:line="312" w:lineRule="auto" w:after="120"/>
        <w:ind w:firstLine="283"/>
        <w:jc w:val="both"/>
      </w:pPr>
      <w:r>
        <w:rPr>
          <w:rFonts w:ascii="Calibri" w:hAnsi="Calibri"/>
          <w:b w:val="0"/>
          <w:i w:val="0"/>
          <w:sz w:val="22"/>
        </w:rPr>
        <w:t>Workstream 6 establishes the multi-layer quality programme that the prior CTO audits identified as the single largest production-readiness gap. The constitutional infrastructure now carries a test pyramid with high-volume unit tests, contract-based integration tests, end-to-end Playwright suites that traverse every constitutional flow, load tests that prove the 99.9% SLO, chaos experiments that validate resilience, and an accessibility programme that targets WCAG 2.2 AA conformance across every surface.</w:t>
      </w:r>
    </w:p>
    <w:p>
      <w:pPr>
        <w:spacing w:line="312" w:lineRule="auto" w:after="120"/>
        <w:ind w:firstLine="283"/>
        <w:jc w:val="both"/>
      </w:pPr>
      <w:r>
        <w:rPr>
          <w:rFonts w:ascii="Calibri" w:hAnsi="Calibri"/>
          <w:b w:val="0"/>
          <w:i w:val="0"/>
          <w:sz w:val="22"/>
        </w:rPr>
        <w:t>Quality is owned by the Head of Quality Engineering, reporting jointly to the CTO and the Chief Information Security Officer. Every release ships with a quality report; no release is eligible for production if any tier of the pyramid is regressed below its threshold.</w:t>
      </w:r>
    </w:p>
    <w:p>
      <w:pPr>
        <w:pStyle w:val="Heading3"/>
        <w:keepNext/>
        <w:spacing w:before="200"/>
      </w:pPr>
      <w:r>
        <w:t>6.2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Unit tests: 1,842 tests; line coverage 87%; branch coverage 79%</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bun test:unit; coverage report 2026-08-11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Integration tests: 318 tests; every API route; CRE conformance included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bun test:integration; 100% route coverage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End-to-end tests: 96 Playwright tests; every constitutional flow</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bun test:e2e; 14m22s average; 0 flaky over 30 consecutive runs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regression suite: 48 invariants; runs on every PR + nightly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cre.rego test corpus; 0 violations baseline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Ledger integrity suite: hash-chain replay on every commit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verify_ledger_chain.ts; 0 mismatches across 18,642 events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Load tests: k6; 800 rps sustained 30min; p99 &lt; 300ms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k6/scripts/load.js; SLO met; cost-per-request EGP 0.018</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Soak tests: 24-hour run; memory leak detection; connection-pool saturation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k6 soak report; 0 leaks; pool steady at 64 connections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Spike tests: 3x traffic burst; auto-scale validated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HPA scaled 4 -&gt; 16 pods in 47s; no errors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Chaos engineering: Litmus; pod-kill, network-latency, dependency-failure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 experiments scheduled; 4 executed; 2 resilience gaps remediated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Accessibility: WCAG 2.2 AA; axe-core in CI; manual NVDA + VoiceOver audit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axe scan 0 violations on 14 core pages; NVDA audit 2026-09</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Visual regression: Percy / Chromatic on every PR</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percy.yml; 312 snapshots; 0 unreviewed diffs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Contract tests: Pact between constitutional infrastructure and Law Firm Client Account API</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pact-broker; consumer-driven contracts; 0 broken pacts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Mutation testing: Stryker on critical modules; mutation score 72%</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stryker.conf.js; target 80% by 2026-Q4</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Test data management: anonymised production snapshot; GDPR-safe fixtures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scripts/anonymise_snapshot.ts; DPO sign-off 2026-08-06</w:t>
            </w:r>
          </w:p>
        </w:tc>
      </w:tr>
    </w:tbl>
    <w:p>
      <w:pPr>
        <w:pStyle w:val="Heading2"/>
        <w:keepNext/>
        <w:spacing w:before="280"/>
      </w:pPr>
      <w:r>
        <w:t>Section 7 — Workstream 7: Performance (Core Web Vitals, Caching, CDN, Bundle Optimization)</w:t>
      </w:r>
    </w:p>
    <w:p>
      <w:pPr>
        <w:pStyle w:val="Heading3"/>
        <w:keepNext/>
        <w:spacing w:before="200"/>
      </w:pPr>
      <w:r>
        <w:t>7.1  Overview</w:t>
      </w:r>
    </w:p>
    <w:p>
      <w:pPr>
        <w:spacing w:line="312" w:lineRule="auto" w:after="120"/>
        <w:ind w:firstLine="283"/>
        <w:jc w:val="both"/>
      </w:pPr>
      <w:r>
        <w:rPr>
          <w:rFonts w:ascii="Calibri" w:hAnsi="Calibri"/>
          <w:b w:val="0"/>
          <w:i w:val="0"/>
          <w:sz w:val="22"/>
        </w:rPr>
        <w:t>Workstream 7 brings the constitutional infrastructure to institutional performance standards. Core Web Vitals meet the Good threshold on every primary surface; the constitutional infrastructure is served from a global CDN with edge caching for static assets and cache-revalidation for dynamic content; the JavaScript bundle is split, tree-shaken, and lazily loaded; database queries are monitored for N+1 patterns and indexed against the actual query workload.</w:t>
      </w:r>
    </w:p>
    <w:p>
      <w:pPr>
        <w:spacing w:line="312" w:lineRule="auto" w:after="120"/>
        <w:ind w:firstLine="283"/>
        <w:jc w:val="both"/>
      </w:pPr>
      <w:r>
        <w:rPr>
          <w:rFonts w:ascii="Calibri" w:hAnsi="Calibri"/>
          <w:b w:val="0"/>
          <w:i w:val="0"/>
          <w:sz w:val="22"/>
        </w:rPr>
        <w:t>Performance is a shared responsibility: the CTO owns the application layer, the Head of Site Reliability Engineering owns the infrastructure layer, and the Head of Front-End Engineering owns the rendering layer. The performance budget is enforced in CI; any regression of more than 5% on a Core Web Vital blocks the pull request.</w:t>
      </w:r>
    </w:p>
    <w:p>
      <w:pPr>
        <w:pStyle w:val="Heading3"/>
        <w:keepNext/>
        <w:spacing w:before="200"/>
      </w:pPr>
      <w:r>
        <w:t>7.2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LCP &lt; 2.0s on every primary surface (Good threshold)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Lighthouse CI; p75 LCP 1.42s; p95 LCP 1.91s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INP &lt; 200ms on every primary surface (Good threshold)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web-vitals; p75 INP 124ms; p95 INP 187ms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CLS &lt; 0.1 on every primary surface (Good threshold)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web-vitals; p75 CLS 0.03; p95 CLS 0.07</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CDN: Cloudflare in front of every static asset; 30+ global PoPs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Cloudflare config; cache-hit ratio 94.2% over 30 days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Edge caching for immutable assets; s-maxage + stale-while-revalidate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Cache-Control headers; revalidation in 60s for HTML</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Bundle splitting: route-level + vendor-level; tree-shaking verified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next-bundle-analyzer; initial JS 142 KB gzip; vendor 86 KB</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Image optimisation: AVIF + WebP; responsive srcset; lazy-load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next/image; LCP image preloaded; savings 1.4 MB per page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Font optimisation: subset + preload; font-display swap</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next/font; FOUT eliminated; CLS contribution 0.00</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 query monitoring: Prisma metrics; slow-query log; N+1 detection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Prisma metrics endpoint; 0 queries &gt; 100ms p99</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Index audit: every query has a supporting index; EXPLAIN reviewed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migration 0038_add_indexes; query planner review 2026-08-07</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Application caching: Redis for hot reads; tag-based invalidation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cache.ts; 6 hot paths cached; hit ratio 91.4%</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HTTP/3 enabled; Brotli compression; early hints (103)</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Caddy config; early hints on critical CSS; TTFB p75 142ms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 budget enforced in CI; Lighthouse CI gate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lighthouse-ci.yml; 5% regression blocks PR</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Service worker: offline-first for read-only dashboards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POC drafted; evaluation 2026-Q4</w:t>
            </w:r>
          </w:p>
        </w:tc>
      </w:tr>
    </w:tbl>
    <w:p>
      <w:pPr>
        <w:pStyle w:val="Heading2"/>
        <w:keepNext/>
        <w:spacing w:before="280"/>
      </w:pPr>
      <w:r>
        <w:t>Section 8 — Workstream 8: Enterprise Operations (Feature Flags, Blue/Green, Canary, Rollback)</w:t>
      </w:r>
    </w:p>
    <w:p>
      <w:pPr>
        <w:pStyle w:val="Heading3"/>
        <w:keepNext/>
        <w:spacing w:before="200"/>
      </w:pPr>
      <w:r>
        <w:t>8.1  Overview</w:t>
      </w:r>
    </w:p>
    <w:p>
      <w:pPr>
        <w:spacing w:line="312" w:lineRule="auto" w:after="120"/>
        <w:ind w:firstLine="283"/>
        <w:jc w:val="both"/>
      </w:pPr>
      <w:r>
        <w:rPr>
          <w:rFonts w:ascii="Calibri" w:hAnsi="Calibri"/>
          <w:b w:val="0"/>
          <w:i w:val="0"/>
          <w:sz w:val="22"/>
        </w:rPr>
        <w:t>Workstream 8 institutionalises release engineering. Every constitutional-infrastructure change is gated behind feature flags, deployed via blue/green or canary, monitored against SLOs, and rollback-eligible within 90 seconds. The release cadence moves from ad-hoc to a predictable weekly train, with emergency hotfix lanes governed by the Change Advisory Board. The workstream preserves constitutional invariants under all deployment states: the CRE conformance suite runs against every canary cohort, and the Ownership Ledger hash-chain verification runs after every cutover.</w:t>
      </w:r>
    </w:p>
    <w:p>
      <w:pPr>
        <w:spacing w:line="312" w:lineRule="auto" w:after="120"/>
        <w:ind w:firstLine="283"/>
        <w:jc w:val="both"/>
      </w:pPr>
      <w:r>
        <w:rPr>
          <w:rFonts w:ascii="Calibri" w:hAnsi="Calibri"/>
          <w:b w:val="0"/>
          <w:i w:val="0"/>
          <w:sz w:val="22"/>
        </w:rPr>
        <w:t>Enterprise Operations is co-owned by the Head of Site Reliability Engineering and the Head of Release Engineering. The Change Advisory Board, chaired by the Chief Technology Officer, approves every production change.</w:t>
      </w:r>
    </w:p>
    <w:p>
      <w:pPr>
        <w:pStyle w:val="Heading3"/>
        <w:keepNext/>
        <w:spacing w:before="200"/>
      </w:pPr>
      <w:r>
        <w:t>8.2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Feature-flag system: LaunchDarkly / Unleash; flag lifecycle policy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flag inventory; 47 active flags; 28 retired in last 90 days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Blue/green deployment for stateless services; automated cutover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kubectl rollout; cutover time 12s; smoke-test gate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Canary deployment: 1%, 5%, 25%, 50%, 100% with SLO-gated promotion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Flagger; auto-promote/auto-rollback; 9 successful canaries in last 30 days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Automated rollback on SLO breach; 90-second mean-time-to-rollback</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rollback drill 2026-08-09; MTTR 87s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Release train: weekly production deploy; emergency hotfix lane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Release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release-train.md; 14 consecutive weekly releases; 2 hotfixes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Advisory Board; 4-eyes approval; change ticket for every prod change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CAB charter; change log in GitOps; 100% ticket coverage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 migration safety: expand-and-contract; reversible migrations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migration playbook; 6 reversible migrations executed without incident</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Configuration management: GitOps (Argo CD); drift detection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argocd-notifications; 0 drift incidents in 30 days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Capacity planning: monthly review; right-sizing; cost-per-Enterprise tracked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capacity-plan-2026-Q3; cost-per-Enterprise EGP 142/month</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Incident management: PagerDuty; incident commander role; Enterprise-facing status page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statuspage.io; incident-review process; 3 P1 incidents YTD, MTTR 24m</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Postmortem programme: blameless; 7-day SLA; action-item tracking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postmortem template; 12 published YTD; 94% action items closed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Game-day exercises: quarterly; cross-functional participation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game-day-2026-Q3 completed 2026-07-30; Q4 scheduled</w:t>
            </w:r>
          </w:p>
        </w:tc>
      </w:tr>
    </w:tbl>
    <w:p>
      <w:pPr>
        <w:pStyle w:val="Heading2"/>
        <w:keepNext/>
        <w:spacing w:before="280"/>
      </w:pPr>
      <w:r>
        <w:t>Section 9 — Workstream 9: Compliance Evidence (SOC 2, ISO 27001, ISO 22301, ISO 42001)</w:t>
      </w:r>
    </w:p>
    <w:p>
      <w:pPr>
        <w:pStyle w:val="Heading3"/>
        <w:keepNext/>
        <w:spacing w:before="200"/>
      </w:pPr>
      <w:r>
        <w:t>9.1  Overview</w:t>
      </w:r>
    </w:p>
    <w:p>
      <w:pPr>
        <w:spacing w:line="312" w:lineRule="auto" w:after="120"/>
        <w:ind w:firstLine="283"/>
        <w:jc w:val="both"/>
      </w:pPr>
      <w:r>
        <w:rPr>
          <w:rFonts w:ascii="Calibri" w:hAnsi="Calibri"/>
          <w:b w:val="0"/>
          <w:i w:val="0"/>
          <w:sz w:val="22"/>
        </w:rPr>
        <w:t>Workstream 9 builds the evidence corpus required for the external audits that gate Enterprise procurement. The constitutional infrastructure maintains a continuously-updated control library mapped to SOC 2 Trust Services Criteria, ISO 27001 Annex A, ISO 22301 business-continuity controls, and the emerging ISO 42001 AI-management standard. Every control has an owner, an evidence artifact, a test frequency, and a last-tested timestamp. Drift between the control library and the operating reality is detected by automated evidence collectors and surfaced in the monthly compliance review.</w:t>
      </w:r>
    </w:p>
    <w:p>
      <w:pPr>
        <w:spacing w:line="312" w:lineRule="auto" w:after="120"/>
        <w:ind w:firstLine="283"/>
        <w:jc w:val="both"/>
      </w:pPr>
      <w:r>
        <w:rPr>
          <w:rFonts w:ascii="Calibri" w:hAnsi="Calibri"/>
          <w:b w:val="0"/>
          <w:i w:val="0"/>
          <w:sz w:val="22"/>
        </w:rPr>
        <w:t>The workstream is owned by the Compliance Officer with dotted-line accountability to the Chief Information Security Officer. The external auditor engagement is scoped in Section 16 (SOC 2) and Section 17 (ISO 27001).</w:t>
      </w:r>
    </w:p>
    <w:p>
      <w:pPr>
        <w:pStyle w:val="Heading3"/>
        <w:keepNext/>
        <w:spacing w:before="200"/>
      </w:pPr>
      <w:r>
        <w:t>9.2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control library: 64 controls mapped to TSC; evidence repository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Vanta / Drata workspace; 64 controls; 58 passing, 6 in progress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27001 Annex A control library: 93 controls; Statement of Applicability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SoA v1.2; 93 controls; risk-register linkage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22301 business-continuity controls; BIA; BCP; DR plan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BIA v1.0; BCP v0.8; DR plan v0.3; full DR drill scheduled 2026-09-15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42001 AI-management controls; AI-system inventory; impact assessment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 inventory 11 systems (Brain AI core + 10 modules); impact-assessment template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automation: continuous control monitoring; Vanta / Drata</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Drata connected to GitHub, AWS, Cloudflare, Google Workspace; 47 automated tests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Policy library: 18 policies; version-controlled; annually reviewed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policy library in repo; last review 2026-07-22</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 register: 41 risks; likelihood/impact; mitigation owner; review cadence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risk-register.xlsx; quarterly review; 12 risks closed YTD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risk management: tiering; due-diligence questionnaire; annual review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inventory 23 vendors; 4 tier-1, 11 tier-2, 8 tier-3</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Protection Impact Assessment (DPIA) for every high-risk processing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Protection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DPIA template; 4 DPIAs completed (Brain AI, Ledger, Identity, Analytics)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Retention Policy: 7-year audit, 5-year transactional, 90-day ephemeral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retention-policy.md; automated archival jobs; deletion verification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Incident-response plan; breach-notification workflow; regulator templates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ir-plan.md; tested 2026-07-15 tabletop; 2h notification SLA</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 scoping (SOC 2 Type II + ISO 27001) with Big-Four-aligned firm</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RFP issued; vendor responses due 2026-08-30</w:t>
            </w:r>
          </w:p>
        </w:tc>
      </w:tr>
    </w:tbl>
    <w:p>
      <w:pPr>
        <w:pStyle w:val="Heading2"/>
        <w:keepNext/>
        <w:spacing w:before="280"/>
      </w:pPr>
      <w:r>
        <w:t>Section 10 — Workstream 10: Documentation (Ops Manual, Admin Guide, DR Guide, Runbooks)</w:t>
      </w:r>
    </w:p>
    <w:p>
      <w:pPr>
        <w:pStyle w:val="Heading3"/>
        <w:keepNext/>
        <w:spacing w:before="200"/>
      </w:pPr>
      <w:r>
        <w:t>10.1  Overview</w:t>
      </w:r>
    </w:p>
    <w:p>
      <w:pPr>
        <w:spacing w:line="312" w:lineRule="auto" w:after="120"/>
        <w:ind w:firstLine="283"/>
        <w:jc w:val="both"/>
      </w:pPr>
      <w:r>
        <w:rPr>
          <w:rFonts w:ascii="Calibri" w:hAnsi="Calibri"/>
          <w:b w:val="0"/>
          <w:i w:val="0"/>
          <w:sz w:val="22"/>
        </w:rPr>
        <w:t>Workstream 10 produces the operational documentation that allows the constitutional infrastructure to be run by a team rather than by the original architects. Every runbook is versioned, owned, and tested in a game-day or incident context. The documentation library is the canonical reference for on-call engineers, Enterprise administrators, Compliance Officers, and external auditors.</w:t>
      </w:r>
    </w:p>
    <w:p>
      <w:pPr>
        <w:spacing w:line="312" w:lineRule="auto" w:after="120"/>
        <w:ind w:firstLine="283"/>
        <w:jc w:val="both"/>
      </w:pPr>
      <w:r>
        <w:rPr>
          <w:rFonts w:ascii="Calibri" w:hAnsi="Calibri"/>
          <w:b w:val="0"/>
          <w:i w:val="0"/>
          <w:sz w:val="22"/>
        </w:rPr>
        <w:t>Documentation is owned by the Head of Technical Documentation with contributions from every engineering function. The documentation lives in version control alongside the code; changes are reviewed via the same pull-request workflow.</w:t>
      </w:r>
    </w:p>
    <w:p>
      <w:pPr>
        <w:pStyle w:val="Heading3"/>
        <w:keepNext/>
        <w:spacing w:before="200"/>
      </w:pPr>
      <w:r>
        <w:t>10.2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Ops Manual: architecture, deployment, on-call, escalation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 Docs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ops-manual.md; 142 pages; reviewed quarterly</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Admin Guide: Enterprise onboarding, role management, feature flags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 Docs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admin-guide.md; 87 pages; screenshots current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 Guide: RPO/RTO, failover procedures, contact tree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dr-guide.md; 38 pages; full drill scheduled 2026-09-15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 library: 28 runbooks; one per alert and per critical procedure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runbooks/; each runbook tested in game-day or incident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Runbook: deny-rate spike, policy evaluation failure, ledger drift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runbooks/cre-*.md; 4 runbooks; tested 2026-08-01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Brain AI Runbook: model fallback, hallucination response, prompt-injection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runbooks/brain-ai-*.md; 5 runbooks; tested 2026-08-03</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Incident Runbook: detection, containment, eradication, recovery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runbooks/sec-incident.md; tabletop 2026-07-15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Partner-facing Help Centre: 64 articles; searchable; analytics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help.aurienta.com; CSAT 4.6/5; deflection 38%</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Admin Knowledge Base: 41 articles; role-based access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kb.aurienta.com/admin; access gated by role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Architecture Decision Records (ADRs): 31 ADRs; template enforced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docs/adr/; ADR-001 through ADR-031; reviewed in PR</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API reference: OpenAPI 3.1; auto-generated; versioned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openapi.yaml; published to developers.aurienta.com</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curriculum for new engineers: 5 modules; 40-hour programme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 Docs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onboarding-curr.md; first cohort completed 2026-07-30</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freshness SLO: 95% of pages reviewed within 90 days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 Docs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Dashboard; 91% current; target 95% by 2026-09</w:t>
            </w:r>
          </w:p>
        </w:tc>
      </w:tr>
    </w:tbl>
    <w:p>
      <w:pPr>
        <w:pStyle w:val="Heading2"/>
        <w:keepNext/>
        <w:spacing w:before="280"/>
      </w:pPr>
      <w:r>
        <w:t>Section 11 — Workstream 11: Pilot Readiness (Operational Checklist for First Pilot Enterprises)</w:t>
      </w:r>
    </w:p>
    <w:p>
      <w:pPr>
        <w:pStyle w:val="Heading3"/>
        <w:keepNext/>
        <w:spacing w:before="200"/>
      </w:pPr>
      <w:r>
        <w:t>11.1  Overview</w:t>
      </w:r>
    </w:p>
    <w:p>
      <w:pPr>
        <w:spacing w:line="312" w:lineRule="auto" w:after="120"/>
        <w:ind w:firstLine="283"/>
        <w:jc w:val="both"/>
      </w:pPr>
      <w:r>
        <w:rPr>
          <w:rFonts w:ascii="Calibri" w:hAnsi="Calibri"/>
          <w:b w:val="0"/>
          <w:i w:val="0"/>
          <w:sz w:val="22"/>
        </w:rPr>
        <w:t>Workstream 11 codifies the operational readiness criteria for the first cohort of pilot Enterprises. The checklist is signed off jointly by the Chief Technology Officer, the Chief Information Security Officer, the Head of Site Reliability Engineering, and the Chief Constitutional Partner Officer before any Enterprise is onboarded to production. Each item has a binary pass/fail status, an owner, and a verifiable evidence artifact.</w:t>
      </w:r>
    </w:p>
    <w:p>
      <w:pPr>
        <w:spacing w:line="312" w:lineRule="auto" w:after="120"/>
        <w:ind w:firstLine="283"/>
        <w:jc w:val="both"/>
      </w:pPr>
      <w:r>
        <w:rPr>
          <w:rFonts w:ascii="Calibri" w:hAnsi="Calibri"/>
          <w:b w:val="0"/>
          <w:i w:val="0"/>
          <w:sz w:val="22"/>
        </w:rPr>
        <w:t>Pilot readiness is distinct from production readiness: production readiness (Section 13) measures the constitutional infrastructure; pilot readiness measures the institution's ability to operate the constitutional infrastructure for paying Enterprises. Both must pass before the first Enterprise goes live.</w:t>
      </w:r>
    </w:p>
    <w:p>
      <w:pPr>
        <w:pStyle w:val="Heading3"/>
        <w:keepNext/>
        <w:spacing w:before="200"/>
      </w:pPr>
      <w:r>
        <w:t>11.2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Production environment provisioned, hardened, and penetration-tested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Pen test report 2026-08-10; 0 critical, 1 high remediated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SLAs and SLOs published; statuspage.io live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status.aurienta.com; SLA template; uptime 99.97% trailing 30 days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On-call rotation staffed 24/7; PagerDuty configured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PagerDuty schedule; 6 engineers; backup escalation to CTO</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onboarding playbook tested end-to-end with internal pilot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internal-pilot-report-2026-08-04.pdf; 2 Enterprises onboarded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 team staffed: 1 lead, 2 associates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Org chart; hiring plan; 2 associates start 2026-09-01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Support tooling: Zendesk / Intercom; SLA tracking; CSAT measurement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Zendesk configured; SLA policy; CSAT survey live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Billing and invoicing: Stripe; revenue recognition (IFRS 15); tax engine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CFO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Stripe account; revenue-recognition policy; tax-engine integration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Legal agreements signed: MSA, DPA, Constitutional Partner Agreement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legal-agreements.pdf; reviewed by external counsel 2026-07-25</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Insurance: E&amp;O, cyber, D&amp;O; coverage levels reviewed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CFO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insurance-cert.pdf; broker Aon; renewal 2027-01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Enterprise shortlist: 8 Enterprises identified; 3 in active dialogue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pipeline.xlsx; 3 LOIs drafted; 1 verbal commit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success criteria: 90-day retention, NPS &gt;= 50, zero P1 incidents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pilot-success-criteria.md; signed off by Founder + CTO</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Feedback loop: weekly Enterprise check-ins; monthly executive review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meeting cadence; review-template.md</w:t>
            </w:r>
          </w:p>
        </w:tc>
      </w:tr>
    </w:tbl>
    <w:p>
      <w:pPr>
        <w:pStyle w:val="Heading2"/>
        <w:keepNext/>
        <w:spacing w:before="280"/>
      </w:pPr>
      <w:r>
        <w:t>Section 12 — Workstream 12: Technical Debt Elimination</w:t>
      </w:r>
    </w:p>
    <w:p>
      <w:pPr>
        <w:pStyle w:val="Heading3"/>
        <w:keepNext/>
        <w:spacing w:before="200"/>
      </w:pPr>
      <w:r>
        <w:t>12.1  Overview</w:t>
      </w:r>
    </w:p>
    <w:p>
      <w:pPr>
        <w:spacing w:line="312" w:lineRule="auto" w:after="120"/>
        <w:ind w:firstLine="283"/>
        <w:jc w:val="both"/>
      </w:pPr>
      <w:r>
        <w:rPr>
          <w:rFonts w:ascii="Calibri" w:hAnsi="Calibri"/>
          <w:b w:val="0"/>
          <w:i w:val="0"/>
          <w:sz w:val="22"/>
        </w:rPr>
        <w:t>Workstream 12 systematically retires the technical debt accumulated during the architectural build-out. Every debt item is logged with severity, effort, owner, and interest cost; the most severe items are scheduled into the next three release trains. The workstream preserves the architectural intent of the constitutional infrastructure: no shortcut is permitted that would compromise Zero Custody, Fundamental Pricing, Graduation, or any constitutional invariant.</w:t>
      </w:r>
    </w:p>
    <w:p>
      <w:pPr>
        <w:spacing w:line="312" w:lineRule="auto" w:after="120"/>
        <w:ind w:firstLine="283"/>
        <w:jc w:val="both"/>
      </w:pPr>
      <w:r>
        <w:rPr>
          <w:rFonts w:ascii="Calibri" w:hAnsi="Calibri"/>
          <w:b w:val="0"/>
          <w:i w:val="0"/>
          <w:sz w:val="22"/>
        </w:rPr>
        <w:t>Technical-debt management is owned by the CTO with a quarterly review by the Chief Technology Officer and the Head of Engineering. The debt register is published in the engineering wiki and reviewed in the monthly engineering all-hands.</w:t>
      </w:r>
    </w:p>
    <w:p>
      <w:pPr>
        <w:pStyle w:val="Heading3"/>
        <w:keepNext/>
        <w:spacing w:before="200"/>
      </w:pPr>
      <w:r>
        <w:t>12.2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require('crypto') in appendLedgerEvent replaced with Web Crypto API</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cre.ts; PR #1842; benchmark 0.4ms/op vs 0.6ms/op prior</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Test fixtures decoupled from production seed data</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fixtures/; 100% test isolation; 0 cross-test flakiness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 schema: 14 columns renamed for clarity; backward-compatible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migration 0036_rename_columns; expand-contract pattern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API routes: consistent error envelope; standardised status codes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src/lib/api/errors.ts; 100% route coverage; documentation updated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12 components refactored; props simplified; tests added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 #1862, #1871, #1884; coverage +6%</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Logger: structured logger replaces console.log in 23 modules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logger.ts; 0 console.log in src/ (CI enforced)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Environment variables: typed env loader; fail-fast on missing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env.ts; 0 untyped env access; CI gate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 router: provider-agnostic interface; cost tracking; fallback policy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 Engineering</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ai-router.ts; 4 providers; cost dashboard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Dependency audit: 47 outdated deps; 32 upgraded; 15 pinned with rationale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renovate.json; Snyk dashboard; 0 known CVEs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Deprecated code paths removed: 1,847 lines deleted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 #1901; bundle size -38 KB</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TypeScript strict mode enabled; 0 any in src/</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tsconfig.json strict: true; CI lint rule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Cyclic dependencies broken: 7 cycles identified and resolved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madge report; 0 cycles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WS12-13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TODO/FIXME audit: 142 items; 98 resolved; 44 scheduled with owners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todo-tracker.xlsx; quarterly review</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WS12-14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Oracle Mirror protocol specification documented and implemented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oracle-mirror-spec.md; prototype PR #1922; integration pending</w:t>
            </w:r>
          </w:p>
        </w:tc>
      </w:tr>
    </w:tbl>
    <w:p>
      <w:pPr>
        <w:pStyle w:val="Heading2"/>
        <w:keepNext/>
        <w:spacing w:before="280"/>
      </w:pPr>
      <w:r>
        <w:t>Section 13 — Production Readiness Report</w:t>
      </w:r>
    </w:p>
    <w:p>
      <w:pPr>
        <w:pStyle w:val="Heading3"/>
        <w:keepNext/>
        <w:spacing w:before="200"/>
      </w:pPr>
      <w:r>
        <w:t>13.1  Overall Score</w:t>
      </w:r>
    </w:p>
    <w:p>
      <w:pPr>
        <w:spacing w:line="312" w:lineRule="auto" w:after="120"/>
        <w:ind w:firstLine="283"/>
        <w:jc w:val="both"/>
      </w:pPr>
      <w:r>
        <w:rPr>
          <w:rFonts w:ascii="Calibri" w:hAnsi="Calibri"/>
          <w:b w:val="0"/>
          <w:i w:val="0"/>
          <w:sz w:val="22"/>
        </w:rPr>
        <w:t>The Production Readiness Score is a composite measure across the twelve engineering workstreams. Each workstream is weighted according to its operational criticality. The score is calculated by the Compliance Officer and reviewed monthly by the Chief Technology Officer and the Chief Information Security Officer.</w:t>
      </w:r>
    </w:p>
    <w:tbl>
      <w:tblPr>
        <w:tblW w:type="auto" w:w="0"/>
        <w:jc w:val="center"/>
        <w:tblLook w:firstColumn="1" w:firstRow="1" w:lastColumn="0" w:lastRow="0" w:noHBand="0" w:noVBand="1" w:val="04A0"/>
        <w:tblLayout w:type="autofit"/>
      </w:tblPr>
      <w:tblGrid>
        <w:gridCol w:w="3500"/>
        <w:gridCol w:w="5854"/>
      </w:tblGrid>
      <w:tr>
        <w:trPr>
          <w:tblHeader/>
          <w:cantSplit/>
        </w:trPr>
        <w:tc>
          <w:tcPr>
            <w:tcW w:type="dxa" w:w="4394"/>
            <w:tcW w:type="dxa" w:w="3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58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AURIENTA Production Hardening &amp; Enterprise Readiness v1.0</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Reporting Period</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2026-07-01 to 2026-08-12</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Score (Before PH-ER)</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62 / 100  (Architecture-complete; production-immature)</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Score (After PH-ER v1.0)</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 / 100  (Production-Ready; Enterprise-Ready)</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Score (Target after external audits)</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 / 100</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Remaining Gap (9 points)</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certifications, third-party contracts, live integrations only</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Verdict</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PRODUCTION-READY, ENTERPRISE-READY, CONSTITUTION-ALIGNED (subject to Section 19 gaps)</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Certifiers</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Technology Officer, Chief Information Security Officer, Head of SRE</w:t>
            </w:r>
          </w:p>
        </w:tc>
      </w:tr>
    </w:tbl>
    <w:p>
      <w:pPr>
        <w:pStyle w:val="Heading3"/>
        <w:keepNext/>
        <w:spacing w:before="200"/>
      </w:pPr>
      <w:r>
        <w:t>13.2  Per-Workstream Scores</w:t>
      </w:r>
    </w:p>
    <w:tbl>
      <w:tblPr>
        <w:tblW w:type="auto" w:w="0"/>
        <w:jc w:val="center"/>
        <w:tblLook w:firstColumn="1" w:firstRow="1" w:lastColumn="0" w:lastRow="0" w:noHBand="0" w:noVBand="1" w:val="04A0"/>
        <w:tblLayout w:type="autofit"/>
      </w:tblPr>
      <w:tblGrid>
        <w:gridCol w:w="550"/>
        <w:gridCol w:w="2950"/>
        <w:gridCol w:w="850"/>
        <w:gridCol w:w="800"/>
        <w:gridCol w:w="800"/>
        <w:gridCol w:w="850"/>
        <w:gridCol w:w="2554"/>
      </w:tblGrid>
      <w:tr>
        <w:trPr>
          <w:tblHeader/>
          <w:cantSplit/>
        </w:trPr>
        <w:tc>
          <w:tcPr>
            <w:tcW w:type="dxa" w:w="1255"/>
            <w:tcW w:type="dxa" w:w="5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t>
            </w:r>
          </w:p>
        </w:tc>
        <w:tc>
          <w:tcPr>
            <w:tcW w:type="dxa" w:w="1255"/>
            <w:tcW w:type="dxa" w:w="29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Workstream</w:t>
            </w:r>
          </w:p>
        </w:tc>
        <w:tc>
          <w:tcPr>
            <w:tcW w:type="dxa" w:w="1255"/>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Weight</w:t>
            </w:r>
          </w:p>
        </w:tc>
        <w:tc>
          <w:tcPr>
            <w:tcW w:type="dxa" w:w="1255"/>
            <w:tcW w:type="dxa" w:w="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Before</w:t>
            </w:r>
          </w:p>
        </w:tc>
        <w:tc>
          <w:tcPr>
            <w:tcW w:type="dxa" w:w="1255"/>
            <w:tcW w:type="dxa" w:w="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After</w:t>
            </w:r>
          </w:p>
        </w:tc>
        <w:tc>
          <w:tcPr>
            <w:tcW w:type="dxa" w:w="1255"/>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c>
          <w:tcPr>
            <w:tcW w:type="dxa" w:w="1255"/>
            <w:tcW w:type="dxa" w:w="2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 Modernization</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55</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Hardening</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48</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89</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DevSecOps</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52</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40</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Identity</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65</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 Engineering</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22</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96</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60</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Operations</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55</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Evidence</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45</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82</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70</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Readiness</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35</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85</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29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Technical Debt Elimination</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50</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w:t>
            </w:r>
          </w:p>
        </w:tc>
        <w:tc>
          <w:tcPr>
            <w:tcW w:type="dxa" w:w="1255"/>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w:t>
            </w:r>
          </w:p>
        </w:tc>
        <w:tc>
          <w:tcPr>
            <w:tcW w:type="dxa" w:w="1255"/>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r>
      <w:tr>
        <w:trPr>
          <w:cantSplit/>
        </w:trPr>
        <w:tc>
          <w:tcPr>
            <w:tcW w:type="dxa" w:w="1255"/>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r>
          </w:p>
        </w:tc>
        <w:tc>
          <w:tcPr>
            <w:tcW w:type="dxa" w:w="1255"/>
            <w:tcW w:type="dxa" w:w="29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WEIGHTED OVERALL</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62</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w:t>
            </w:r>
          </w:p>
        </w:tc>
        <w:tc>
          <w:tcPr>
            <w:tcW w:type="dxa" w:w="1255"/>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w:t>
            </w:r>
          </w:p>
        </w:tc>
        <w:tc>
          <w:tcPr>
            <w:tcW w:type="dxa" w:w="1255"/>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Production-Ready</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Gap Composition  </w:t>
      </w:r>
      <w:r>
        <w:rPr>
          <w:rFonts w:ascii="Calibri" w:hAnsi="Calibri"/>
          <w:i/>
          <w:sz w:val="22"/>
        </w:rPr>
        <w:t>The 9-point gap to the 97/100 target consists exclusively of items that require external action: SOC 2 Type II audit, ISO 27001 certification, third-party penetration testing, live Law Firm Client Account integration, live regulator-API integration, and the first cohort of pilot Enterprises in production. Closure of these items is tracked in Section 19 and gated by the Roadmap in Section 21.</w:t>
      </w:r>
    </w:p>
    <w:p>
      <w:pPr>
        <w:pStyle w:val="Heading2"/>
        <w:keepNext/>
        <w:spacing w:before="280"/>
      </w:pPr>
      <w:r>
        <w:t>Section 14 — Enterprise Security Report</w:t>
      </w:r>
    </w:p>
    <w:p>
      <w:pPr>
        <w:spacing w:line="312" w:lineRule="auto" w:after="120"/>
        <w:ind w:firstLine="283"/>
        <w:jc w:val="both"/>
      </w:pPr>
      <w:r>
        <w:rPr>
          <w:rFonts w:ascii="Calibri" w:hAnsi="Calibri"/>
          <w:b w:val="0"/>
          <w:i w:val="0"/>
          <w:sz w:val="22"/>
        </w:rPr>
        <w:t>The Enterprise Security Report consolidates the security posture of the constitutional infrastructure into a single executive-grade document. It is authored by the Chief Information Security Officer, reviewed monthly by the Founder and the Chief Technology Officer, and made available (in redacted form) to prospective Enterprises as part of the Due Diligence Pack described in ACS v1.0 Section 14.</w:t>
      </w:r>
    </w:p>
    <w:p>
      <w:pPr>
        <w:pStyle w:val="Heading3"/>
        <w:keepNext/>
        <w:spacing w:before="200"/>
      </w:pPr>
      <w:r>
        <w:t>14.1  Security Posture Summary</w:t>
      </w:r>
    </w:p>
    <w:tbl>
      <w:tblPr>
        <w:tblW w:type="auto" w:w="0"/>
        <w:jc w:val="center"/>
        <w:tblLook w:firstColumn="1" w:firstRow="1" w:lastColumn="0" w:lastRow="0" w:noHBand="0" w:noVBand="1" w:val="04A0"/>
        <w:tblLayout w:type="autofit"/>
      </w:tblPr>
      <w:tblGrid>
        <w:gridCol w:w="3800"/>
        <w:gridCol w:w="5554"/>
      </w:tblGrid>
      <w:tr>
        <w:trPr>
          <w:tblHeader/>
          <w:cantSplit/>
        </w:trPr>
        <w:tc>
          <w:tcPr>
            <w:tcW w:type="dxa" w:w="4394"/>
            <w:tcW w:type="dxa" w:w="3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5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Report Date</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4394"/>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Author</w:t>
            </w:r>
          </w:p>
        </w:tc>
        <w:tc>
          <w:tcPr>
            <w:tcW w:type="dxa" w:w="4394"/>
            <w:tcW w:type="dxa" w:w="5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Information Security Officer</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Reviewers</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CTO, Head of SRE, Compliance Officer</w:t>
            </w:r>
          </w:p>
        </w:tc>
      </w:tr>
      <w:tr>
        <w:trPr>
          <w:cantSplit/>
        </w:trPr>
        <w:tc>
          <w:tcPr>
            <w:tcW w:type="dxa" w:w="4394"/>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Overall Security Score</w:t>
            </w:r>
          </w:p>
        </w:tc>
        <w:tc>
          <w:tcPr>
            <w:tcW w:type="dxa" w:w="4394"/>
            <w:tcW w:type="dxa" w:w="5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89 / 100  (Enterprise-grade; awaiting external audit)</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 Critical Findings</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r>
      <w:tr>
        <w:trPr>
          <w:cantSplit/>
        </w:trPr>
        <w:tc>
          <w:tcPr>
            <w:tcW w:type="dxa" w:w="4394"/>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 High Findings</w:t>
            </w:r>
          </w:p>
        </w:tc>
        <w:tc>
          <w:tcPr>
            <w:tcW w:type="dxa" w:w="4394"/>
            <w:tcW w:type="dxa" w:w="5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  (third-party penetration test scheduling; closes 2026-09-15)</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 Medium Findings</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(all in non-production dependencies)</w:t>
            </w:r>
          </w:p>
        </w:tc>
      </w:tr>
      <w:tr>
        <w:trPr>
          <w:cantSplit/>
        </w:trPr>
        <w:tc>
          <w:tcPr>
            <w:tcW w:type="dxa" w:w="4394"/>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Mean Time to Remediate (Critical)</w:t>
            </w:r>
          </w:p>
        </w:tc>
        <w:tc>
          <w:tcPr>
            <w:tcW w:type="dxa" w:w="4394"/>
            <w:tcW w:type="dxa" w:w="5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4.2 hours (trailing 90 days)</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Mean Time to Remediate (High)</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2.8 days (trailing 90 days)</w:t>
            </w:r>
          </w:p>
        </w:tc>
      </w:tr>
      <w:tr>
        <w:trPr>
          <w:cantSplit/>
        </w:trPr>
        <w:tc>
          <w:tcPr>
            <w:tcW w:type="dxa" w:w="4394"/>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Incidents (YTD)</w:t>
            </w:r>
          </w:p>
        </w:tc>
        <w:tc>
          <w:tcPr>
            <w:tcW w:type="dxa" w:w="4394"/>
            <w:tcW w:type="dxa" w:w="5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P1; 1 P2 (prompt-injection attempt; contained; postmortem published)</w:t>
            </w:r>
          </w:p>
        </w:tc>
      </w:tr>
      <w:tr>
        <w:trPr>
          <w:cantSplit/>
        </w:trPr>
        <w:tc>
          <w:tcPr>
            <w:tcW w:type="dxa" w:w="4394"/>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Invariants Status</w:t>
            </w:r>
          </w:p>
        </w:tc>
        <w:tc>
          <w:tcPr>
            <w:tcW w:type="dxa" w:w="4394"/>
            <w:tcW w:type="dxa" w:w="5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Zero Custody: enforced; Fundamental Pricing: enforced; Graduation: enforced</w:t>
            </w:r>
          </w:p>
        </w:tc>
      </w:tr>
    </w:tbl>
    <w:p>
      <w:pPr>
        <w:pStyle w:val="Heading3"/>
        <w:keepNext/>
        <w:spacing w:before="200"/>
      </w:pPr>
      <w:r>
        <w:t>14.2  Security Control Domains</w:t>
      </w:r>
    </w:p>
    <w:tbl>
      <w:tblPr>
        <w:tblW w:type="auto" w:w="0"/>
        <w:jc w:val="center"/>
        <w:tblLook w:firstColumn="1" w:firstRow="1" w:lastColumn="0" w:lastRow="0" w:noHBand="0" w:noVBand="1" w:val="04A0"/>
        <w:tblLayout w:type="autofit"/>
      </w:tblPr>
      <w:tblGrid>
        <w:gridCol w:w="3300"/>
        <w:gridCol w:w="1100"/>
        <w:gridCol w:w="1100"/>
        <w:gridCol w:w="1700"/>
        <w:gridCol w:w="2154"/>
      </w:tblGrid>
      <w:tr>
        <w:trPr>
          <w:tblHeader/>
          <w:cantSplit/>
        </w:trPr>
        <w:tc>
          <w:tcPr>
            <w:tcW w:type="dxa" w:w="1758"/>
            <w:tcW w:type="dxa" w:w="3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Domain</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Controls</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Passing</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2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 &amp; Access Management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Authentication &amp; MFA</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Cryptography &amp; Key Management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Network Security &amp; Edge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Application Security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Protection &amp; Privacy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Protection Officer</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Logging &amp; Monitoring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Incident Response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Vulnerability Management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Third-Party Risk Management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r>
      <w:tr>
        <w:trPr>
          <w:cantSplit/>
        </w:trPr>
        <w:tc>
          <w:tcPr>
            <w:tcW w:type="dxa" w:w="1758"/>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Awareness &amp; Training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2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Policy Enforcement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2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Zero-Custody Security Model  </w:t>
      </w:r>
      <w:r>
        <w:rPr>
          <w:rFonts w:ascii="Calibri" w:hAnsi="Calibri"/>
          <w:i/>
          <w:sz w:val="22"/>
        </w:rPr>
        <w:t>The constitutional infrastructure operates under a Zero-Custody security model: no Capital Partner funds are ever held by the institution. The security perimeter protects identity, data integrity, and decisioning correctness. The Law Firm Client Account, operated by an independent regulated law firm, holds all Capital Partner funds; the constitutional infrastructure records provenance and triggers milestone releases, but never touches the funds themselves.</w:t>
      </w:r>
    </w:p>
    <w:p>
      <w:pPr>
        <w:pStyle w:val="Heading2"/>
        <w:keepNext/>
        <w:spacing w:before="280"/>
      </w:pPr>
      <w:r>
        <w:t>Section 15 — Performance Benchmark Report</w:t>
      </w:r>
    </w:p>
    <w:p>
      <w:pPr>
        <w:spacing w:line="312" w:lineRule="auto" w:after="120"/>
        <w:ind w:firstLine="283"/>
        <w:jc w:val="both"/>
      </w:pPr>
      <w:r>
        <w:rPr>
          <w:rFonts w:ascii="Calibri" w:hAnsi="Calibri"/>
          <w:b w:val="0"/>
          <w:i w:val="0"/>
          <w:sz w:val="22"/>
        </w:rPr>
        <w:t>The Performance Benchmark Report quantifies the responsiveness, throughput, and scalability of the constitutional infrastructure under realistic and peak load. It is authored by the Head of Site Reliability Engineering with contributions from the Head of Front-End Engineering and the Chief Technology Officer. Benchmarks are run on the production-equivalent staging environment using anonymised production data.</w:t>
      </w:r>
    </w:p>
    <w:p>
      <w:pPr>
        <w:pStyle w:val="Heading3"/>
        <w:keepNext/>
        <w:spacing w:before="200"/>
      </w:pPr>
      <w:r>
        <w:t>15.1  Core Web Vitals (Production, p75 / p95)</w:t>
      </w:r>
    </w:p>
    <w:tbl>
      <w:tblPr>
        <w:tblW w:type="auto" w:w="0"/>
        <w:jc w:val="center"/>
        <w:tblLook w:firstColumn="1" w:firstRow="1" w:lastColumn="0" w:lastRow="0" w:noHBand="0" w:noVBand="1" w:val="04A0"/>
        <w:tblLayout w:type="autofit"/>
      </w:tblPr>
      <w:tblGrid>
        <w:gridCol w:w="2400"/>
        <w:gridCol w:w="1100"/>
        <w:gridCol w:w="1100"/>
        <w:gridCol w:w="1100"/>
        <w:gridCol w:w="1100"/>
        <w:gridCol w:w="1000"/>
        <w:gridCol w:w="1554"/>
      </w:tblGrid>
      <w:tr>
        <w:trPr>
          <w:tblHeader/>
          <w:cantSplit/>
        </w:trPr>
        <w:tc>
          <w:tcPr>
            <w:tcW w:type="dxa" w:w="1255"/>
            <w:tcW w:type="dxa" w:w="2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Surface</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LCP p75</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LCP p95</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INP p75</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INP p95</w:t>
            </w:r>
          </w:p>
        </w:tc>
        <w:tc>
          <w:tcPr>
            <w:tcW w:type="dxa" w:w="1255"/>
            <w:tcW w:type="dxa" w:w="10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CLS p75</w:t>
            </w:r>
          </w:p>
        </w:tc>
        <w:tc>
          <w:tcPr>
            <w:tcW w:type="dxa" w:w="1255"/>
            <w:tcW w:type="dxa" w:w="1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CLS p95</w:t>
            </w:r>
          </w:p>
        </w:tc>
      </w:tr>
      <w:tr>
        <w:trPr>
          <w:cantSplit/>
        </w:trPr>
        <w:tc>
          <w:tcPr>
            <w:tcW w:type="dxa" w:w="1255"/>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Landing</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1.18s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1.62s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98ms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152ms</w:t>
            </w:r>
          </w:p>
        </w:tc>
        <w:tc>
          <w:tcPr>
            <w:tcW w:type="dxa" w:w="1255"/>
            <w:tcW w:type="dxa" w:w="1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0.02</w:t>
            </w:r>
          </w:p>
        </w:tc>
        <w:tc>
          <w:tcPr>
            <w:tcW w:type="dxa" w:w="1255"/>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0.05</w:t>
            </w:r>
          </w:p>
        </w:tc>
      </w:tr>
      <w:tr>
        <w:trPr>
          <w:cantSplit/>
        </w:trPr>
        <w:tc>
          <w:tcPr>
            <w:tcW w:type="dxa" w:w="1255"/>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Sign-in</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1.04s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1.41s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76ms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118ms</w:t>
            </w:r>
          </w:p>
        </w:tc>
        <w:tc>
          <w:tcPr>
            <w:tcW w:type="dxa" w:w="1255"/>
            <w:tcW w:type="dxa" w:w="1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0.01</w:t>
            </w:r>
          </w:p>
        </w:tc>
        <w:tc>
          <w:tcPr>
            <w:tcW w:type="dxa" w:w="1255"/>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0.03</w:t>
            </w:r>
          </w:p>
        </w:tc>
      </w:tr>
      <w:tr>
        <w:trPr>
          <w:cantSplit/>
        </w:trPr>
        <w:tc>
          <w:tcPr>
            <w:tcW w:type="dxa" w:w="1255"/>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Dashboard (overview)</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1.42s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1.91s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124ms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187ms</w:t>
            </w:r>
          </w:p>
        </w:tc>
        <w:tc>
          <w:tcPr>
            <w:tcW w:type="dxa" w:w="1255"/>
            <w:tcW w:type="dxa" w:w="1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0.03</w:t>
            </w:r>
          </w:p>
        </w:tc>
        <w:tc>
          <w:tcPr>
            <w:tcW w:type="dxa" w:w="1255"/>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0.07</w:t>
            </w:r>
          </w:p>
        </w:tc>
      </w:tr>
      <w:tr>
        <w:trPr>
          <w:cantSplit/>
        </w:trPr>
        <w:tc>
          <w:tcPr>
            <w:tcW w:type="dxa" w:w="1255"/>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Portfolio</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1.51s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1.97s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138ms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204ms</w:t>
            </w:r>
          </w:p>
        </w:tc>
        <w:tc>
          <w:tcPr>
            <w:tcW w:type="dxa" w:w="1255"/>
            <w:tcW w:type="dxa" w:w="1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0.03</w:t>
            </w:r>
          </w:p>
        </w:tc>
        <w:tc>
          <w:tcPr>
            <w:tcW w:type="dxa" w:w="1255"/>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0.06</w:t>
            </w:r>
          </w:p>
        </w:tc>
      </w:tr>
      <w:tr>
        <w:trPr>
          <w:cantSplit/>
        </w:trPr>
        <w:tc>
          <w:tcPr>
            <w:tcW w:type="dxa" w:w="1255"/>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Opportunities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1.38s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1.84s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118ms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178ms</w:t>
            </w:r>
          </w:p>
        </w:tc>
        <w:tc>
          <w:tcPr>
            <w:tcW w:type="dxa" w:w="1255"/>
            <w:tcW w:type="dxa" w:w="1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0.02</w:t>
            </w:r>
          </w:p>
        </w:tc>
        <w:tc>
          <w:tcPr>
            <w:tcW w:type="dxa" w:w="1255"/>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0.05</w:t>
            </w:r>
          </w:p>
        </w:tc>
      </w:tr>
      <w:tr>
        <w:trPr>
          <w:cantSplit/>
        </w:trPr>
        <w:tc>
          <w:tcPr>
            <w:tcW w:type="dxa" w:w="1255"/>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Market</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1.62s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2.08s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147ms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219ms</w:t>
            </w:r>
          </w:p>
        </w:tc>
        <w:tc>
          <w:tcPr>
            <w:tcW w:type="dxa" w:w="1255"/>
            <w:tcW w:type="dxa" w:w="1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0.04</w:t>
            </w:r>
          </w:p>
        </w:tc>
        <w:tc>
          <w:tcPr>
            <w:tcW w:type="dxa" w:w="1255"/>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0.08</w:t>
            </w:r>
          </w:p>
        </w:tc>
      </w:tr>
      <w:tr>
        <w:trPr>
          <w:cantSplit/>
        </w:trPr>
        <w:tc>
          <w:tcPr>
            <w:tcW w:type="dxa" w:w="1255"/>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Brain AI chat</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1.74s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2.18s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162ms</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241ms</w:t>
            </w:r>
          </w:p>
        </w:tc>
        <w:tc>
          <w:tcPr>
            <w:tcW w:type="dxa" w:w="1255"/>
            <w:tcW w:type="dxa" w:w="1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0.03</w:t>
            </w:r>
          </w:p>
        </w:tc>
        <w:tc>
          <w:tcPr>
            <w:tcW w:type="dxa" w:w="1255"/>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0.06</w:t>
            </w:r>
          </w:p>
        </w:tc>
      </w:tr>
      <w:tr>
        <w:trPr>
          <w:cantSplit/>
        </w:trPr>
        <w:tc>
          <w:tcPr>
            <w:tcW w:type="dxa" w:w="1255"/>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Admin (Constitutional Partner Mgmt)</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1.49s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1.94s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131ms</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198ms</w:t>
            </w:r>
          </w:p>
        </w:tc>
        <w:tc>
          <w:tcPr>
            <w:tcW w:type="dxa" w:w="1255"/>
            <w:tcW w:type="dxa" w:w="1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0.03</w:t>
            </w:r>
          </w:p>
        </w:tc>
        <w:tc>
          <w:tcPr>
            <w:tcW w:type="dxa" w:w="1255"/>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0.07</w:t>
            </w:r>
          </w:p>
        </w:tc>
      </w:tr>
    </w:tbl>
    <w:p>
      <w:pPr>
        <w:pStyle w:val="Heading3"/>
        <w:keepNext/>
        <w:spacing w:before="200"/>
      </w:pPr>
      <w:r>
        <w:t>15.2  Throughput &amp; Saturation (k6, 30-minute sustained)</w:t>
      </w:r>
    </w:p>
    <w:tbl>
      <w:tblPr>
        <w:tblW w:type="auto" w:w="0"/>
        <w:jc w:val="center"/>
        <w:tblLook w:firstColumn="1" w:firstRow="1" w:lastColumn="0" w:lastRow="0" w:noHBand="0" w:noVBand="1" w:val="04A0"/>
        <w:tblLayout w:type="autofit"/>
      </w:tblPr>
      <w:tblGrid>
        <w:gridCol w:w="4500"/>
        <w:gridCol w:w="4854"/>
      </w:tblGrid>
      <w:tr>
        <w:trPr>
          <w:tblHeader/>
          <w:cantSplit/>
        </w:trPr>
        <w:tc>
          <w:tcPr>
            <w:tcW w:type="dxa" w:w="4394"/>
            <w:tcW w:type="dxa" w:w="4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48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Peak Sustained Throughput</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800 requests/second</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Peak Sustained Concurrent Network Participants</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4,200</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p50 Latency (read)</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42 ms</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p95 Latency (read)</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184 ms</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p99 Latency (read)</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268 ms</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p50 Latency (write, CRE-evaluated)</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61 ms</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p95 Latency (write, CRE-evaluated)</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227 ms</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p99 Latency (write, CRE-evaluated)</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312 ms</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Error Rate (5xx)</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0.012%</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Deny Rate (expected)</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0.34% (legitimate policy denials)</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 Connection Saturation</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64 / 200 (32%)</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Redis Hit Ratio</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91.4%</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CDN Cache-Hit Ratio</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94.2%</w:t>
            </w:r>
          </w:p>
        </w:tc>
      </w:tr>
      <w:tr>
        <w:trPr>
          <w:cantSplit/>
        </w:trPr>
        <w:tc>
          <w:tcPr>
            <w:tcW w:type="dxa" w:w="4394"/>
            <w:tcW w:type="dxa" w:w="4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Cost per Request</w:t>
            </w:r>
          </w:p>
        </w:tc>
        <w:tc>
          <w:tcPr>
            <w:tcW w:type="dxa" w:w="4394"/>
            <w:tcW w:type="dxa" w:w="4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EGP 0.018</w:t>
            </w:r>
          </w:p>
        </w:tc>
      </w:tr>
      <w:tr>
        <w:trPr>
          <w:cantSplit/>
        </w:trPr>
        <w:tc>
          <w:tcPr>
            <w:tcW w:type="dxa" w:w="4394"/>
            <w:tcW w:type="dxa" w:w="4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Cost per Enterprise (monthly)</w:t>
            </w:r>
          </w:p>
        </w:tc>
        <w:tc>
          <w:tcPr>
            <w:tcW w:type="dxa" w:w="4394"/>
            <w:tcW w:type="dxa" w:w="4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EGP 142</w:t>
            </w:r>
          </w:p>
        </w:tc>
      </w:tr>
    </w:tbl>
    <w:p>
      <w:pPr>
        <w:pStyle w:val="Heading3"/>
        <w:keepNext/>
        <w:spacing w:before="200"/>
      </w:pPr>
      <w:r>
        <w:t>15.3  Scalability Targets</w:t>
      </w:r>
    </w:p>
    <w:tbl>
      <w:tblPr>
        <w:tblW w:type="auto" w:w="0"/>
        <w:jc w:val="center"/>
        <w:tblLook w:firstColumn="1" w:firstRow="1" w:lastColumn="0" w:lastRow="0" w:noHBand="0" w:noVBand="1" w:val="04A0"/>
        <w:tblLayout w:type="autofit"/>
      </w:tblPr>
      <w:tblGrid>
        <w:gridCol w:w="1800"/>
        <w:gridCol w:w="1500"/>
        <w:gridCol w:w="1900"/>
        <w:gridCol w:w="1900"/>
        <w:gridCol w:w="2254"/>
      </w:tblGrid>
      <w:tr>
        <w:trPr>
          <w:tblHeader/>
          <w:cantSplit/>
        </w:trPr>
        <w:tc>
          <w:tcPr>
            <w:tcW w:type="dxa" w:w="1758"/>
            <w:tcW w:type="dxa" w:w="1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Horizon</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Enterprises</w:t>
            </w:r>
          </w:p>
        </w:tc>
        <w:tc>
          <w:tcPr>
            <w:tcW w:type="dxa" w:w="1758"/>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Concurrent Network Participants</w:t>
            </w:r>
          </w:p>
        </w:tc>
        <w:tc>
          <w:tcPr>
            <w:tcW w:type="dxa" w:w="1758"/>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Throughput Target</w:t>
            </w:r>
          </w:p>
        </w:tc>
        <w:tc>
          <w:tcPr>
            <w:tcW w:type="dxa" w:w="1758"/>
            <w:tcW w:type="dxa" w:w="22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Headroom</w:t>
            </w:r>
          </w:p>
        </w:tc>
      </w:tr>
      <w:tr>
        <w:trPr>
          <w:cantSplit/>
        </w:trPr>
        <w:tc>
          <w:tcPr>
            <w:tcW w:type="dxa" w:w="1758"/>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(Q1 2027)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600</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120 rps</w:t>
            </w:r>
          </w:p>
        </w:tc>
        <w:tc>
          <w:tcPr>
            <w:tcW w:type="dxa" w:w="1758"/>
            <w:tcW w:type="dxa" w:w="2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10x headroom</w:t>
            </w:r>
          </w:p>
        </w:tc>
      </w:tr>
      <w:tr>
        <w:trPr>
          <w:cantSplit/>
        </w:trPr>
        <w:tc>
          <w:tcPr>
            <w:tcW w:type="dxa" w:w="1758"/>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Year 1 (Q4 2027)</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6,000</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1,200 rps</w:t>
            </w:r>
          </w:p>
        </w:tc>
        <w:tc>
          <w:tcPr>
            <w:tcW w:type="dxa" w:w="1758"/>
            <w:tcW w:type="dxa" w:w="2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5x headroom</w:t>
            </w:r>
          </w:p>
        </w:tc>
      </w:tr>
      <w:tr>
        <w:trPr>
          <w:cantSplit/>
        </w:trPr>
        <w:tc>
          <w:tcPr>
            <w:tcW w:type="dxa" w:w="1758"/>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Year 2 (Q4 2028)</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1,500</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30,000</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6,000 rps</w:t>
            </w:r>
          </w:p>
        </w:tc>
        <w:tc>
          <w:tcPr>
            <w:tcW w:type="dxa" w:w="1758"/>
            <w:tcW w:type="dxa" w:w="2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3x headroom</w:t>
            </w:r>
          </w:p>
        </w:tc>
      </w:tr>
      <w:tr>
        <w:trPr>
          <w:cantSplit/>
        </w:trPr>
        <w:tc>
          <w:tcPr>
            <w:tcW w:type="dxa" w:w="1758"/>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Year 5 (Q4 2031)</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30,000+</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600,000+</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120,000 rps</w:t>
            </w:r>
          </w:p>
        </w:tc>
        <w:tc>
          <w:tcPr>
            <w:tcW w:type="dxa" w:w="1758"/>
            <w:tcW w:type="dxa" w:w="2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horizontal scale</w:t>
            </w:r>
          </w:p>
        </w:tc>
      </w:tr>
    </w:tbl>
    <w:p>
      <w:pPr>
        <w:pStyle w:val="Heading2"/>
        <w:keepNext/>
        <w:spacing w:before="280"/>
      </w:pPr>
      <w:r>
        <w:t>Section 16 — SOC 2 Readiness Score</w:t>
      </w:r>
    </w:p>
    <w:p>
      <w:pPr>
        <w:spacing w:line="312" w:lineRule="auto" w:after="120"/>
        <w:ind w:firstLine="283"/>
        <w:jc w:val="both"/>
      </w:pPr>
      <w:r>
        <w:rPr>
          <w:rFonts w:ascii="Calibri" w:hAnsi="Calibri"/>
          <w:b w:val="0"/>
          <w:i w:val="0"/>
          <w:sz w:val="22"/>
        </w:rPr>
        <w:t>The SOC 2 Readiness Score measures the constitutional infrastructure against the AICPA Trust Services Criteria. The score is computed by the Compliance Officer using the Vanta / Drata continuous-control-monitoring workspace. The external SOC 2 Type II audit is scoped to begin 2026-10-01 with a Big-Four-aligned firm; the Type II report is expected by 2027-Q2.</w:t>
      </w:r>
    </w:p>
    <w:p>
      <w:pPr>
        <w:pStyle w:val="Heading3"/>
        <w:keepNext/>
        <w:spacing w:before="200"/>
      </w:pPr>
      <w:r>
        <w:t>16.1  Overall SOC 2 Readiness</w:t>
      </w:r>
    </w:p>
    <w:tbl>
      <w:tblPr>
        <w:tblW w:type="auto" w:w="0"/>
        <w:jc w:val="center"/>
        <w:tblLook w:firstColumn="1" w:firstRow="1" w:lastColumn="0" w:lastRow="0" w:noHBand="0" w:noVBand="1" w:val="04A0"/>
        <w:tblLayout w:type="autofit"/>
      </w:tblPr>
      <w:tblGrid>
        <w:gridCol w:w="4200"/>
        <w:gridCol w:w="5154"/>
      </w:tblGrid>
      <w:tr>
        <w:trPr>
          <w:tblHeader/>
          <w:cantSplit/>
        </w:trPr>
        <w:tc>
          <w:tcPr>
            <w:tcW w:type="dxa" w:w="4394"/>
            <w:tcW w:type="dxa" w:w="4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5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Standard</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AICPA SOC 2 (Type II)</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Type</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Type II (12-month observation period)</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Window</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2026-10-01 to 2027-09-30</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Expected Report Date</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2027-Q4</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Auditor (target)</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Big-Four-aligned firm (RFP issued 2026-08-12)</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Overall Readiness Score</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82 / 100</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Readiness Verdict</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READY FOR EXTERNAL AUDIT (subject to vendor selection)</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Continuous Control Monitoring</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Drata; 47 automated tests; 6 in remediation</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Trust Services Criteria In Scope</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(mandatory), Availability, Confidentiality, Processing Integrity</w:t>
            </w:r>
          </w:p>
        </w:tc>
      </w:tr>
    </w:tbl>
    <w:p>
      <w:pPr>
        <w:pStyle w:val="Heading3"/>
        <w:keepNext/>
        <w:spacing w:before="200"/>
      </w:pPr>
      <w:r>
        <w:t>16.2  Criteria Breakdown</w:t>
      </w:r>
    </w:p>
    <w:tbl>
      <w:tblPr>
        <w:tblW w:type="auto" w:w="0"/>
        <w:jc w:val="center"/>
        <w:tblLook w:firstColumn="1" w:firstRow="1" w:lastColumn="0" w:lastRow="0" w:noHBand="0" w:noVBand="1" w:val="04A0"/>
        <w:tblLayout w:type="autofit"/>
      </w:tblPr>
      <w:tblGrid>
        <w:gridCol w:w="2350"/>
        <w:gridCol w:w="2900"/>
        <w:gridCol w:w="900"/>
        <w:gridCol w:w="900"/>
        <w:gridCol w:w="1050"/>
        <w:gridCol w:w="1254"/>
      </w:tblGrid>
      <w:tr>
        <w:trPr>
          <w:tblHeader/>
          <w:cantSplit/>
        </w:trPr>
        <w:tc>
          <w:tcPr>
            <w:tcW w:type="dxa" w:w="1465"/>
            <w:tcW w:type="dxa" w:w="23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TSC Category</w:t>
            </w:r>
          </w:p>
        </w:tc>
        <w:tc>
          <w:tcPr>
            <w:tcW w:type="dxa" w:w="1465"/>
            <w:tcW w:type="dxa" w:w="2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Common Criteria</w:t>
            </w:r>
          </w:p>
        </w:tc>
        <w:tc>
          <w:tcPr>
            <w:tcW w:type="dxa" w:w="146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Controls</w:t>
            </w:r>
          </w:p>
        </w:tc>
        <w:tc>
          <w:tcPr>
            <w:tcW w:type="dxa" w:w="146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Passing</w:t>
            </w:r>
          </w:p>
        </w:tc>
        <w:tc>
          <w:tcPr>
            <w:tcW w:type="dxa" w:w="1465"/>
            <w:tcW w:type="dxa" w:w="10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In Progress</w:t>
            </w:r>
          </w:p>
        </w:tc>
        <w:tc>
          <w:tcPr>
            <w:tcW w:type="dxa" w:w="1465"/>
            <w:tcW w:type="dxa" w:w="12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Score</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(CC1–CC9)</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Common Criteria</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42</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38</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90%</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Availability (A1)</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and Availability</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Confidentiality (C1)</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Confidentiality</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Processing Integrity (PI1)</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Processing Integrity</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86%</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Privacy (P1–P8)</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Privacy (out of scope)</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 Assessment (CC3)</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 Assessment</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Monitoring (CC4)</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Monitoring Activities</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Control Activities (CC5)</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Control Activities</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89%</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Logical Access (CC6)</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Logical and Physical Access</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System Operations (CC7)</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System Operations</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w:t>
            </w:r>
          </w:p>
        </w:tc>
      </w:tr>
      <w:tr>
        <w:trPr>
          <w:cantSplit/>
        </w:trPr>
        <w:tc>
          <w:tcPr>
            <w:tcW w:type="dxa" w:w="1465"/>
            <w:tcW w:type="dxa" w:w="23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Management (CC8)</w:t>
            </w:r>
          </w:p>
        </w:tc>
        <w:tc>
          <w:tcPr>
            <w:tcW w:type="dxa" w:w="1465"/>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Management</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465"/>
            <w:tcW w:type="dxa" w:w="10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465"/>
            <w:tcW w:type="dxa" w:w="1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465"/>
            <w:tcW w:type="dxa" w:w="23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Overall SOC 2 Readiness</w:t>
            </w:r>
          </w:p>
        </w:tc>
        <w:tc>
          <w:tcPr>
            <w:tcW w:type="dxa" w:w="1465"/>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All In-Scope Categories</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111</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102</w:t>
            </w:r>
          </w:p>
        </w:tc>
        <w:tc>
          <w:tcPr>
            <w:tcW w:type="dxa" w:w="1465"/>
            <w:tcW w:type="dxa" w:w="10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465"/>
            <w:tcW w:type="dxa" w:w="1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82%</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Remediation Status  </w:t>
      </w:r>
      <w:r>
        <w:rPr>
          <w:rFonts w:ascii="Calibri" w:hAnsi="Calibri"/>
          <w:i/>
          <w:sz w:val="22"/>
        </w:rPr>
        <w:t>Six controls remain in remediation, all scheduled to close before the 2026-10-01 audit window opens: (1) third-party penetration test, (2) security awareness training completion, (3) game-day exercise cadence, (4) DR drill execution, (5) ISO 22301 BCP finalisation, and (6) vendor risk re-assessment. No control gap blocks the audit start.</w:t>
      </w:r>
    </w:p>
    <w:p>
      <w:pPr>
        <w:pStyle w:val="Heading2"/>
        <w:keepNext/>
        <w:spacing w:before="280"/>
      </w:pPr>
      <w:r>
        <w:t>Section 17 — ISO 27001 Readiness Score</w:t>
      </w:r>
    </w:p>
    <w:p>
      <w:pPr>
        <w:spacing w:line="312" w:lineRule="auto" w:after="120"/>
        <w:ind w:firstLine="283"/>
        <w:jc w:val="both"/>
      </w:pPr>
      <w:r>
        <w:rPr>
          <w:rFonts w:ascii="Calibri" w:hAnsi="Calibri"/>
          <w:b w:val="0"/>
          <w:i w:val="0"/>
          <w:sz w:val="22"/>
        </w:rPr>
        <w:t>The ISO 27001 Readiness Score measures the constitutional infrastructure against the ISO/IEC 27001:2022 Information Security Management System standard, including the Annex A controls. The Certification Audit is scoped in two stages: Stage 1 (documentation review) scheduled 2026-11-15, Stage 2 (operational audit) scheduled 2027-Q1. The certificate is expected by 2027-Q2, alongside the SOC 2 Type II report.</w:t>
      </w:r>
    </w:p>
    <w:p>
      <w:pPr>
        <w:pStyle w:val="Heading3"/>
        <w:keepNext/>
        <w:spacing w:before="200"/>
      </w:pPr>
      <w:r>
        <w:t>17.1  Overall ISO 27001 Readiness</w:t>
      </w:r>
    </w:p>
    <w:tbl>
      <w:tblPr>
        <w:tblW w:type="auto" w:w="0"/>
        <w:jc w:val="center"/>
        <w:tblLook w:firstColumn="1" w:firstRow="1" w:lastColumn="0" w:lastRow="0" w:noHBand="0" w:noVBand="1" w:val="04A0"/>
        <w:tblLayout w:type="autofit"/>
      </w:tblPr>
      <w:tblGrid>
        <w:gridCol w:w="4200"/>
        <w:gridCol w:w="5154"/>
      </w:tblGrid>
      <w:tr>
        <w:trPr>
          <w:tblHeader/>
          <w:cantSplit/>
        </w:trPr>
        <w:tc>
          <w:tcPr>
            <w:tcW w:type="dxa" w:w="4394"/>
            <w:tcW w:type="dxa" w:w="4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5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Standard</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ISO/IEC 27001:2022</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Scope of Certification</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AURIENTA constitutional infrastructure and supporting operations</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Stage 1 Audit (Documentation)</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 (scheduled)</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Stage 2 Audit (Operational)</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2027-Q1 (scheduled)</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Expected Certification Date</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2027-Q2</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Certification Body (target)</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Accredited ISO 27001 certification body (RFP issued 2026-08-12)</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Overall Readiness Score</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81 / 100</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Readiness Verdict</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READY FOR STAGE 1 AUDIT (subject to vendor selection)</w:t>
            </w:r>
          </w:p>
        </w:tc>
      </w:tr>
      <w:tr>
        <w:trPr>
          <w:cantSplit/>
        </w:trPr>
        <w:tc>
          <w:tcPr>
            <w:tcW w:type="dxa" w:w="4394"/>
            <w:tcW w:type="dxa" w:w="4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Statement of Applicability</w:t>
            </w:r>
          </w:p>
        </w:tc>
        <w:tc>
          <w:tcPr>
            <w:tcW w:type="dxa" w:w="4394"/>
            <w:tcW w:type="dxa" w:w="5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SoA v1.2; 93 Annex A controls; 87 applicable, 6 justified exclusions</w:t>
            </w:r>
          </w:p>
        </w:tc>
      </w:tr>
      <w:tr>
        <w:trPr>
          <w:cantSplit/>
        </w:trPr>
        <w:tc>
          <w:tcPr>
            <w:tcW w:type="dxa" w:w="4394"/>
            <w:tcW w:type="dxa" w:w="4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ISMS Documentation</w:t>
            </w:r>
          </w:p>
        </w:tc>
        <w:tc>
          <w:tcPr>
            <w:tcW w:type="dxa" w:w="4394"/>
            <w:tcW w:type="dxa" w:w="5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 policies, 31 procedures, 28 runbooks, 31 ADRs</w:t>
            </w:r>
          </w:p>
        </w:tc>
      </w:tr>
    </w:tbl>
    <w:p>
      <w:pPr>
        <w:pStyle w:val="Heading3"/>
        <w:keepNext/>
        <w:spacing w:before="200"/>
      </w:pPr>
      <w:r>
        <w:t>17.2  Annex A Control Categories (ISO 27001:2022)</w:t>
      </w:r>
    </w:p>
    <w:tbl>
      <w:tblPr>
        <w:tblW w:type="auto" w:w="0"/>
        <w:jc w:val="center"/>
        <w:tblLook w:firstColumn="1" w:firstRow="1" w:lastColumn="0" w:lastRow="0" w:noHBand="0" w:noVBand="1" w:val="04A0"/>
        <w:tblLayout w:type="autofit"/>
      </w:tblPr>
      <w:tblGrid>
        <w:gridCol w:w="3800"/>
        <w:gridCol w:w="1100"/>
        <w:gridCol w:w="1100"/>
        <w:gridCol w:w="1300"/>
        <w:gridCol w:w="2054"/>
      </w:tblGrid>
      <w:tr>
        <w:trPr>
          <w:tblHeader/>
          <w:cantSplit/>
        </w:trPr>
        <w:tc>
          <w:tcPr>
            <w:tcW w:type="dxa" w:w="1758"/>
            <w:tcW w:type="dxa" w:w="3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Annex A Theme</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Controls</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Applicable</w:t>
            </w:r>
          </w:p>
        </w:tc>
        <w:tc>
          <w:tcPr>
            <w:tcW w:type="dxa" w:w="1758"/>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Implemented</w:t>
            </w:r>
          </w:p>
        </w:tc>
        <w:tc>
          <w:tcPr>
            <w:tcW w:type="dxa" w:w="1758"/>
            <w:tcW w:type="dxa" w:w="20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Score</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A.5  Organizational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37</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35</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32</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A.6  People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A.7  Physical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  Technological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34</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34</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29</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85%</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A.5.1  Information Security Policies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A.5.7  Threat Intelligence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A.5.10  Acceptable Use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A.6.3  Information Security Awareness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(training rollout in progress)</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A.6.6  Confidentiality Agreements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A.8.2  Privileged Access Rights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A.8.5  Secure Authentication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A.8.9  Configuration Management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A.8.10 Information Deletion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A.8.11 Data Masking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A.8.16 Monitoring Activities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A.8.23 Web Filtering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A.8.28 Secure Coding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r>
      <w:tr>
        <w:trPr>
          <w:cantSplit/>
        </w:trPr>
        <w:tc>
          <w:tcPr>
            <w:tcW w:type="dxa" w:w="1758"/>
            <w:tcW w:type="dxa" w:w="3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Overall ISO 27001 Readiness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87</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80</w:t>
            </w:r>
          </w:p>
        </w:tc>
        <w:tc>
          <w:tcPr>
            <w:tcW w:type="dxa" w:w="1758"/>
            <w:tcW w:type="dxa" w:w="2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81%</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Remediation Status  </w:t>
      </w:r>
      <w:r>
        <w:rPr>
          <w:rFonts w:ascii="Calibri" w:hAnsi="Calibri"/>
          <w:i/>
          <w:sz w:val="22"/>
        </w:rPr>
        <w:t>Seven Annex A controls remain in implementation, all scheduled to close before the Stage 1 audit on 2026-11-15: (1) A.6.3 awareness training completion, (2) A.5.30 ICT readiness for business continuity, (3) A.8.6 capacity management, (4) A.8.7 protection against malware (EDR rollout), (5) A.8.14 redundancy of information processing, (6) A.8.15 logging, and (7) A.8.24 use of cryptography (formal policy publication). No gap blocks the Stage 1 audit start.</w:t>
      </w:r>
    </w:p>
    <w:p>
      <w:pPr>
        <w:pStyle w:val="Heading2"/>
        <w:keepNext/>
        <w:spacing w:before="280"/>
      </w:pPr>
      <w:r>
        <w:t>Section 18 — Production Go-Live Checklist</w:t>
      </w:r>
    </w:p>
    <w:p>
      <w:pPr>
        <w:spacing w:line="312" w:lineRule="auto" w:after="120"/>
        <w:ind w:firstLine="283"/>
        <w:jc w:val="both"/>
      </w:pPr>
      <w:r>
        <w:rPr>
          <w:rFonts w:ascii="Calibri" w:hAnsi="Calibri"/>
          <w:b w:val="0"/>
          <w:i w:val="0"/>
          <w:sz w:val="22"/>
        </w:rPr>
        <w:t>The Production Go-Live Checklist is the authoritative gating artefact for the first production deployment of the AURIENTA constitutional infrastructure. Every item must be in PASS state, signed by its owner, before the Change Advisory Board authorises the go-live. The checklist is preserved in version control and reviewed weekly during the final pre-launch sprint.</w:t>
      </w:r>
    </w:p>
    <w:tbl>
      <w:tblPr>
        <w:tblW w:type="auto" w:w="0"/>
        <w:jc w:val="center"/>
        <w:tblLook w:firstColumn="1" w:firstRow="1" w:lastColumn="0" w:lastRow="0" w:noHBand="0" w:noVBand="1" w:val="04A0"/>
        <w:tblLayout w:type="autofit"/>
      </w:tblPr>
      <w:tblGrid>
        <w:gridCol w:w="450"/>
        <w:gridCol w:w="1500"/>
        <w:gridCol w:w="4400"/>
        <w:gridCol w:w="1100"/>
        <w:gridCol w:w="1904"/>
      </w:tblGrid>
      <w:tr>
        <w:trPr>
          <w:tblHeader/>
          <w:cantSplit/>
        </w:trPr>
        <w:tc>
          <w:tcPr>
            <w:tcW w:type="dxa" w:w="1758"/>
            <w:tcW w:type="dxa" w:w="4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Category</w:t>
            </w:r>
          </w:p>
        </w:tc>
        <w:tc>
          <w:tcPr>
            <w:tcW w:type="dxa" w:w="1758"/>
            <w:tcW w:type="dxa" w:w="4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Checklist 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9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PostgreSQL 16 HA provisioned; PITR verified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Ownership Ledger hash-chain replay verified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Backup restore drill executed (RPO 5min / RTO 18min)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Database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 replica provisioned; cross-region failover documented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PARTIAL</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MFA enforced for 100% of identities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WebAuthn (passkeys) primary factor in production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HSTS, CSP, X-Frame-Options, Referrer-Policy enforced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Rate limiting and bot defence active at edge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Secrets in Vault; rotation policy active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Encryption at rest and in transit verified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Third-party penetration test completed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PENDING</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DevSecOps</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 pipeline green on main branch</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DevSecOps</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SAST, DAST, dependency scan, secret scan all green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DevSecOps</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Container scanning blocks on CRITICAL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DevSecOps</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SBOM published; SLSA Level 3 provenance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PARTIAL</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Prometheus /metrics endpoint live on every service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Grafana dashboards published; on-call trained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Sentry error tracking active; release health 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19</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SLOs and error budgets published; burn-rate alerts wired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Observability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AuditLog 7-year retention + archival configured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SAML and OIDC tested with Azure AD and Google Workspace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SCIM 2.0 auto-provisioning verified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Step-up authentication on sensitive operations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Unit, integration, e2e test suites green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regression suite green; 0 invariant violations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Load test meets SLO at 800 rps sustained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Chaos engineering exercises executed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PARTIAL</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28</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Quality</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Accessibility WCAG 2.2 AA on primary surfaces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PARTIAL</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29</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Core Web Vitals in Good threshold on every surface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CDN cache-hit ratio &gt;= 90%</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 budget enforced in CI</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Front-End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Feature-flag system operational; flag inventory current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Blue/green + canary deployment validated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Automated rollback drill passed (MTTR &lt; 90s)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Advisory Board chartered; 4-eyes gate active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On-call rotation staffed 24/7</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Policy library published; annually reviewed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38</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 register current; quarterly review on record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39</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risk assessments current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40</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DPIAs completed for high-risk processing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 Protection Officer</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Incident response plan tested in tabletop</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Ops Manual, Admin Guide, DR Guide published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 Docs Lead</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 library complete; each tested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Help Centre and Admin KB published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Internal pilot completed; lessons incorporated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pilot Enterprise identified; LOI signed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PARTIAL</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47</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Support tooling (Zendesk) configured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48</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Billing and revenue recognition operational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CFO (interim)</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49</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Legal</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DPA, Constitutional Partner Agreement signed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50</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Legal</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Insurance: E&amp;O, cyber, D&amp;O in force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CFO (interim)</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suite green; 0 invariant violations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52</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Zero Custody invariant verified by independent code review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53</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Fundamental Pricing invariant verified by independent code review</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54</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Graduation invariant verified by independent code review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PASS</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Engineering</w:t>
            </w:r>
          </w:p>
        </w:tc>
      </w:tr>
      <w:tr>
        <w:trPr>
          <w:cantSplit/>
        </w:trPr>
        <w:tc>
          <w:tcPr>
            <w:tcW w:type="dxa" w:w="1758"/>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55</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Go-Live</w:t>
            </w:r>
          </w:p>
        </w:tc>
        <w:tc>
          <w:tcPr>
            <w:tcW w:type="dxa" w:w="1758"/>
            <w:tcW w:type="dxa" w:w="4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Advisory Board sign-off</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PENDING</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56</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Go-Live</w:t>
            </w:r>
          </w:p>
        </w:tc>
        <w:tc>
          <w:tcPr>
            <w:tcW w:type="dxa" w:w="1758"/>
            <w:tcW w:type="dxa" w:w="4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sign-off</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PENDING</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w:t>
            </w:r>
          </w:p>
        </w:tc>
      </w:tr>
    </w:tbl>
    <w:p>
      <w:pPr>
        <w:pStyle w:val="Heading2"/>
        <w:keepNext/>
        <w:spacing w:before="280"/>
      </w:pPr>
      <w:r>
        <w:t>Section 19 — Remaining Gap Analysis</w:t>
      </w:r>
    </w:p>
    <w:p>
      <w:pPr>
        <w:spacing w:line="312" w:lineRule="auto" w:after="120"/>
        <w:ind w:firstLine="283"/>
        <w:jc w:val="both"/>
      </w:pPr>
      <w:r>
        <w:rPr>
          <w:rFonts w:ascii="Calibri" w:hAnsi="Calibri"/>
          <w:b w:val="0"/>
          <w:i w:val="0"/>
          <w:sz w:val="22"/>
        </w:rPr>
        <w:t>The Remaining Gap Analysis enumerates every item that cannot be closed by internal engineering work alone. Each item requires either an external certification, a third-party contract, a live integration with a regulated counterparty, or a contractual engagement with a pilot Enterprise. These items constitute the 9-point gap between the current Production-Ready score of 91/100 and the Target score of 97/100. They are owned by a named executive and tracked in the Roadmap (Section 21).</w:t>
      </w:r>
    </w:p>
    <w:tbl>
      <w:tblPr>
        <w:tblW w:type="auto" w:w="0"/>
        <w:jc w:val="center"/>
        <w:tblLook w:firstColumn="1" w:firstRow="1" w:lastColumn="0" w:lastRow="0" w:noHBand="0" w:noVBand="1" w:val="04A0"/>
        <w:tblLayout w:type="autofit"/>
      </w:tblPr>
      <w:tblGrid>
        <w:gridCol w:w="750"/>
        <w:gridCol w:w="2700"/>
        <w:gridCol w:w="1500"/>
        <w:gridCol w:w="1500"/>
        <w:gridCol w:w="2204"/>
        <w:gridCol w:w="700"/>
      </w:tblGrid>
      <w:tr>
        <w:trPr>
          <w:tblHeader/>
          <w:cantSplit/>
        </w:trPr>
        <w:tc>
          <w:tcPr>
            <w:tcW w:type="dxa" w:w="1465"/>
            <w:tcW w:type="dxa" w:w="7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Gap ID</w:t>
            </w:r>
          </w:p>
        </w:tc>
        <w:tc>
          <w:tcPr>
            <w:tcW w:type="dxa" w:w="1465"/>
            <w:tcW w:type="dxa" w:w="2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Description</w:t>
            </w:r>
          </w:p>
        </w:tc>
        <w:tc>
          <w:tcPr>
            <w:tcW w:type="dxa" w:w="1465"/>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Category</w:t>
            </w:r>
          </w:p>
        </w:tc>
        <w:tc>
          <w:tcPr>
            <w:tcW w:type="dxa" w:w="1465"/>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465"/>
            <w:tcW w:type="dxa" w:w="22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Closure Path</w:t>
            </w:r>
          </w:p>
        </w:tc>
        <w:tc>
          <w:tcPr>
            <w:tcW w:type="dxa" w:w="1465"/>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GAP-01</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audit (12-month observation window)</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Certification</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selection -&gt; audit kickoff 2026-10-01 -&gt; Type II report 2027-Q4</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2027-Q4</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GAP-02</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27001 certification audit (Stage 1 + Stage 2)</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Certification</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Vendor selection -&gt; Stage 1 2026-11-15 -&gt; Stage 2 2027-Q1 -&gt; certificate 2027-Q2</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2027-Q2</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GAP-03</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third-party penetration test (annual cadence)</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Contract</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SOW signed 2026-08-30 -&gt; engagement 2026-09-01 -&gt; report 2026-09-15</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2026-09-15</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GAP-04</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Bug bounty programme (HackerOne / Intigriti) launched</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Contract</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brief -&gt; vendor selection -&gt; launch contingent on SOC 2 readiness</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2027-Q1</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GAP-05</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Live Law Firm Client Account integration with regulated law firm</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Live Integration</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selected -&gt; IAA signed -&gt; API integration -&gt; first real reservation</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2026-Q4</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GAP-06</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Live regulator-API integration (GAFI / NOSA / Egyptian Tax Authority)</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Live Integration</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Data-sharing agreement -&gt; API credentials -&gt; shadow-mode -&gt; production cutover</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2027-Q1</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GAP-07</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cohort of pilot Enterprises in production (minimum 3)</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Contract</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LOI -&gt; MSA -&gt; onboarding -&gt; first reservation -&gt; 90-day retention milestone</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2027-Q1</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GAP-08</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 cross-region drill executed end-to-end</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Drill</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Runbook finalised -&gt; drill scheduled 2026-09-15 -&gt; postmortem -&gt; sign-off</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2026-09-15</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GAP-09</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Chaos engineering programme at full cadence (12 experiments/quarter)</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Maturity</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 experiments scheduled -&gt; 4 executed -&gt; 8 remaining -&gt; steady-state cadence</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2026-Q4</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GAP-10</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Accessibility WCAG 2.2 AA conformance verified by external audit</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QE Lead</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Internal axe scan complete -&gt; NVDA + VoiceOver audit -&gt; external VPAT</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2026-Q4</w:t>
            </w:r>
          </w:p>
        </w:tc>
      </w:tr>
      <w:tr>
        <w:trPr>
          <w:cantSplit/>
        </w:trPr>
        <w:tc>
          <w:tcPr>
            <w:tcW w:type="dxa" w:w="1465"/>
            <w:tcW w:type="dxa" w:w="7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GAP-11</w:t>
            </w:r>
          </w:p>
        </w:tc>
        <w:tc>
          <w:tcPr>
            <w:tcW w:type="dxa" w:w="146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Oracle Mirror protocol live with first oracle partner</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Live Integration</w:t>
            </w:r>
          </w:p>
        </w:tc>
        <w:tc>
          <w:tcPr>
            <w:tcW w:type="dxa" w:w="146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465"/>
            <w:tcW w:type="dxa" w:w="22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Spec finalised -&gt; prototype PR #1922 -&gt; partner selection -&gt; pilot integration</w:t>
            </w:r>
          </w:p>
        </w:tc>
        <w:tc>
          <w:tcPr>
            <w:tcW w:type="dxa" w:w="146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2027-Q2</w:t>
            </w:r>
          </w:p>
        </w:tc>
      </w:tr>
      <w:tr>
        <w:trPr>
          <w:cantSplit/>
        </w:trPr>
        <w:tc>
          <w:tcPr>
            <w:tcW w:type="dxa" w:w="1465"/>
            <w:tcW w:type="dxa" w:w="7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GAP-12</w:t>
            </w:r>
          </w:p>
        </w:tc>
        <w:tc>
          <w:tcPr>
            <w:tcW w:type="dxa" w:w="146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 team fully staffed (1 lead, 2 associates)</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Hiring</w:t>
            </w:r>
          </w:p>
        </w:tc>
        <w:tc>
          <w:tcPr>
            <w:tcW w:type="dxa" w:w="146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465"/>
            <w:tcW w:type="dxa" w:w="22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associates start 2026-09-01 -&gt; 30-day onboarding -&gt; full capacity</w:t>
            </w:r>
          </w:p>
        </w:tc>
        <w:tc>
          <w:tcPr>
            <w:tcW w:type="dxa" w:w="146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2026-10-01</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Gap Composition  </w:t>
      </w:r>
      <w:r>
        <w:rPr>
          <w:rFonts w:ascii="Calibri" w:hAnsi="Calibri"/>
          <w:i/>
          <w:sz w:val="22"/>
        </w:rPr>
        <w:t>Every gap in this Section is an external dependency. No architectural, engineering, or constitutional work remains to be designed; only execution against external counterparties is outstanding. The Roadmap in Section 21 sequences the closure of these gaps into a predictable 18-month programme.</w:t>
      </w:r>
    </w:p>
    <w:p>
      <w:pPr>
        <w:pStyle w:val="Heading2"/>
        <w:keepNext/>
        <w:spacing w:before="280"/>
      </w:pPr>
      <w:r>
        <w:t>Section 20 — Executive Certification</w:t>
      </w:r>
    </w:p>
    <w:p>
      <w:pPr>
        <w:spacing w:line="312" w:lineRule="auto" w:after="120"/>
        <w:ind w:firstLine="283"/>
        <w:jc w:val="both"/>
      </w:pPr>
      <w:r>
        <w:rPr>
          <w:rFonts w:ascii="Calibri" w:hAnsi="Calibri"/>
          <w:b w:val="0"/>
          <w:i w:val="0"/>
          <w:sz w:val="22"/>
        </w:rPr>
        <w:t>The undersigned executives jointly certify the AURIENTA Production Hardening &amp; Enterprise Readiness programme as specified below. This certification is the formal authorisation for the constitutional infrastructure to enter the Pilot Deployment phase described in Section 21, subject to the closure of the gaps enumerated in Section 19.</w:t>
      </w:r>
    </w:p>
    <w:p>
      <w:pPr>
        <w:pStyle w:val="Heading3"/>
        <w:keepNext/>
        <w:spacing w:before="200"/>
      </w:pPr>
      <w:r>
        <w:t>20.1  Certification Statement</w:t>
      </w:r>
    </w:p>
    <w:p>
      <w:pPr>
        <w:spacing w:line="312" w:lineRule="auto" w:after="120"/>
        <w:ind w:firstLine="283"/>
        <w:jc w:val="both"/>
      </w:pPr>
      <w:r>
        <w:rPr>
          <w:rFonts w:ascii="Calibri" w:hAnsi="Calibri"/>
          <w:b w:val="0"/>
          <w:i w:val="0"/>
          <w:sz w:val="22"/>
        </w:rPr>
        <w:t>We, the undersigned, certify that the AURIENTA constitutional infrastructure has been hardened, instrumented, documented, and tested in accordance with the AURIENTA Production Hardening &amp; Enterprise Readiness programme v1.0, that the twelve engineering workstreams are either Complete or In Progress with no architectural blockers, that the constitutional invariants (Zero Custody, Fundamental Pricing, Graduation, Constitutional Policy Enforcement) have been independently verified by code review and by the Constitutional Runtime Engine conformance suite, that the Production Readiness Score is 91/100, that the remaining gap consists exclusively of items requiring external certifications, third-party contracts, or live integrations, and that no contradiction exists between this Volume and any sibling artefact (Constitution v1.0, Institutional Architecture, Governance v1.0, Enterprise Risk &amp; Compliance framework, AOS v1.0, ACS v1.0, Brain AI, Constitutional Terminology Standard).</w:t>
      </w:r>
    </w:p>
    <w:p>
      <w:pPr>
        <w:pStyle w:val="Heading3"/>
        <w:keepNext/>
        <w:spacing w:before="200"/>
      </w:pPr>
      <w:r>
        <w:t>20.2  Readiness Verdict</w:t>
      </w:r>
    </w:p>
    <w:tbl>
      <w:tblPr>
        <w:tblW w:type="auto" w:w="0"/>
        <w:jc w:val="center"/>
        <w:tblLook w:firstColumn="1" w:firstRow="1" w:lastColumn="0" w:lastRow="0" w:noHBand="0" w:noVBand="1" w:val="04A0"/>
        <w:tblLayout w:type="autofit"/>
      </w:tblPr>
      <w:tblGrid>
        <w:gridCol w:w="3500"/>
        <w:gridCol w:w="5854"/>
      </w:tblGrid>
      <w:tr>
        <w:trPr>
          <w:tblHeader/>
          <w:cantSplit/>
        </w:trPr>
        <w:tc>
          <w:tcPr>
            <w:tcW w:type="dxa" w:w="4394"/>
            <w:tcW w:type="dxa" w:w="3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58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Verdict</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PRODUCTION-READY, ENTERPRISE-READY, CONSTITUTION-ALIGNED</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Production Readiness Score</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 / 100</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Readiness Verdict</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READY FOR PILOT DEPLOYMENT</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Readiness Verdict</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READY FOR SOC 2 TYPE II AND ISO 27001 ENGAGEMENT</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Alignment</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VERIFIED — Zero Custody, Fundamental Pricing, Graduation, CRE Conformance</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Synchronisation</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VERIFIED — Constitution v1.0, Architecture, Governance, ERC, AOS, ACS, Brain AI, Terminology</w:t>
            </w:r>
          </w:p>
        </w:tc>
      </w:tr>
      <w:tr>
        <w:trPr>
          <w:cantSplit/>
        </w:trPr>
        <w:tc>
          <w:tcPr>
            <w:tcW w:type="dxa" w:w="4394"/>
            <w:tcW w:type="dxa" w:w="3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Condition</w:t>
            </w:r>
          </w:p>
        </w:tc>
        <w:tc>
          <w:tcPr>
            <w:tcW w:type="dxa" w:w="4394"/>
            <w:tcW w:type="dxa" w:w="5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Subject to closure of the 12 gaps enumerated in Section 19</w:t>
            </w:r>
          </w:p>
        </w:tc>
      </w:tr>
      <w:tr>
        <w:trPr>
          <w:cantSplit/>
        </w:trPr>
        <w:tc>
          <w:tcPr>
            <w:tcW w:type="dxa" w:w="4394"/>
            <w:tcW w:type="dxa" w:w="3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Roadmap Trigger</w:t>
            </w:r>
          </w:p>
        </w:tc>
        <w:tc>
          <w:tcPr>
            <w:tcW w:type="dxa" w:w="4394"/>
            <w:tcW w:type="dxa" w:w="5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Authorises the Pilot Deployment phase per Section 21</w:t>
            </w:r>
          </w:p>
        </w:tc>
      </w:tr>
    </w:tbl>
    <w:p>
      <w:pPr>
        <w:pStyle w:val="Heading3"/>
        <w:keepNext/>
        <w:spacing w:before="200"/>
      </w:pPr>
      <w:r>
        <w:t>20.3  Certifying Executives</w:t>
      </w:r>
    </w:p>
    <w:tbl>
      <w:tblPr>
        <w:tblW w:type="auto" w:w="0"/>
        <w:jc w:val="center"/>
        <w:tblLook w:firstColumn="1" w:firstRow="1" w:lastColumn="0" w:lastRow="0" w:noHBand="0" w:noVBand="1" w:val="04A0"/>
        <w:tblLayout w:type="autofit"/>
      </w:tblPr>
      <w:tblGrid>
        <w:gridCol w:w="3300"/>
        <w:gridCol w:w="2100"/>
        <w:gridCol w:w="2200"/>
        <w:gridCol w:w="1754"/>
      </w:tblGrid>
      <w:tr>
        <w:trPr>
          <w:tblHeader/>
          <w:cantSplit/>
        </w:trPr>
        <w:tc>
          <w:tcPr>
            <w:tcW w:type="dxa" w:w="2197"/>
            <w:tcW w:type="dxa" w:w="3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Role</w:t>
            </w:r>
          </w:p>
        </w:tc>
        <w:tc>
          <w:tcPr>
            <w:tcW w:type="dxa" w:w="2197"/>
            <w:tcW w:type="dxa" w:w="2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Name</w:t>
            </w:r>
          </w:p>
        </w:tc>
        <w:tc>
          <w:tcPr>
            <w:tcW w:type="dxa" w:w="2197"/>
            <w:tcW w:type="dxa" w:w="2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Signature</w:t>
            </w:r>
          </w:p>
        </w:tc>
        <w:tc>
          <w:tcPr>
            <w:tcW w:type="dxa" w:w="2197"/>
            <w:tcW w:type="dxa" w:w="17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Date</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&amp; Chief Constitutional Architect</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Layla Hassan</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Technology Officer</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Information Security Officer</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Head of Site Reliability Engineering</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2026-08-12</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Phase Transition  </w:t>
      </w:r>
      <w:r>
        <w:rPr>
          <w:rFonts w:ascii="Calibri" w:hAnsi="Calibri"/>
          <w:i/>
          <w:sz w:val="22"/>
        </w:rPr>
        <w:t>This certification concludes the architecture-and-hardening phase of AURIENTA. The execution phase begins immediately, governed by the Roadmap in Section 21 and bounded by the gaps in Section 19. No new internal frameworks will be authored; the institution now operates the existing frameworks against real Enterprises, real counterparties, and real regulators.</w:t>
      </w:r>
    </w:p>
    <w:p>
      <w:pPr>
        <w:pStyle w:val="Heading2"/>
        <w:keepNext/>
        <w:spacing w:before="280"/>
      </w:pPr>
      <w:r>
        <w:t>Section 21 — Roadmap Forward</w:t>
      </w:r>
    </w:p>
    <w:p>
      <w:pPr>
        <w:spacing w:line="312" w:lineRule="auto" w:after="120"/>
        <w:ind w:firstLine="283"/>
        <w:jc w:val="both"/>
      </w:pPr>
      <w:r>
        <w:rPr>
          <w:rFonts w:ascii="Calibri" w:hAnsi="Calibri"/>
          <w:b w:val="0"/>
          <w:i w:val="0"/>
          <w:sz w:val="22"/>
        </w:rPr>
        <w:t>The Roadmap Forward operationalises the executive certification. It sequences the closure of the Section 19 gaps into six phases over an 18-month horizon, beginning with the first pilot Enterprises and culminating in international expansion. The sequence is deliberate: each phase creates the preconditions for the next, and no phase is short-circuited. The Chief Operating Officer owns the Roadmap; the Chief Technology Officer, the Chief Information Security Officer, the General Counsel, the Compliance Officer, and the Chief Constitutional Partner Officer are accountable for the workstreams within their domains.</w:t>
      </w:r>
    </w:p>
    <w:p>
      <w:pPr>
        <w:spacing w:line="312" w:lineRule="auto" w:after="120"/>
        <w:ind w:firstLine="283"/>
        <w:jc w:val="both"/>
      </w:pPr>
      <w:r>
        <w:rPr>
          <w:rFonts w:ascii="Calibri" w:hAnsi="Calibri"/>
          <w:b w:val="0"/>
          <w:i w:val="0"/>
          <w:sz w:val="22"/>
        </w:rPr>
        <w:t>The Roadmap is reviewed monthly by the Founder and the executive team. Variances of more than 30 days against the published milestones trigger a Roadmap Revision, which is version-controlled and communicated to all stakeholders. The constitutional invariants are preserved across every phase; no commercial pressure may compromise Zero Custody, Fundamental Pricing, Graduation, or Constitutional Policy Enforcement.</w:t>
      </w:r>
    </w:p>
    <w:p>
      <w:pPr>
        <w:pStyle w:val="Heading3"/>
        <w:keepNext/>
        <w:spacing w:before="200"/>
      </w:pPr>
      <w:r>
        <w:t>21.1  Phase Sequence</w:t>
      </w:r>
    </w:p>
    <w:tbl>
      <w:tblPr>
        <w:tblW w:type="auto" w:w="0"/>
        <w:jc w:val="center"/>
        <w:tblLook w:firstColumn="1" w:firstRow="1" w:lastColumn="0" w:lastRow="0" w:noHBand="0" w:noVBand="1" w:val="04A0"/>
        <w:tblLayout w:type="autofit"/>
      </w:tblPr>
      <w:tblGrid>
        <w:gridCol w:w="550"/>
        <w:gridCol w:w="2900"/>
        <w:gridCol w:w="2000"/>
        <w:gridCol w:w="2400"/>
        <w:gridCol w:w="1504"/>
      </w:tblGrid>
      <w:tr>
        <w:trPr>
          <w:tblHeader/>
          <w:cantSplit/>
        </w:trPr>
        <w:tc>
          <w:tcPr>
            <w:tcW w:type="dxa" w:w="1758"/>
            <w:tcW w:type="dxa" w:w="5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1758"/>
            <w:tcW w:type="dxa" w:w="2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Milestone</w:t>
            </w:r>
          </w:p>
        </w:tc>
        <w:tc>
          <w:tcPr>
            <w:tcW w:type="dxa" w:w="1758"/>
            <w:tcW w:type="dxa" w:w="20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Trigger</w:t>
            </w:r>
          </w:p>
        </w:tc>
        <w:tc>
          <w:tcPr>
            <w:tcW w:type="dxa" w:w="1758"/>
            <w:tcW w:type="dxa" w:w="15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Duration</w:t>
            </w:r>
          </w:p>
        </w:tc>
      </w:tr>
      <w:tr>
        <w:trPr>
          <w:cantSplit/>
        </w:trPr>
        <w:tc>
          <w:tcPr>
            <w:tcW w:type="dxa" w:w="1758"/>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Deployments</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CTO</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Executive Certification (Section 20) signed</w:t>
            </w:r>
          </w:p>
        </w:tc>
        <w:tc>
          <w:tcPr>
            <w:tcW w:type="dxa" w:w="1758"/>
            <w:tcW w:type="dxa" w:w="1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2026 — Q2 2027 (3-9 months)</w:t>
            </w:r>
          </w:p>
        </w:tc>
      </w:tr>
      <w:tr>
        <w:trPr>
          <w:cantSplit/>
        </w:trPr>
        <w:tc>
          <w:tcPr>
            <w:tcW w:type="dxa" w:w="1758"/>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Partnerships</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General Counsel</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3 pilot Enterprises in production; LOIs from 5 partners</w:t>
            </w:r>
          </w:p>
        </w:tc>
        <w:tc>
          <w:tcPr>
            <w:tcW w:type="dxa" w:w="1758"/>
            <w:tcW w:type="dxa" w:w="1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Q1 2027 — Q3 2027 (6 months)</w:t>
            </w:r>
          </w:p>
        </w:tc>
      </w:tr>
      <w:tr>
        <w:trPr>
          <w:cantSplit/>
        </w:trPr>
        <w:tc>
          <w:tcPr>
            <w:tcW w:type="dxa" w:w="1758"/>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Compliance Officer</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data available; law-firm integration live</w:t>
            </w:r>
          </w:p>
        </w:tc>
        <w:tc>
          <w:tcPr>
            <w:tcW w:type="dxa" w:w="1758"/>
            <w:tcW w:type="dxa" w:w="1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Q2 2027 — Q4 2027 (6 months)</w:t>
            </w:r>
          </w:p>
        </w:tc>
      </w:tr>
      <w:tr>
        <w:trPr>
          <w:cantSplit/>
        </w:trPr>
        <w:tc>
          <w:tcPr>
            <w:tcW w:type="dxa" w:w="1758"/>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 ISO 27001 Certification Audits</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 + CISO</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12-month observation window opens 2026-10-01; Stage 1 ISO 2026-11-15</w:t>
            </w:r>
          </w:p>
        </w:tc>
        <w:tc>
          <w:tcPr>
            <w:tcW w:type="dxa" w:w="1758"/>
            <w:tcW w:type="dxa" w:w="1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2026 — Q4 2027 (12 months)</w:t>
            </w:r>
          </w:p>
        </w:tc>
      </w:tr>
      <w:tr>
        <w:trPr>
          <w:cantSplit/>
        </w:trPr>
        <w:tc>
          <w:tcPr>
            <w:tcW w:type="dxa" w:w="1758"/>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Rollout</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CTO</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report issued; ISO 27001 certificate issued</w:t>
            </w:r>
          </w:p>
        </w:tc>
        <w:tc>
          <w:tcPr>
            <w:tcW w:type="dxa" w:w="1758"/>
            <w:tcW w:type="dxa" w:w="1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Q1 2028 — Q3 2028 (6-9 months)</w:t>
            </w:r>
          </w:p>
        </w:tc>
      </w:tr>
      <w:tr>
        <w:trPr>
          <w:cantSplit/>
        </w:trPr>
        <w:tc>
          <w:tcPr>
            <w:tcW w:type="dxa" w:w="1758"/>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International Expansion</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CCO (interim)</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 Enterprises in production; 3 regions validated</w:t>
            </w:r>
          </w:p>
        </w:tc>
        <w:tc>
          <w:tcPr>
            <w:tcW w:type="dxa" w:w="1758"/>
            <w:tcW w:type="dxa" w:w="1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2028 — Q4 2031 (36 months)</w:t>
            </w:r>
          </w:p>
        </w:tc>
      </w:tr>
    </w:tbl>
    <w:p>
      <w:pPr>
        <w:pStyle w:val="Heading3"/>
        <w:keepNext/>
        <w:spacing w:before="200"/>
      </w:pPr>
      <w:r>
        <w:t>21.2  Phase Detail</w:t>
      </w:r>
    </w:p>
    <w:p>
      <w:pPr>
        <w:pStyle w:val="Heading3"/>
        <w:keepNext/>
        <w:spacing w:before="200"/>
      </w:pPr>
      <w:r>
        <w:t>Phase 1 — Pilot Deployments</w:t>
      </w:r>
    </w:p>
    <w:p>
      <w:pPr>
        <w:spacing w:line="312" w:lineRule="auto" w:after="120"/>
        <w:ind w:firstLine="283"/>
        <w:jc w:val="both"/>
      </w:pPr>
      <w:r>
        <w:rPr>
          <w:rFonts w:ascii="Calibri" w:hAnsi="Calibri"/>
          <w:b w:val="0"/>
          <w:i w:val="0"/>
          <w:sz w:val="22"/>
        </w:rPr>
        <w:t>Onboard the first cohort of three pilot Enterprises: one Egyptian SME, one Egyptian mid-market corporate, and one university spin-out. Each pilot runs for 90 days against the success criteria defined in WS11-11 (90-day retention, NPS &gt;= 50, zero P1 incidents). Pilot data informs every subsequent phase; no Enterprise is onboarded to the second cohort until the first cohort has cleared the 90-day milestone.</w:t>
      </w:r>
    </w:p>
    <w:p>
      <w:pPr>
        <w:pStyle w:val="Heading3"/>
        <w:keepNext/>
        <w:spacing w:before="200"/>
      </w:pPr>
      <w:r>
        <w:t>Phase 2 — Strategic Partnerships</w:t>
      </w:r>
    </w:p>
    <w:p>
      <w:pPr>
        <w:spacing w:line="312" w:lineRule="auto" w:after="120"/>
        <w:ind w:firstLine="283"/>
        <w:jc w:val="both"/>
      </w:pPr>
      <w:r>
        <w:rPr>
          <w:rFonts w:ascii="Calibri" w:hAnsi="Calibri"/>
          <w:b w:val="0"/>
          <w:i w:val="0"/>
          <w:sz w:val="22"/>
        </w:rPr>
        <w:t>Sign Letters of Intent with five strategic partners: one Big-Four accounting firm, one regional law firm (for the Law Firm Client Account role), one regional bank (for regulatory liaison), one university (for the academic-certification track), and one industry association (for sector-specific Enterprises). Partnerships are non-exclusive and constitutionally constrained: no partner may take custody of Capital Partner funds.</w:t>
      </w:r>
    </w:p>
    <w:p>
      <w:pPr>
        <w:pStyle w:val="Heading3"/>
        <w:keepNext/>
        <w:spacing w:before="200"/>
      </w:pPr>
      <w:r>
        <w:t>Phase 3 — Regulatory Engagement</w:t>
      </w:r>
    </w:p>
    <w:p>
      <w:pPr>
        <w:spacing w:line="312" w:lineRule="auto" w:after="120"/>
        <w:ind w:firstLine="283"/>
        <w:jc w:val="both"/>
      </w:pPr>
      <w:r>
        <w:rPr>
          <w:rFonts w:ascii="Calibri" w:hAnsi="Calibri"/>
          <w:b w:val="0"/>
          <w:i w:val="0"/>
          <w:sz w:val="22"/>
        </w:rPr>
        <w:t>Engage the Egyptian Financial Regulatory Authority (FRA), the General Authority for Capital Participation and Free Zones (GAFI), the Egyptian Tax Authority, and the Personal Data Protection Centre (PDPC). Pursue formal no-action or interpretive letters where appropriate; commit to voluntary disclosures that exceed the statutory minimum. Document every engagement in the Regulatory Engagement Register.</w:t>
      </w:r>
    </w:p>
    <w:p>
      <w:pPr>
        <w:pStyle w:val="Heading3"/>
        <w:keepNext/>
        <w:spacing w:before="200"/>
      </w:pPr>
      <w:r>
        <w:t>Phase 4 — SOC 2 Type II + ISO 27001 Certification Audits</w:t>
      </w:r>
    </w:p>
    <w:p>
      <w:pPr>
        <w:spacing w:line="312" w:lineRule="auto" w:after="120"/>
        <w:ind w:firstLine="283"/>
        <w:jc w:val="both"/>
      </w:pPr>
      <w:r>
        <w:rPr>
          <w:rFonts w:ascii="Calibri" w:hAnsi="Calibri"/>
          <w:b w:val="0"/>
          <w:i w:val="0"/>
          <w:sz w:val="22"/>
        </w:rPr>
        <w:t>Execute the SOC 2 Type II audit observation window (2026-10-01 to 2027-09-30) and the ISO 27001 Stage 1 (2026-11-15) and Stage 2 (2027-Q1) audits. Issue the SOC 2 Type II report and the ISO 27001 certificate in 2027-Q2 / 2027-Q4 respectively. These certifications unblock the Enterprise procurement gates that gate Phase 5.</w:t>
      </w:r>
    </w:p>
    <w:p>
      <w:pPr>
        <w:pStyle w:val="Heading3"/>
        <w:keepNext/>
        <w:spacing w:before="200"/>
      </w:pPr>
      <w:r>
        <w:t>Phase 5 — Commercial Rollout</w:t>
      </w:r>
    </w:p>
    <w:p>
      <w:pPr>
        <w:spacing w:line="312" w:lineRule="auto" w:after="120"/>
        <w:ind w:firstLine="283"/>
        <w:jc w:val="both"/>
      </w:pPr>
      <w:r>
        <w:rPr>
          <w:rFonts w:ascii="Calibri" w:hAnsi="Calibri"/>
          <w:b w:val="0"/>
          <w:i w:val="0"/>
          <w:sz w:val="22"/>
        </w:rPr>
        <w:t>Scale from 30 pilot Enterprises to 300 production Enterprises. Open the regional commercial director role (per ACS v1.0 Part 1). Activate the full Commercial Funnel and Sales Operating System described in ACS v1.0 Parts 2 and 3. Revenue target: USD 4.2M ARR by end of Phase 5.</w:t>
      </w:r>
    </w:p>
    <w:p>
      <w:pPr>
        <w:pStyle w:val="Heading3"/>
        <w:keepNext/>
        <w:spacing w:before="200"/>
      </w:pPr>
      <w:r>
        <w:t>Phase 6 — International Expansion</w:t>
      </w:r>
    </w:p>
    <w:p>
      <w:pPr>
        <w:spacing w:line="312" w:lineRule="auto" w:after="120"/>
        <w:ind w:firstLine="283"/>
        <w:jc w:val="both"/>
      </w:pPr>
      <w:r>
        <w:rPr>
          <w:rFonts w:ascii="Calibri" w:hAnsi="Calibri"/>
          <w:b w:val="0"/>
          <w:i w:val="0"/>
          <w:sz w:val="22"/>
        </w:rPr>
        <w:t>Expand into the GCC, then Africa, then Europe, per ACS v1.0 Part 9. Each region enters only when its entry criteria are met (regulatory clarity, local law-firm relationship, minimum viable commercial team, currency and payment rails). Target: 30,000+ Enterprises by Q4 2031 across six regions, with constitutional alignment preserved in every jurisdiction.</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Roadmap Governance  </w:t>
      </w:r>
      <w:r>
        <w:rPr>
          <w:rFonts w:ascii="Calibri" w:hAnsi="Calibri"/>
          <w:i/>
          <w:sz w:val="22"/>
        </w:rPr>
        <w:t>The Roadmap is binding. Any deviation requires a formal Roadmap Revision approved by the Founder and communicated to all stakeholders. The constitutional invariants are non-negotiable across every phase, every region, and every Enterprise.</w:t>
      </w:r>
    </w:p>
    <w:p>
      <w:pPr>
        <w:pStyle w:val="Heading3"/>
        <w:keepNext/>
        <w:spacing w:before="200"/>
      </w:pPr>
      <w:r>
        <w:t>21.3  Roadmap Success Criteria</w:t>
      </w:r>
    </w:p>
    <w:tbl>
      <w:tblPr>
        <w:tblW w:type="auto" w:w="0"/>
        <w:jc w:val="center"/>
        <w:tblLook w:firstColumn="1" w:firstRow="1" w:lastColumn="0" w:lastRow="0" w:noHBand="0" w:noVBand="1" w:val="04A0"/>
        <w:tblLayout w:type="autofit"/>
      </w:tblPr>
      <w:tblGrid>
        <w:gridCol w:w="550"/>
        <w:gridCol w:w="2300"/>
        <w:gridCol w:w="3200"/>
        <w:gridCol w:w="3304"/>
      </w:tblGrid>
      <w:tr>
        <w:trPr>
          <w:tblHeader/>
          <w:cantSplit/>
        </w:trPr>
        <w:tc>
          <w:tcPr>
            <w:tcW w:type="dxa" w:w="2197"/>
            <w:tcW w:type="dxa" w:w="5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2197"/>
            <w:tcW w:type="dxa" w:w="2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Success Criterion</w:t>
            </w:r>
          </w:p>
        </w:tc>
        <w:tc>
          <w:tcPr>
            <w:tcW w:type="dxa" w:w="2197"/>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Measurement</w:t>
            </w:r>
          </w:p>
        </w:tc>
        <w:tc>
          <w:tcPr>
            <w:tcW w:type="dxa" w:w="2197"/>
            <w:tcW w:type="dxa" w:w="33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r>
      <w:tr>
        <w:trPr>
          <w:cantSplit/>
        </w:trPr>
        <w:tc>
          <w:tcPr>
            <w:tcW w:type="dxa" w:w="2197"/>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Deployments</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Enterprises complete 90-day pilot</w:t>
            </w:r>
          </w:p>
        </w:tc>
        <w:tc>
          <w:tcPr>
            <w:tcW w:type="dxa" w:w="2197"/>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 retention, NPS &gt;= 50, 0 P1 incidents</w:t>
            </w:r>
          </w:p>
        </w:tc>
      </w:tr>
      <w:tr>
        <w:trPr>
          <w:cantSplit/>
        </w:trPr>
        <w:tc>
          <w:tcPr>
            <w:tcW w:type="dxa" w:w="2197"/>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Partnerships</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signed LOIs</w:t>
            </w:r>
          </w:p>
        </w:tc>
        <w:tc>
          <w:tcPr>
            <w:tcW w:type="dxa" w:w="2197"/>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All 5 categories represented</w:t>
            </w:r>
          </w:p>
        </w:tc>
      </w:tr>
      <w:tr>
        <w:trPr>
          <w:cantSplit/>
        </w:trPr>
        <w:tc>
          <w:tcPr>
            <w:tcW w:type="dxa" w:w="2197"/>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regulator engagements completed</w:t>
            </w:r>
          </w:p>
        </w:tc>
        <w:tc>
          <w:tcPr>
            <w:tcW w:type="dxa" w:w="2197"/>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At least 1 no-action or interpretive letter</w:t>
            </w:r>
          </w:p>
        </w:tc>
      </w:tr>
      <w:tr>
        <w:trPr>
          <w:cantSplit/>
        </w:trPr>
        <w:tc>
          <w:tcPr>
            <w:tcW w:type="dxa" w:w="2197"/>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Certification Audits</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 ISO 27001 issued</w:t>
            </w:r>
          </w:p>
        </w:tc>
        <w:tc>
          <w:tcPr>
            <w:tcW w:type="dxa" w:w="2197"/>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Both certificates clean, no qualified opinions</w:t>
            </w:r>
          </w:p>
        </w:tc>
      </w:tr>
      <w:tr>
        <w:trPr>
          <w:cantSplit/>
        </w:trPr>
        <w:tc>
          <w:tcPr>
            <w:tcW w:type="dxa" w:w="2197"/>
            <w:tcW w:type="dxa" w:w="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Rollout</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 Enterprises in production</w:t>
            </w:r>
          </w:p>
        </w:tc>
        <w:tc>
          <w:tcPr>
            <w:tcW w:type="dxa" w:w="2197"/>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USD 4.2M ARR; NRR &gt;= 110%; GRR &gt;= 90%</w:t>
            </w:r>
          </w:p>
        </w:tc>
      </w:tr>
      <w:tr>
        <w:trPr>
          <w:cantSplit/>
        </w:trPr>
        <w:tc>
          <w:tcPr>
            <w:tcW w:type="dxa" w:w="2197"/>
            <w:tcW w:type="dxa" w:w="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International Expansion</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30,000+ Enterprises across 6 regions</w:t>
            </w:r>
          </w:p>
        </w:tc>
        <w:tc>
          <w:tcPr>
            <w:tcW w:type="dxa" w:w="2197"/>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alignment verified in every region</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PH-ER v1.0 Certification  </w:t>
      </w:r>
      <w:r>
        <w:rPr>
          <w:rFonts w:ascii="Calibri" w:hAnsi="Calibri"/>
          <w:i/>
          <w:sz w:val="22"/>
        </w:rPr>
        <w:t>This Volume is the canonical AURIENTA Production Hardening &amp; Enterprise Readiness programme. It encodes the twelve engineering workstreams, the eight executive-grade readiness reports, the production go-live checklist, the remaining gap analysis, and the executive certification. It is synchronised with Constitution v1.0, the Institutional Architecture, Governance v1.0, the Enterprise Risk &amp; Compliance framework, AOS v1.0, ACS v1.0, Brain AI, and the Constitutional Terminology Standard. Constitutional terminology is enforced throughout. No contradictions with any sibling artefact are permitted.</w:t>
      </w:r>
    </w:p>
    <w:p>
      <w:pPr>
        <w:spacing w:line="312" w:lineRule="auto" w:before="120"/>
        <w:jc w:val="center"/>
      </w:pPr>
      <w:r>
        <w:rPr>
          <w:rFonts w:ascii="Calibri" w:hAnsi="Calibri"/>
          <w:b/>
          <w:color w:val="9C7C1A"/>
          <w:sz w:val="20"/>
        </w:rPr>
        <w:t>End of Volume — AURIENTA Production Hardening &amp; Enterprise Readiness (PH-ER) v1.0.  Constitutional Hash (Root): 0xPH7E2A9F4C8B1D6E3A7F2C5B9D4E8A1F6C3B7D2E9A4F8C5B1D6E3A7F2C9B4E8</w:t>
      </w:r>
    </w:p>
    <w:p>
      <w:pPr>
        <w:pStyle w:val="Heading1"/>
        <w:pageBreakBefore/>
      </w:pPr>
      <w:r>
        <w:t>VOLUME — AURIENTA PILOT DEPLOYMENT, VALIDATION &amp; INSTITUTIONAL EVIDENCE v1.0</w:t>
      </w:r>
    </w:p>
    <w:p>
      <w:pPr>
        <w:pStyle w:val="Heading2"/>
        <w:keepNext/>
        <w:spacing w:before="280"/>
      </w:pPr>
      <w:r>
        <w:t>Executive Summary — The Shift From Building To Proving</w:t>
      </w:r>
    </w:p>
    <w:p>
      <w:pPr>
        <w:spacing w:line="312" w:lineRule="auto" w:after="120"/>
        <w:ind w:firstLine="283"/>
        <w:jc w:val="both"/>
      </w:pPr>
      <w:r>
        <w:rPr>
          <w:rFonts w:ascii="Calibri" w:hAnsi="Calibri"/>
          <w:b w:val="0"/>
          <w:i w:val="0"/>
          <w:sz w:val="22"/>
        </w:rPr>
        <w:t>The AURIENTA Pilot Deployment, Validation &amp; Institutional Evidence programme (PE v1.0) marks the institutional shift from architecture to evidence. Per the Chief Operating Officer directive recorded at the close of Task 7-DOCX and Task 7, the constitutional infrastructure is no longer permitted to expand internally. The seven architecture phases — Constitutional Foundation, Institutional Architecture, Governance v1.0, Enterprise Risk &amp; Compliance, AOS v1.0, ACS v1.0, and PH-ER v1.0 — are frozen. The eighth phase is execution: deploy the constitutional infrastructure against real Enterprises, real strategic partners, real regulators, and real auditors, and let the evidence produced by that deployment re-validate every internal claim made to date.</w:t>
      </w:r>
    </w:p>
    <w:p>
      <w:pPr>
        <w:spacing w:line="312" w:lineRule="auto" w:after="120"/>
        <w:ind w:firstLine="283"/>
        <w:jc w:val="both"/>
      </w:pPr>
      <w:r>
        <w:rPr>
          <w:rFonts w:ascii="Calibri" w:hAnsi="Calibri"/>
          <w:b w:val="0"/>
          <w:i w:val="0"/>
          <w:sz w:val="22"/>
        </w:rPr>
        <w:t>PE v1.0 operationalises this shift through twelve workstreams and nine executive-grade final deliverables. The twelve workstreams span the Pilot Program Office, the Pilot Selection Framework, the Onboarding Factory, the Pilot Success Metrics, the Customer Success Operations, the Feedback &amp; Continuous Improvement loop, the Strategic Partner Execution, the Regulatory Engagement, the Institutional Evidence Repository, the Executive Mission Control, the Pilot Completion Framework, and the Institutional Readiness Reassessment. The nine final deliverables — the Pilot Execution Report, the Pilot Success Framework, the Customer Success Report, the Strategic Partnership Report, the Regulatory Engagement Report, the Institutional Evidence Report, the Lessons Learned Report, the Executive Readiness Assessment with the updated Institutional Readiness Score, and the Executive Certification — together establish the auditable evidence base required for the SOC 2 Type II observation window, the ISO 27001 Stage 2 audit, the commercial procurement gates, and the regulatory engagements with the Egyptian Financial Regulatory Authority and adjacent regulators.</w:t>
      </w:r>
    </w:p>
    <w:p>
      <w:pPr>
        <w:spacing w:line="312" w:lineRule="auto" w:after="120"/>
        <w:ind w:firstLine="283"/>
        <w:jc w:val="both"/>
      </w:pPr>
      <w:r>
        <w:rPr>
          <w:rFonts w:ascii="Calibri" w:hAnsi="Calibri"/>
          <w:b w:val="0"/>
          <w:i w:val="0"/>
          <w:sz w:val="22"/>
        </w:rPr>
        <w:t>PE v1.0 is frozen as of 2026-09-15 and is synchronised with Constitution v1.0, the Institutional Architecture, Governance v1.0, the Enterprise Risk &amp; Compliance framework, AOS v1.0, ACS v1.0, PH-ER v1.0, Brain AI, and the Constitutional Terminology Standard. The constitutional invariants — Zero Custody, Fundamental Pricing, Graduation, Constitutional Policy Enforcement, and the Constitutional Runtime Engine as the single decisioning authority — are preserved without exception. No contradictions with any sibling artefact are permitted.</w:t>
      </w:r>
    </w:p>
    <w:p>
      <w:pPr>
        <w:spacing w:line="312" w:lineRule="auto" w:after="120"/>
        <w:ind w:firstLine="283"/>
        <w:jc w:val="both"/>
      </w:pPr>
      <w:r>
        <w:rPr>
          <w:rFonts w:ascii="Calibri" w:hAnsi="Calibri"/>
          <w:b w:val="0"/>
          <w:i w:val="0"/>
          <w:sz w:val="22"/>
        </w:rPr>
        <w:t>The institutional readiness trajectory is restated as a function of evidence, not architecture. The pre-pilot readiness score of 86/100 (post-ACS, pre-PH-ER) rose to 91/100 after the PH-ER closure documented in the prior Volume. PE v1.0 establishes the evidence-based target of 95/100, with the four-point delta reserved exclusively for items that can only be closed by pilot evidence, regulatory engagement, strategic partnership execution, and external audit: the four execution surfaces that this Volume operationalises. The Chief Operating Officer owns the PE programme end-to-end; the Chief Technology Officer, the Chief Information Security Officer, the General Counsel, the Compliance Officer, and the Chief Constitutional Partner Officer are accountable for the workstreams within their domains.</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Programme Mandate  </w:t>
      </w:r>
      <w:r>
        <w:rPr>
          <w:rFonts w:ascii="Calibri" w:hAnsi="Calibri"/>
          <w:i/>
          <w:sz w:val="22"/>
        </w:rPr>
        <w:t>PE v1.0 is the institutional shift from building to proving. The architecture is complete; the burden now is evidence. Every pilot Enterprise onboarded, every strategic partner signed, every regulatory engagement concluded, and every case study published either reinforces or revises an internal claim. The constitutional model is not modified; the institutional evidence base beneath it is constructed to institutional standards.</w:t>
      </w:r>
    </w:p>
    <w:p>
      <w:pPr>
        <w:pStyle w:val="Heading2"/>
        <w:keepNext/>
        <w:spacing w:before="280"/>
      </w:pPr>
      <w:r>
        <w:t>Section 1 — Workstream 1: Pilot Program Office (PMO)</w:t>
      </w:r>
    </w:p>
    <w:p>
      <w:pPr>
        <w:pStyle w:val="Heading3"/>
        <w:keepNext/>
        <w:spacing w:before="200"/>
      </w:pPr>
      <w:r>
        <w:t>1.1  Overview</w:t>
      </w:r>
    </w:p>
    <w:p>
      <w:pPr>
        <w:spacing w:line="312" w:lineRule="auto" w:after="120"/>
        <w:ind w:firstLine="283"/>
        <w:jc w:val="both"/>
      </w:pPr>
      <w:r>
        <w:rPr>
          <w:rFonts w:ascii="Calibri" w:hAnsi="Calibri"/>
          <w:b w:val="0"/>
          <w:i w:val="0"/>
          <w:sz w:val="22"/>
        </w:rPr>
        <w:t>The Pilot Program Office is the single accountable function for the pilot programme end-to-end. It owns the master schedule, the cross-workstream dependency map, the executive status cadence, the exception escalation matrix, and the audit trail of every material decision made during the pilot phase. The PMO is led by a dedicated Pilot Programme Director who reports directly to the Chief Operating Officer; it is staffed by a Programme Manager, a Programme Analyst, and a Documentation &amp; Evidence Coordinator. The PMO does not own any single workstream; it owns the coordination discipline across all twelve workstreams.</w:t>
      </w:r>
    </w:p>
    <w:p>
      <w:pPr>
        <w:spacing w:line="312" w:lineRule="auto" w:after="120"/>
        <w:ind w:firstLine="283"/>
        <w:jc w:val="both"/>
      </w:pPr>
      <w:r>
        <w:rPr>
          <w:rFonts w:ascii="Calibri" w:hAnsi="Calibri"/>
          <w:b w:val="0"/>
          <w:i w:val="0"/>
          <w:sz w:val="22"/>
        </w:rPr>
        <w:t>The PMO operates on a fixed cadence: a weekly pilot steering meeting, a fortnightly executive briefing, a monthly Founder review, and a quarterly Roadmap revision. Every decision of material consequence is recorded in the Pilot Decision Register with decision owner, options considered, choice made, rationale, and effective date. The Zero-Custody, Fundamental-Pricing, and Graduation invariants are non-negotiable; any proposed pilot variation that would touch an invariant is automatically escalated to the Founder and the General Counsel for adjudication before action.</w:t>
      </w:r>
    </w:p>
    <w:p>
      <w:pPr>
        <w:pStyle w:val="Heading3"/>
        <w:keepNext/>
        <w:spacing w:before="200"/>
      </w:pPr>
      <w:r>
        <w:t>1.2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Program Office chartered; Director appointed; reporting line to COO established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Charter signed 2026-09-01; Director: TBA (interim: COO); scope: 12 workstreams, 5-10 pilots, 9 deliverables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Master pilot schedule published (Gantt); cross-workstream dependencies mapped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Schedule v1.0; 187 milestones; 42 cross-workstream dependencies; reviewed weekly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Weekly pilot steering meeting cadence (Tuesday 10:00 Cairo); minutes published within 24h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Standing agenda; 12 attendees; decisions logged in Pilot Decision Register</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Fortnightly executive briefing; monthly Founder review; quarterly Roadmap revision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template; Founder review pack; Roadmap revision governed per Section 21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Decision Register established; immutable; 7-year retention; hash-chain anchored to Ownership Ledger</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Register ID PDR-001..; every material decision recorded with owner, options, rationale, date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Exception escalation matrix published; severity tiers P1/P2/P3; named on-call per workstream</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Matrix published 2026-09-05; P1 escalation to Founder within 60 minutes; P2 within 4 hours; P3 within 24 hours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status dashboard (real-time); 12 workstream tiles; red/amber/green; auto-refresh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Dashboard wired to Mission Control (Section 10); visible to Founder, COO, CTO, CISO, General Counsel</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 register for pilot programme; top-10 risks reviewed weekly; mitigation owners assigned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Register v1.0; 28 risks logged; 12 with active mitigations; 4 monitored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budget and burn-rate tracking; variance &gt; 10% triggers Founder review</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Finance</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Budget v1.0; monthly actuals vs plan; variance report September 2026 = 3.2% (within tolerance)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closeout playbook (Section 11) maintained; lessons-learned input to Section 19</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Playbook PCP-01; gates per Section 11; lessons captured continuously, not only at closeout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data classification scheme; PIIs segregated; consent tracking per Enterprise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 + 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Classification 4-tier; consent ledger per Enterprise; data-subject request procedure published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tooling: project management (Linear), documentation (Notion), evidence repository (Section 9)</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Linear project AURIENTA-PILOTS; Notion workspace PE-v1; evidence repository per Section 9</w:t>
            </w:r>
          </w:p>
        </w:tc>
      </w:tr>
    </w:tbl>
    <w:p>
      <w:pPr>
        <w:pStyle w:val="Heading2"/>
        <w:keepNext/>
        <w:spacing w:before="280"/>
      </w:pPr>
      <w:r>
        <w:t>Section 2 — Workstream 2: Pilot Selection Framework (Scoring Model)</w:t>
      </w:r>
    </w:p>
    <w:p>
      <w:pPr>
        <w:pStyle w:val="Heading3"/>
        <w:keepNext/>
        <w:spacing w:before="200"/>
      </w:pPr>
      <w:r>
        <w:t>2.1  Overview</w:t>
      </w:r>
    </w:p>
    <w:p>
      <w:pPr>
        <w:spacing w:line="312" w:lineRule="auto" w:after="120"/>
        <w:ind w:firstLine="283"/>
        <w:jc w:val="both"/>
      </w:pPr>
      <w:r>
        <w:rPr>
          <w:rFonts w:ascii="Calibri" w:hAnsi="Calibri"/>
          <w:b w:val="0"/>
          <w:i w:val="0"/>
          <w:sz w:val="22"/>
        </w:rPr>
        <w:t>Workstream 2 establishes the multi-criteria scoring model that selects pilot Enterprises from the inbound pipeline. The model is engineered to maximise learning across the four evidence surfaces (Enterprise operations, strategic partnership, regulatory engagement, and external audit) while preserving the constitutional invariants. The model is intentionally selective: of the inbound pilot interest captured by ACS v1.0 Part 2 (Commercial Funnel), only Enterprises scoring 70/100 or higher on the six scoring dimensions are eligible for the pilot cohort. The selection decision is made by the Pilot Selection Committee, which convenes weekly during the active recruitment window.</w:t>
      </w:r>
    </w:p>
    <w:p>
      <w:pPr>
        <w:spacing w:line="312" w:lineRule="auto" w:after="120"/>
        <w:ind w:firstLine="283"/>
        <w:jc w:val="both"/>
      </w:pPr>
      <w:r>
        <w:rPr>
          <w:rFonts w:ascii="Calibri" w:hAnsi="Calibri"/>
          <w:b w:val="0"/>
          <w:i w:val="0"/>
          <w:sz w:val="22"/>
        </w:rPr>
        <w:t>The six scoring dimensions are: (1) Strategic Fit with the constitutional model, (2) Regulatory Readiness of the Enterprise's sector and jurisdiction, (3) Technical Maturity of the Enterprise's identity and data infrastructure, (4) Capital Readiness for Law Firm Client Account operations, (5) Executive Sponsorship strength, and (6) Reference-Willingness for case-study production. Each dimension is scored 0-100 with explicit anchors at 0, 25, 50, 75, and 100. The composite score is the weighted average with weights calibrated by the Founder and the Chief Operating Officer; weights are version-controlled and reviewed quarterly.</w:t>
      </w:r>
    </w:p>
    <w:p>
      <w:pPr>
        <w:pStyle w:val="Heading3"/>
        <w:keepNext/>
        <w:spacing w:before="200"/>
      </w:pPr>
      <w:r>
        <w:t>2.2  Scoring Dimensions and Weights</w:t>
      </w:r>
    </w:p>
    <w:tbl>
      <w:tblPr>
        <w:tblW w:type="auto" w:w="0"/>
        <w:jc w:val="center"/>
        <w:tblLook w:firstColumn="1" w:firstRow="1" w:lastColumn="0" w:lastRow="0" w:noHBand="0" w:noVBand="1" w:val="04A0"/>
        <w:tblLayout w:type="autofit"/>
      </w:tblPr>
      <w:tblGrid>
        <w:gridCol w:w="400"/>
        <w:gridCol w:w="1700"/>
        <w:gridCol w:w="700"/>
        <w:gridCol w:w="3304"/>
        <w:gridCol w:w="3250"/>
      </w:tblGrid>
      <w:tr>
        <w:trPr>
          <w:tblHeader/>
          <w:cantSplit/>
        </w:trPr>
        <w:tc>
          <w:tcPr>
            <w:tcW w:type="dxa" w:w="1758"/>
            <w:tcW w:type="dxa" w:w="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Dimension</w:t>
            </w:r>
          </w:p>
        </w:tc>
        <w:tc>
          <w:tcPr>
            <w:tcW w:type="dxa" w:w="1758"/>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Weight</w:t>
            </w:r>
          </w:p>
        </w:tc>
        <w:tc>
          <w:tcPr>
            <w:tcW w:type="dxa" w:w="1758"/>
            <w:tcW w:type="dxa" w:w="33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Description</w:t>
            </w:r>
          </w:p>
        </w:tc>
        <w:tc>
          <w:tcPr>
            <w:tcW w:type="dxa" w:w="1758"/>
            <w:tcW w:type="dxa" w:w="32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Anchor at 75 (Eligibility threshold)</w:t>
            </w:r>
          </w:p>
        </w:tc>
      </w:tr>
      <w:tr>
        <w:trPr>
          <w:cantSplit/>
        </w:trPr>
        <w:tc>
          <w:tcPr>
            <w:tcW w:type="dxa" w:w="1758"/>
            <w:tcW w:type="dxa" w:w="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Fit</w:t>
            </w:r>
          </w:p>
        </w:tc>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25%</w:t>
            </w:r>
          </w:p>
        </w:tc>
        <w:tc>
          <w:tcPr>
            <w:tcW w:type="dxa" w:w="1758"/>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Alignment with the constitutional model (Zero Custody, Fundamental Pricing, Graduation, Capital Partner participation)</w:t>
            </w:r>
          </w:p>
        </w:tc>
        <w:tc>
          <w:tcPr>
            <w:tcW w:type="dxa" w:w="1758"/>
            <w:tcW w:type="dxa" w:w="32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operates in a sector where Equity Unit issuance is unambiguous and the Law Firm Client Account flow is natural</w:t>
            </w:r>
          </w:p>
        </w:tc>
      </w:tr>
      <w:tr>
        <w:trPr>
          <w:cantSplit/>
        </w:trPr>
        <w:tc>
          <w:tcPr>
            <w:tcW w:type="dxa" w:w="1758"/>
            <w:tcW w:type="dxa" w:w="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Readiness</w:t>
            </w:r>
          </w:p>
        </w:tc>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w:t>
            </w:r>
          </w:p>
        </w:tc>
        <w:tc>
          <w:tcPr>
            <w:tcW w:type="dxa" w:w="1758"/>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Sector regulatory clarity; jurisdictional alignment; willingness to engage regulator alongside AURIENTA</w:t>
            </w:r>
          </w:p>
        </w:tc>
        <w:tc>
          <w:tcPr>
            <w:tcW w:type="dxa" w:w="1758"/>
            <w:tcW w:type="dxa" w:w="32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Enterprise's regulator is identified; no known prohibitions on Equity Unit structures; regulator engagement plan drafted</w:t>
            </w:r>
          </w:p>
        </w:tc>
      </w:tr>
      <w:tr>
        <w:trPr>
          <w:cantSplit/>
        </w:trPr>
        <w:tc>
          <w:tcPr>
            <w:tcW w:type="dxa" w:w="1758"/>
            <w:tcW w:type="dxa" w:w="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Technical Maturity</w:t>
            </w:r>
          </w:p>
        </w:tc>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w:t>
            </w:r>
          </w:p>
        </w:tc>
        <w:tc>
          <w:tcPr>
            <w:tcW w:type="dxa" w:w="1758"/>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identity infrastructure (SSO/SCIM capability); data governance; integration capacity</w:t>
            </w:r>
          </w:p>
        </w:tc>
        <w:tc>
          <w:tcPr>
            <w:tcW w:type="dxa" w:w="1758"/>
            <w:tcW w:type="dxa" w:w="32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has SAML or OIDC IdP; SCIM or willingness to provision; API integration capacity in-house or via partner</w:t>
            </w:r>
          </w:p>
        </w:tc>
      </w:tr>
      <w:tr>
        <w:trPr>
          <w:cantSplit/>
        </w:trPr>
        <w:tc>
          <w:tcPr>
            <w:tcW w:type="dxa" w:w="1758"/>
            <w:tcW w:type="dxa" w:w="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Capital Readiness</w:t>
            </w:r>
          </w:p>
        </w:tc>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w:t>
            </w:r>
          </w:p>
        </w:tc>
        <w:tc>
          <w:tcPr>
            <w:tcW w:type="dxa" w:w="1758"/>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Capital Partner pipeline maturity; Law Firm Client Account counterparty identified; KYC/AML capacity</w:t>
            </w:r>
          </w:p>
        </w:tc>
        <w:tc>
          <w:tcPr>
            <w:tcW w:type="dxa" w:w="1758"/>
            <w:tcW w:type="dxa" w:w="32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has identified Law Firm Client Account counterparty; KYC process documented; first Capital Partner cohort of &gt;= 5 identified</w:t>
            </w:r>
          </w:p>
        </w:tc>
      </w:tr>
      <w:tr>
        <w:trPr>
          <w:cantSplit/>
        </w:trPr>
        <w:tc>
          <w:tcPr>
            <w:tcW w:type="dxa" w:w="1758"/>
            <w:tcW w:type="dxa" w:w="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Executive Sponsorship</w:t>
            </w:r>
          </w:p>
        </w:tc>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15%</w:t>
            </w:r>
          </w:p>
        </w:tc>
        <w:tc>
          <w:tcPr>
            <w:tcW w:type="dxa" w:w="1758"/>
            <w:tcW w:type="dxa" w:w="33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Named C-suite sponsor; budget committed; 90-day engagement plan; willingness to be case-study subject</w:t>
            </w:r>
          </w:p>
        </w:tc>
        <w:tc>
          <w:tcPr>
            <w:tcW w:type="dxa" w:w="1758"/>
            <w:tcW w:type="dxa" w:w="32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Named CEO/CFO/COO sponsor; budget &gt;= USD 25k committed; sponsor available for fortnightly cadence</w:t>
            </w:r>
          </w:p>
        </w:tc>
      </w:tr>
      <w:tr>
        <w:trPr>
          <w:cantSplit/>
        </w:trPr>
        <w:tc>
          <w:tcPr>
            <w:tcW w:type="dxa" w:w="1758"/>
            <w:tcW w:type="dxa" w:w="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Reference-Willingness</w:t>
            </w:r>
          </w:p>
        </w:tc>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758"/>
            <w:tcW w:type="dxa" w:w="33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Willingness to be quoted in case studies, regulator briefings, and external audit evidence</w:t>
            </w:r>
          </w:p>
        </w:tc>
        <w:tc>
          <w:tcPr>
            <w:tcW w:type="dxa" w:w="1758"/>
            <w:tcW w:type="dxa" w:w="32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consents to anonymised case study, regulator briefing reference, and SOC 2 evidence submission</w:t>
            </w:r>
          </w:p>
        </w:tc>
      </w:tr>
    </w:tbl>
    <w:p>
      <w:pPr>
        <w:pStyle w:val="Heading3"/>
        <w:keepNext/>
        <w:spacing w:before="200"/>
      </w:pPr>
      <w:r>
        <w:t>2.3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Scoring model v1.0 published; 6 dimensions; weights; anchor rubric</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Model PE-SEL-001; reviewed and signed 2026-09-03; weights calibrated to favour Strategic Fit and Regulatory Readiness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Selection Committee chartered; 5 voting members; weekly cadence during recruitment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Committee: COO (chair), Founder, CTO, General Counsel, CCO (interim); quorum 4 of 5</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Inbound pipeline sourced from ACS v1.0 Commercial Funnel; 47 Enterprise profiles screened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Pipeline report 2026-09-10; 47 screened; 12 shortlisted; 6 selected for cohort 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Scoring rubric applied to shortlist; composite scores calculated; documentation archived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Scoring sheets PSS-001..012; 6 Enterprises scored &gt;= 70; 6 Enterprises scored &lt; 70 (deferred to cohort 2)</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Conflict-of-interest screening per Enterprise; constitutional-invariant pre-clearance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COI register; 1 conflict identified and resolved (Enterprise 4 — prior advisory relationship disclosed and recused)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Agreement template v1.0; constitutional schedule; 90-day term; exit clauses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Agreement PA-v1; reviewed by external Egyptian counsel; signed by all 6 cohort-1 Enterprises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1 onboarded: 6 Enterprises across 3 segments (SME, mid-market, university spin-out)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PMO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per Section 3; 4 of 6 Enterprises at Day-15 milestone; 2 at Day-7 milestone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2 pipeline qualified: 12 Enterprises screened; 6 in active scoring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2 target onboarding Q1 2027; selection committee to convene 2026-12-01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Selection model review cadence: quarterly; weights revisited; anchors re-calibrated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review 2026-12-15; revision governed by Roadmap Revision procedure (Section 21)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WS2-10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Adverse-selection guardrail: maximum 30% of cohort from any one sector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1 distribution: 2 SME, 2 mid-market, 2 university spin-out; 4 sectors represented</w:t>
            </w:r>
          </w:p>
        </w:tc>
      </w:tr>
    </w:tbl>
    <w:p>
      <w:pPr>
        <w:pStyle w:val="Heading2"/>
        <w:keepNext/>
        <w:spacing w:before="280"/>
      </w:pPr>
      <w:r>
        <w:t>Section 3 — Workstream 3: Onboarding Factory</w:t>
      </w:r>
    </w:p>
    <w:p>
      <w:pPr>
        <w:pStyle w:val="Heading3"/>
        <w:keepNext/>
        <w:spacing w:before="200"/>
      </w:pPr>
      <w:r>
        <w:t>3.1  Overview</w:t>
      </w:r>
    </w:p>
    <w:p>
      <w:pPr>
        <w:spacing w:line="312" w:lineRule="auto" w:after="120"/>
        <w:ind w:firstLine="283"/>
        <w:jc w:val="both"/>
      </w:pPr>
      <w:r>
        <w:rPr>
          <w:rFonts w:ascii="Calibri" w:hAnsi="Calibri"/>
          <w:b w:val="0"/>
          <w:i w:val="0"/>
          <w:sz w:val="22"/>
        </w:rPr>
        <w:t>The Onboarding Factory is the standardised, repeatable, evidence-producing 30-day workflow that takes a selected pilot Enterprise from signed Pilot Agreement to first Equity Unit issuance. The factory is engineered for repeatability: every step has a named owner, an entry criterion, an exit criterion, an evidence artefact, and a measured cycle time. The factory is operated by the Constitutional Partner Success function under the Chief Constitutional Partner Officer, with the Chief Technology Officer accountable for the technical setup steps and the General Counsel accountable for the legal and constitutional steps.</w:t>
      </w:r>
    </w:p>
    <w:p>
      <w:pPr>
        <w:spacing w:line="312" w:lineRule="auto" w:after="120"/>
        <w:ind w:firstLine="283"/>
        <w:jc w:val="both"/>
      </w:pPr>
      <w:r>
        <w:rPr>
          <w:rFonts w:ascii="Calibri" w:hAnsi="Calibri"/>
          <w:b w:val="0"/>
          <w:i w:val="0"/>
          <w:sz w:val="22"/>
        </w:rPr>
        <w:t>The 30-day factory is divided into three ten-day phases: Discovery &amp; Configuration (Days 1-10), Identity &amp; Integration (Days 11-20), and First Issuance &amp; Validation (Days 21-30). Each phase concludes with a stage gate reviewed by the PMO; the gate either authorises progression to the next phase or triggers a remediation plan. The factory produces a complete evidence dossier per Enterprise — discovery notes, configuration baseline, identity federation evidence, CRE conformance evidence, first-issuance ledger event, and validation report — that feeds directly into the Institutional Evidence Repository (Section 9).</w:t>
      </w:r>
    </w:p>
    <w:p>
      <w:pPr>
        <w:pStyle w:val="Heading3"/>
        <w:keepNext/>
        <w:spacing w:before="200"/>
      </w:pPr>
      <w:r>
        <w:t>3.2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Factory v1.0 published; 30-day workflow; 18 steps; 3 phase gates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PMO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Workflow OF-v1; mapped in Section 3.3 below; cycle-time target 30 days +/- 3 days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Day-1 kickoff ceremony: Founder or COO attends; constitutional briefing; success plan signed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Ceremony script KC-01; attended by Founder for 4 of 6 cohort-1 Enterprises; signed Success Plan per Enterprise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 to Day-5 Discovery Workshop: business model, capital structure, regulatory mapping, Law Firm Client Account counterparty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Workshop agenda DW-01; outputs: Enterprise profile, capital plan, regulatory map, counterparty confirmation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Day-6 to Day-10 Configuration: Constitutional Runtime Engine configuration; Equity Unit template; graduation rule; CRE conformance test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config per Enterprise; conformance suite passes; configuration baseline archived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Phase-1 gate (Day-10): PMO review; entry criterion for Phase 2; remediation if failed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Gate G1; 6 of 6 cohort-1 Enterprises passed; 0 remediation cycles required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Day-11 to Day-15 Identity Federation: SAML/OIDC setup; SCIM provisioning; MFA enforcement; step-up auth</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 + 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 setup per WS5 (PH-ER); 6 of 6 Enterprises federated; 100% MFA enrolment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Day-16 to Day-20 Integration: Law Firm Client Account counterparty API; KYC/AML data flow; Capital Partner cohort provisioning</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of 6 Enterprises integrated; 1 awaiting Law Firm Client Account counterparty technical readiness (ETA Day-22)</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Phase-2 gate (Day-20): PMO review; entry criterion for Phase 3; remediation if failed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Gate G2; 4 of 6 Enterprises passed; 2 Enterprises at Day-18 milestone (on track)</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Day-21 to Day-25 First Equity Unit issuance: CRE decisioning; Ownership Ledger entry; Law Firm Client Account confirmation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First-issuance ceremony IF-01; ledger event recorded; immutable evidence archived to Repository</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Day-26 to Day-30 Validation: cycle-time audit; CRE conformance re-test; pilot success baseline established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 + 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Validation report VR-001 per Enterprise; baseline KPIs per Section 4 established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Phase-3 gate (Day-30): PMO review; entry to active pilot operations (Section 4 KPIs)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Gate G3; target 100% pass for cohort-1 by 2026-10-15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WS3-12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Factory retrospective after cohort-1: cycle-time, friction points, evidence gaps; OF-v2 published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 + 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Retrospective scheduled 2026-10-20; OF-v2 to apply to cohort-2 starting 2026-12-01</w:t>
            </w:r>
          </w:p>
        </w:tc>
      </w:tr>
    </w:tbl>
    <w:p>
      <w:pPr>
        <w:pStyle w:val="Heading3"/>
        <w:keepNext/>
        <w:spacing w:before="200"/>
      </w:pPr>
      <w:r>
        <w:t>3.3  Onboarding Factory — Stage-Gate Map</w:t>
      </w:r>
    </w:p>
    <w:tbl>
      <w:tblPr>
        <w:tblW w:type="auto" w:w="0"/>
        <w:jc w:val="center"/>
        <w:tblLook w:firstColumn="1" w:firstRow="1" w:lastColumn="0" w:lastRow="0" w:noHBand="0" w:noVBand="1" w:val="04A0"/>
        <w:tblLayout w:type="autofit"/>
      </w:tblPr>
      <w:tblGrid>
        <w:gridCol w:w="2400"/>
        <w:gridCol w:w="700"/>
        <w:gridCol w:w="1100"/>
        <w:gridCol w:w="2604"/>
        <w:gridCol w:w="2550"/>
      </w:tblGrid>
      <w:tr>
        <w:trPr>
          <w:tblHeader/>
          <w:cantSplit/>
        </w:trPr>
        <w:tc>
          <w:tcPr>
            <w:tcW w:type="dxa" w:w="1758"/>
            <w:tcW w:type="dxa" w:w="2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1758"/>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Days</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Stage Gate</w:t>
            </w:r>
          </w:p>
        </w:tc>
        <w:tc>
          <w:tcPr>
            <w:tcW w:type="dxa" w:w="1758"/>
            <w:tcW w:type="dxa" w:w="26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Entry Criterion</w:t>
            </w:r>
          </w:p>
        </w:tc>
        <w:tc>
          <w:tcPr>
            <w:tcW w:type="dxa" w:w="1758"/>
            <w:tcW w:type="dxa" w:w="25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Exit Criterion / Evidence</w:t>
            </w:r>
          </w:p>
        </w:tc>
      </w:tr>
      <w:tr>
        <w:trPr>
          <w:cantSplit/>
        </w:trPr>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1 — Discovery &amp; Configuration</w:t>
            </w:r>
          </w:p>
        </w:tc>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1-10</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G1 (Day-10)</w:t>
            </w:r>
          </w:p>
        </w:tc>
        <w:tc>
          <w:tcPr>
            <w:tcW w:type="dxa" w:w="1758"/>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Pilot Agreement; named sponsor; Success Plan signed</w:t>
            </w:r>
          </w:p>
        </w:tc>
        <w:tc>
          <w:tcPr>
            <w:tcW w:type="dxa" w:w="1758"/>
            <w:tcW w:type="dxa" w:w="2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Discovery Workshop outputs; CRE config baseline; conformance suite passes</w:t>
            </w:r>
          </w:p>
        </w:tc>
      </w:tr>
      <w:tr>
        <w:trPr>
          <w:cantSplit/>
        </w:trPr>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2 — Identity &amp; Integration</w:t>
            </w:r>
          </w:p>
        </w:tc>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11-20</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(Day-20)</w:t>
            </w:r>
          </w:p>
        </w:tc>
        <w:tc>
          <w:tcPr>
            <w:tcW w:type="dxa" w:w="1758"/>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G1 passed; Enterprise IdP available; Law Firm Client Account counterparty confirmed</w:t>
            </w:r>
          </w:p>
        </w:tc>
        <w:tc>
          <w:tcPr>
            <w:tcW w:type="dxa" w:w="1758"/>
            <w:tcW w:type="dxa" w:w="25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 federation live; SCIM provisioned; integration test passes; KYC/AML flow validated</w:t>
            </w:r>
          </w:p>
        </w:tc>
      </w:tr>
      <w:tr>
        <w:trPr>
          <w:cantSplit/>
        </w:trPr>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3 — First Issuance &amp; Validation</w:t>
            </w:r>
          </w:p>
        </w:tc>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21-30</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G3 (Day-30)</w:t>
            </w:r>
          </w:p>
        </w:tc>
        <w:tc>
          <w:tcPr>
            <w:tcW w:type="dxa" w:w="1758"/>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passed; Capital Partner cohort identified; CRE ready</w:t>
            </w:r>
          </w:p>
        </w:tc>
        <w:tc>
          <w:tcPr>
            <w:tcW w:type="dxa" w:w="1758"/>
            <w:tcW w:type="dxa" w:w="25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Equity Unit issued; Ownership Ledger event; Law Firm Client Account confirmation; validation report</w:t>
            </w:r>
          </w:p>
        </w:tc>
      </w:tr>
    </w:tbl>
    <w:p>
      <w:pPr>
        <w:pStyle w:val="Heading2"/>
        <w:keepNext/>
        <w:spacing w:before="280"/>
      </w:pPr>
      <w:r>
        <w:t>Section 4 — Workstream 4: Pilot Success Metrics (KPIs)</w:t>
      </w:r>
    </w:p>
    <w:p>
      <w:pPr>
        <w:pStyle w:val="Heading3"/>
        <w:keepNext/>
        <w:spacing w:before="200"/>
      </w:pPr>
      <w:r>
        <w:t>4.1  Overview</w:t>
      </w:r>
    </w:p>
    <w:p>
      <w:pPr>
        <w:spacing w:line="312" w:lineRule="auto" w:after="120"/>
        <w:ind w:firstLine="283"/>
        <w:jc w:val="both"/>
      </w:pPr>
      <w:r>
        <w:rPr>
          <w:rFonts w:ascii="Calibri" w:hAnsi="Calibri"/>
          <w:b w:val="0"/>
          <w:i w:val="0"/>
          <w:sz w:val="22"/>
        </w:rPr>
        <w:t>Workstream 4 defines the KPI framework against which every pilot Enterprise is measured. The framework is engineered to capture the four evidence surfaces — Enterprise operational value, strategic partnership value, regulatory engagement value, and external audit evidence value — in measurable terms that survive third-party scrutiny. Every KPI has a definition, a measurement method, a data source, a baseline, a 90-day target, and an owner. KPIs are reported weekly to the PMO, fortnightly to the executive team, and monthly to the Founder.</w:t>
      </w:r>
    </w:p>
    <w:p>
      <w:pPr>
        <w:spacing w:line="312" w:lineRule="auto" w:after="120"/>
        <w:ind w:firstLine="283"/>
        <w:jc w:val="both"/>
      </w:pPr>
      <w:r>
        <w:rPr>
          <w:rFonts w:ascii="Calibri" w:hAnsi="Calibri"/>
          <w:b w:val="0"/>
          <w:i w:val="0"/>
          <w:sz w:val="22"/>
        </w:rPr>
        <w:t>The KPI framework is intentionally constrained to twelve headline KPIs grouped into four perspectives: Constitutional Integrity, Enterprise Value, Operational Health, and Evidence Production. Constitutional Integrity KPIs are non-negotiable and must be 100% throughout the pilot; any breach is a P1 incident per the Section 1 escalation matrix. The remaining KPIs establish the empirical basis for the Lessons Learned Report (Section 19), the Executive Readiness Assessment (Section 20), and the Executive Certification (Section 21).</w:t>
      </w:r>
    </w:p>
    <w:p>
      <w:pPr>
        <w:pStyle w:val="Heading3"/>
        <w:keepNext/>
        <w:spacing w:before="200"/>
      </w:pPr>
      <w:r>
        <w:t>4.2  KPI Framework</w:t>
      </w:r>
    </w:p>
    <w:tbl>
      <w:tblPr>
        <w:tblW w:type="auto" w:w="0"/>
        <w:jc w:val="center"/>
        <w:tblLook w:firstColumn="1" w:firstRow="1" w:lastColumn="0" w:lastRow="0" w:noHBand="0" w:noVBand="1" w:val="04A0"/>
        <w:tblLayout w:type="autofit"/>
      </w:tblPr>
      <w:tblGrid>
        <w:gridCol w:w="700"/>
        <w:gridCol w:w="2900"/>
        <w:gridCol w:w="1700"/>
        <w:gridCol w:w="1904"/>
        <w:gridCol w:w="2150"/>
      </w:tblGrid>
      <w:tr>
        <w:trPr>
          <w:tblHeader/>
          <w:cantSplit/>
        </w:trPr>
        <w:tc>
          <w:tcPr>
            <w:tcW w:type="dxa" w:w="1758"/>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KPI ID</w:t>
            </w:r>
          </w:p>
        </w:tc>
        <w:tc>
          <w:tcPr>
            <w:tcW w:type="dxa" w:w="1758"/>
            <w:tcW w:type="dxa" w:w="2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KPI</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Perspective</w:t>
            </w:r>
          </w:p>
        </w:tc>
        <w:tc>
          <w:tcPr>
            <w:tcW w:type="dxa" w:w="1758"/>
            <w:tcW w:type="dxa" w:w="19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(90-day)</w:t>
            </w:r>
          </w:p>
        </w:tc>
        <w:tc>
          <w:tcPr>
            <w:tcW w:type="dxa" w:w="1758"/>
            <w:tcW w:type="dxa" w:w="21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Rate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Integrity</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K2</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Ownership Ledger Hash-Chain Integrity</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Integrity</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K3</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Zero-Custody Invariant (funds never on infrastructure)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Integrity</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K4</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Time to First Equity Unit (from Day-1 kickoff)</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Value</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&lt;= 30 days</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K5</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Capital Partner Cohort Onboarded (per Enterprise)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Value</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5</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K6</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Sponsor NPS (90-day survey)</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Value</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50</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K7</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Enterprise Retention at Day-90</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Value</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K8</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Pilot-to-Commercial Conversion (signed MSAs at Day-120)</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Health</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70%</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K9</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P1 Incidents per Enterprise (90-day window)</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Health</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CISO</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K10</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Cycle Time (signing to first issuance)</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Health</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&lt;= 30 days</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K11</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 Archived per Enterprise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Production</w:t>
            </w:r>
          </w:p>
        </w:tc>
        <w:tc>
          <w:tcPr>
            <w:tcW w:type="dxa" w:w="1758"/>
            <w:tcW w:type="dxa" w:w="19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12</w:t>
            </w:r>
          </w:p>
        </w:tc>
        <w:tc>
          <w:tcPr>
            <w:tcW w:type="dxa" w:w="1758"/>
            <w:tcW w:type="dxa" w:w="21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&amp; Evidence Coordinator</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K12</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Study Published per Enterprise (with consent)</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Production</w:t>
            </w:r>
          </w:p>
        </w:tc>
        <w:tc>
          <w:tcPr>
            <w:tcW w:type="dxa" w:w="1758"/>
            <w:tcW w:type="dxa" w:w="19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1</w:t>
            </w:r>
          </w:p>
        </w:tc>
        <w:tc>
          <w:tcPr>
            <w:tcW w:type="dxa" w:w="1758"/>
            <w:tcW w:type="dxa" w:w="21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General Counsel</w:t>
            </w:r>
          </w:p>
        </w:tc>
      </w:tr>
    </w:tbl>
    <w:p>
      <w:pPr>
        <w:pStyle w:val="Heading3"/>
        <w:keepNext/>
        <w:spacing w:before="200"/>
      </w:pPr>
      <w:r>
        <w:t>4.3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framework v1.0 published; 12 KPIs; 4 perspectives; definitions, sources, targets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PE-KPI-001; reviewed by COO and Founder 2026-09-05; targets calibrated to evidence needs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instrumentation in Mission Control dashboard (Section 10); real-time refresh</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Dashboard tiles per KPI; data sources wired; refresh interval 5 minutes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baseline established per Enterprise at Day-30 (Phase-3 gate)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Baselines pending Phase-3 gate completion; expected 2026-10-15 for cohort-1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Weekly KPI report to PMO; fortnightly to executive team; monthly to Founder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Report template KPI-RPT; distribution list managed; Founder pack includes variance commentary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exception management: any breach of K1/K2/K3 is automatic P1; K4-K10 variance &gt; 20% is P2</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 + 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Exception matrix wired to escalation matrix (Section 1); 0 P1 to date; 2 P2 variances resolved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NPS survey instrument and cadence (Day-30, Day-60, Day-90)</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Partner Success</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Survey instrument NPS-v1; response rate target &gt;= 80%; cohort-1 Day-30 NPS underway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study template v1.0; consent form; anonymisation protocol; legal review</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CCO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Template CS-v1; constitutional schedule; consent captured at signing and reaffirmed pre-publication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Pilot-to-commercial conversion pipeline tracked in CRM; MSA template ready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Pipeline of 4 Enterprises at MSA draft stage; 2 at signature stage; 0 closed (expected Q1 2027)</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dictionary maintained; definitions version-controlled; change requires PMO approval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Dictionary KPI-DICT v1.0; 12 entries; 4 perspective definitions; reviewed quarterly</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WS4-10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KPI evidence artefacts archived to Institutional Evidence Repository (Section 9)</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&amp; Evidence Coordinator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Artefacts archived weekly; 47 evidence items logged for cohort-1 to date</w:t>
            </w:r>
          </w:p>
        </w:tc>
      </w:tr>
    </w:tbl>
    <w:p>
      <w:pPr>
        <w:pStyle w:val="Heading2"/>
        <w:keepNext/>
        <w:spacing w:before="280"/>
      </w:pPr>
      <w:r>
        <w:t>Section 5 — Workstream 5: Customer Success Operations</w:t>
      </w:r>
    </w:p>
    <w:p>
      <w:pPr>
        <w:pStyle w:val="Heading3"/>
        <w:keepNext/>
        <w:spacing w:before="200"/>
      </w:pPr>
      <w:r>
        <w:t>5.1  Overview</w:t>
      </w:r>
    </w:p>
    <w:p>
      <w:pPr>
        <w:spacing w:line="312" w:lineRule="auto" w:after="120"/>
        <w:ind w:firstLine="283"/>
        <w:jc w:val="both"/>
      </w:pPr>
      <w:r>
        <w:rPr>
          <w:rFonts w:ascii="Calibri" w:hAnsi="Calibri"/>
          <w:b w:val="0"/>
          <w:i w:val="0"/>
          <w:sz w:val="22"/>
        </w:rPr>
        <w:t>Customer Success Operations is the standing function that ensures every pilot Enterprise realises the constitutional value proposition. The function is staffed by Constitutional Partner Success Managers (CPSMs) assigned per Enterprise at a ratio of 1 CPSM per 3 pilot Enterprises during the pilot phase, transitioning to 1:5 at commercial scale. The function operates a documented playbook library, a health-score model, a Quarterly Business Review cadence, and structured escalation paths into Product, Engineering, and the General Counsel. Customer Success is the established functional term; the constitutional terminology standard preserves it as a permitted phrase, and it is used throughout this Volume in that functional sense.</w:t>
      </w:r>
    </w:p>
    <w:p>
      <w:pPr>
        <w:spacing w:line="312" w:lineRule="auto" w:after="120"/>
        <w:ind w:firstLine="283"/>
        <w:jc w:val="both"/>
      </w:pPr>
      <w:r>
        <w:rPr>
          <w:rFonts w:ascii="Calibri" w:hAnsi="Calibri"/>
          <w:b w:val="0"/>
          <w:i w:val="0"/>
          <w:sz w:val="22"/>
        </w:rPr>
        <w:t>The health-score model integrates six signals: CRE utilisation, Capital Partner cohort engagement, Enterprise sponsor engagement, integration uptime, NPS trajectory, and case-study evidence production. The composite health score is the early-warning system for the pilot programme; any Enterprise dropping below 70/100 triggers a documented intervention playbook within 48 hours. The Customer Success function reports to the Chief Constitutional Partner Officer and coordinates daily with the PMO and weekly with the executive team.</w:t>
      </w:r>
    </w:p>
    <w:p>
      <w:pPr>
        <w:pStyle w:val="Heading3"/>
        <w:keepNext/>
        <w:spacing w:before="200"/>
      </w:pPr>
      <w:r>
        <w:t>5.2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function chartered; 2 CPSMs + 1 Lead + 1 Operations Analyst hired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Org chart CS-ORG-v1; CPSM ratio 1:3 during pilot; transition plan to 1:5 at commercial scale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Playbook Library v1.0: 9 playbooks (onboarding, adoption, risk, expansion, escalation, renewal, offboarding, sponsor-change, regulator-engagement)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Library CSP-LIB-01; 9 playbooks; each playbook has trigger, owner, steps, exit criteria, evidence artefact</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Health-score model v1.0: 6 signals, weighted composite, 0-100 scale, weekly refresh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Model HSM-v1; signals weighted; refresh weekly; intervention threshold 70/100</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Quarterly Business Review (QBR) cadence: every pilot Enterprise per quarter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(per Enterprise)</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QBR template; first cohort-1 QBR scheduled 2026-12-15; attendees: sponsor, CPSM, CCO (interim), PMO</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Weekly Customer Success standup; daily coordination with PMO; weekly executive sync</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Standup Monday 09:00 Cairo; PMO coordination daily; executive sync Thursday 14:00</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Escalation paths documented: Product, Engineering, Security, Legal, Founder</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Escalation matrix ESC-MTX; SLA per path; Founder path reserved for P1 and constitutional questions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feedback intake: in-product, weekly CPSM check-in, monthly sponsor call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(per Enterprise)</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Feedback channel FDBK-CH; weekly check-in template; monthly sponsor agenda; intake feeds Section 6</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CRM operationalised: Enterprise records, contact maps, cadence tracking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CRM HubSpot Pro; 6 cohort-1 records live; 4 cohort-2 records in pipeline; cadence tracking automated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training programme: constitutional model, CRE, Law Firm Client Account flow, escalation, evidence capture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Training curriculum CS-TRN-01; 40 hours initial; quarterly refresher; 2 CPSMs certified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metrics reported into KPI framework (Section 4): K6 NPS, K7 retention, K8 conversion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Metrics wired to Mission Control; daily refresh; variance flagged to PMO</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Voice-of-the-Enterprise programme: structured monthly interview; insights to Product and Roadmap</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Interview guide VoE-IG; monthly cadence; insights log; input to Section 6 and Section 19</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WS5-12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tooling: CRM, health-score dashboard, playbook runner, evidence submission to Repository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Tooling stack CS-TOOL; CRM live; dashboard live; playbook runner in development; Repository integration 2026-10-01</w:t>
            </w:r>
          </w:p>
        </w:tc>
      </w:tr>
    </w:tbl>
    <w:p>
      <w:pPr>
        <w:pStyle w:val="Heading2"/>
        <w:keepNext/>
        <w:spacing w:before="280"/>
      </w:pPr>
      <w:r>
        <w:t>Section 6 — Workstream 6: Feedback &amp; Continuous Improvement</w:t>
      </w:r>
    </w:p>
    <w:p>
      <w:pPr>
        <w:pStyle w:val="Heading3"/>
        <w:keepNext/>
        <w:spacing w:before="200"/>
      </w:pPr>
      <w:r>
        <w:t>6.1  Overview</w:t>
      </w:r>
    </w:p>
    <w:p>
      <w:pPr>
        <w:spacing w:line="312" w:lineRule="auto" w:after="120"/>
        <w:ind w:firstLine="283"/>
        <w:jc w:val="both"/>
      </w:pPr>
      <w:r>
        <w:rPr>
          <w:rFonts w:ascii="Calibri" w:hAnsi="Calibri"/>
          <w:b w:val="0"/>
          <w:i w:val="0"/>
          <w:sz w:val="22"/>
        </w:rPr>
        <w:t>Workstream 6 is the structured feedback loop that converts pilot evidence into product, process, and constitutional-model improvements. Per the Chief Operating Officer directive, no new architectural frameworks will be authored; this workstream therefore does not invent new architecture. It does, however, capture the empirical evidence that justifies targeted refinements to the existing constitutional infrastructure, the operating procedures, and the playbook library. Every refinement is version-controlled, evidence-linked, and reviewed by the Founder before adoption.</w:t>
      </w:r>
    </w:p>
    <w:p>
      <w:pPr>
        <w:spacing w:line="312" w:lineRule="auto" w:after="120"/>
        <w:ind w:firstLine="283"/>
        <w:jc w:val="both"/>
      </w:pPr>
      <w:r>
        <w:rPr>
          <w:rFonts w:ascii="Calibri" w:hAnsi="Calibri"/>
          <w:b w:val="0"/>
          <w:i w:val="0"/>
          <w:sz w:val="22"/>
        </w:rPr>
        <w:t>The workstream operates three cadences: a weekly Product Feedback Review (intake, triage, owner assignment), a monthly Pilot Retrospective (pattern identification, root-cause analysis, improvement backlog grooming), and a quarterly Roadmap Input (validated improvements promoted to the Roadmap Revision procedure). The Voice-of-the-Enterprise programme (Section 5 WS5-11) feeds this workstream. The output is a single Improvement Backlog with priorities, owners, target versions, and evidence links.</w:t>
      </w:r>
    </w:p>
    <w:p>
      <w:pPr>
        <w:pStyle w:val="Heading3"/>
        <w:keepNext/>
        <w:spacing w:before="200"/>
      </w:pPr>
      <w:r>
        <w:t>6.2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Feedback &amp; Continuous Improvement charter; three-cadence model; owner = Lead CPSM + CTO</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CTO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Charter FCI-CH; cadences weekly/monthly/quarterly; reviewed by COO 2026-09-08</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Product Feedback Review (weekly); intake from CPSMs, in-product, support, executive briefings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Lead CPSM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PFR cadence Friday 11:00 Cairo; intake triaged within 5 business days; owner assigned per item</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Improvement Backlog v1.0: 47 items logged; 12 closed; 23 in progress; 12 deferred to cohort-2</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Backlog IB-v1; Linear project AURIENTA-PILOTS; every item has evidence link, priority, owner, target version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Monthly Pilot Retrospective: pattern identification, root-cause, backlog grooming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Retrospective PR-MON; first session 2026-09-28; outputs: improvement themes, recurring friction, evidence gaps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Quarterly Roadmap Input: validated improvements promoted to Roadmap Revision (Section 21)</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quarterly input 2026-12-15; revision governed per Roadmap Revision procedure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Voice-of-the-Enterprise insights log: monthly interview outputs; tagged by theme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Insights log VoE-LOG; 23 insights logged; 8 themes identified; 4 themes promoted to Improvement Backlog</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management: every refinement to constitutional infrastructure requires Founder sign-off</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Change procedure CM-PROC; constitutional-invariant changes require unanimous Founder + General Counsel sign-off</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A/B testing framework for non-constitutional refinements (e.g., UI, copy, onboarding flow)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ABT-v1; 2 tests active; 3 tests queued; results feed Improvement Backlog</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Lessons Learned pre-population: every closed Improvement Backlog item contributes to Section 19</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Lessons learned log LL-LOG; 12 lessons captured to date; input to Section 19 at pilot closeout</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WS6-10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Constitutional-model refinement protocol: only Founder + General Counsel can propose; PMO tracks evidence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CMR-PROC; 0 proposals to date (constitution remains v1.0); protocol tested in tabletop exercise</w:t>
            </w:r>
          </w:p>
        </w:tc>
      </w:tr>
    </w:tbl>
    <w:p>
      <w:pPr>
        <w:pStyle w:val="Heading2"/>
        <w:keepNext/>
        <w:spacing w:before="280"/>
      </w:pPr>
      <w:r>
        <w:t>Section 7 — Workstream 7: Strategic Partner Execution</w:t>
      </w:r>
    </w:p>
    <w:p>
      <w:pPr>
        <w:pStyle w:val="Heading3"/>
        <w:keepNext/>
        <w:spacing w:before="200"/>
      </w:pPr>
      <w:r>
        <w:t>7.1  Overview</w:t>
      </w:r>
    </w:p>
    <w:p>
      <w:pPr>
        <w:spacing w:line="312" w:lineRule="auto" w:after="120"/>
        <w:ind w:firstLine="283"/>
        <w:jc w:val="both"/>
      </w:pPr>
      <w:r>
        <w:rPr>
          <w:rFonts w:ascii="Calibri" w:hAnsi="Calibri"/>
          <w:b w:val="0"/>
          <w:i w:val="0"/>
          <w:sz w:val="22"/>
        </w:rPr>
        <w:t>Workstream 7 onboards and operates the strategic partners whose participation is a precondition for institutional scale: a Law Firm partner (for the Law Firm Client Account role), an Accounting firm partner (for audit-grade capital-participation reporting), a Banking partner (for regulatory liaison and payment-rail familiarity), a University partner (for the academic-certification track and talent pipeline), and an Industry Association partner (for sector-specific Enterprise access). Each partner is selected through a structured due-diligence process, onboarded through a defined Master Services Agreement template, and operated through a joint cadence with documented evidence capture.</w:t>
      </w:r>
    </w:p>
    <w:p>
      <w:pPr>
        <w:spacing w:line="312" w:lineRule="auto" w:after="120"/>
        <w:ind w:firstLine="283"/>
        <w:jc w:val="both"/>
      </w:pPr>
      <w:r>
        <w:rPr>
          <w:rFonts w:ascii="Calibri" w:hAnsi="Calibri"/>
          <w:b w:val="0"/>
          <w:i w:val="0"/>
          <w:sz w:val="22"/>
        </w:rPr>
        <w:t>The constitutional constraints on partners are explicit: no partner may take custody of Capital Partner funds (the Zero-Custody invariant applies to partners as it does to the constitutional infrastructure); no partner may price Equity Units (Fundamental Pricing is sole-sourced to the Enterprise and the Constitutional Runtime Engine); no partner may override CRE decisioning (Constitutional Policy Enforcement is the constitutional infrastructure's sole prerogative). Partner contracts include a constitutional schedule that restates these invariants; partner personnel complete constitutional training before any joint operation.</w:t>
      </w:r>
    </w:p>
    <w:p>
      <w:pPr>
        <w:pStyle w:val="Heading3"/>
        <w:keepNext/>
        <w:spacing w:before="200"/>
      </w:pPr>
      <w:r>
        <w:t>7.2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 Due Diligence framework v1.0: 5 partner categories; 12 criteria each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SPDD-001; criteria include constitutional alignment, regulatory standing, evidence capacity, references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partner selected (Law Firm Client Account role): 3 firms evaluated, 1 selected, MSA in draft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Selected firm: regional Egyptian law firm with capital-markets practice; MSA draft LFP-MSA-v1; target signing 2026-10-30</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Accounting firm partner (Big-Four-aligned): 2 firms evaluated, 1 shortlisted, MSA in draft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CFO (interim)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Shortlisted firm: Big-Four regional practice; MSA draft AFP-MSA-v1; target signing 2026-11-15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Banking partner (regulatory liaison): 3 banks evaluated, 1 shortlisted, dialogue in progress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Shortlisted bank: Egyptian commercial bank with FRA familiarity; dialogue on Letter of Intent; target LOI 2026-12-01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 (academic certification + talent pipeline): 2 universities evaluated, 1 selected, MoU signed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COO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Selected: regional university business school; MoU signed 2026-09-10; first joint workshop scheduled 2026-11-01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Industry Association partner: 2 associations evaluated, 1 selected, MoU in draft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Selected: regional industry association for manufacturing Enterprises; MoU draft IAP-MOU-v1; target signing 2026-11-30</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Master Services Agreement template v1.0 with constitutional schedule; external counsel reviewed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Template MSA-v1; constitutional schedule attached; reviewed by external Egyptian counsel; signed by University partner</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onboarding protocol: KYC, constitutional training, integration setup, joint kickoff</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CCO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POP-001; constitutional training 4 hours; KYC per partner; joint kickoff ceremony per partner</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 per partner: monthly operating review; quarterly executive sync</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Cadence JOC-v1; per-partner calendar; minutes published; evidence captured per cadence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evidence capture: every joint operation produces an evidence artefact archived to Repository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&amp; Evidence Coordinator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 partner evidence artefacts archived to date; target 60+ artefacts by end of cohort-1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performance scorecard v1.0: 8 KPIs per partner; quarterly review; renewal/exit criteria</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Scorecard PPS-v1; KPIs include responsiveness, evidence quality, constitutional alignment, joint-ops throughput</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WS7-12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Directory published (constitutional-services directory; non-public); access-controlled</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Directory PD-v1; 5 partner categories; access-controlled; visible to Founder, COO, General Counsel, CCO (interim)</w:t>
            </w:r>
          </w:p>
        </w:tc>
      </w:tr>
    </w:tbl>
    <w:p>
      <w:pPr>
        <w:pStyle w:val="Heading2"/>
        <w:keepNext/>
        <w:spacing w:before="280"/>
      </w:pPr>
      <w:r>
        <w:t>Section 8 — Workstream 8: Regulatory Engagement</w:t>
      </w:r>
    </w:p>
    <w:p>
      <w:pPr>
        <w:pStyle w:val="Heading3"/>
        <w:keepNext/>
        <w:spacing w:before="200"/>
      </w:pPr>
      <w:r>
        <w:t>8.1  Overview</w:t>
      </w:r>
    </w:p>
    <w:p>
      <w:pPr>
        <w:spacing w:line="312" w:lineRule="auto" w:after="120"/>
        <w:ind w:firstLine="283"/>
        <w:jc w:val="both"/>
      </w:pPr>
      <w:r>
        <w:rPr>
          <w:rFonts w:ascii="Calibri" w:hAnsi="Calibri"/>
          <w:b w:val="0"/>
          <w:i w:val="0"/>
          <w:sz w:val="22"/>
        </w:rPr>
        <w:t>Workstream 8 formalises AURIENTA's engagement with the Egyptian Financial Regulatory Authority (FRA), the General Authority for Capital Participation and Free Zones (GAFI), the Egyptian Tax Authority (ETA), and the Personal Data Protection Centre (PDPC). The engagement is proactive, transparent, and evidence-led: AURIENTA presents the constitutional model, the Zero-Custody invariant, the Law Firm Client Account flow, and the pilot evidence base to each regulator through structured briefings, seeks formal no-action or interpretive letters where appropriate, and commits to voluntary disclosures that exceed the statutory minimum. The General Counsel owns the engagement end-to-end; the Compliance Officer supports evidence production and regulatory-log maintenance.</w:t>
      </w:r>
    </w:p>
    <w:p>
      <w:pPr>
        <w:spacing w:line="312" w:lineRule="auto" w:after="120"/>
        <w:ind w:firstLine="283"/>
        <w:jc w:val="both"/>
      </w:pPr>
      <w:r>
        <w:rPr>
          <w:rFonts w:ascii="Calibri" w:hAnsi="Calibri"/>
          <w:b w:val="0"/>
          <w:i w:val="0"/>
          <w:sz w:val="22"/>
        </w:rPr>
        <w:t>Every regulatory engagement is recorded in the Regulatory Engagement Register with date, attendees, briefing materials, regulator questions, AURIENTA responses, follow-up actions, and outcome. The register is the auditable evidence base for Section 17 (Regulatory Engagement Report) and a critical input to the SOC 2 / ISO 27001 evidence packages. AURIENTA's posture is cooperation first, contestation never: where a regulator expresses concern, AURIENTA adjusts the constitutional model or the operating procedures rather than litigating. The Founder retains final authority on any engagement that touches a constitutional invariant.</w:t>
      </w:r>
    </w:p>
    <w:p>
      <w:pPr>
        <w:pStyle w:val="Heading3"/>
        <w:keepNext/>
        <w:spacing w:before="200"/>
      </w:pPr>
      <w:r>
        <w:t>8.2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Strategy v1.0: 4 regulators; 12-month engagement plan; posture = proactive + transparent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Strategy RES-v1; approved by Founder 2026-09-12; reviewed quarterly</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Register established; immutable; hash-chain anchored; 7-year retention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Register RER-001..; every engagement logged; 7-year retention per regulatory standard</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briefing pack v1.0: constitutional model, Zero-Custody, Law Firm Client Account, pilot evidence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Pack FRA-BP-v1; 42 pages; reviewed by external Egyptian counsel; ready for submission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engagement: introductory briefing requested; pre-briefing dialogue with FRA staff</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request submitted 2026-09-15; pre-briefing dialogue scheduled 2026-10-20; target formal briefing Q4 2026</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GAFI engagement: Enterprise-formation implications; Equity Unit issuance alignment with GAFI processes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pack GAFI-BP-v1 in draft; target submission 2026-11-15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ETA engagement: tax treatment of Equity Units; Law Firm Client Account flows; capital-participation reporting</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CFO (interim)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pack ETA-BP-v1 in draft; target submission 2026-12-01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PDPC engagement: data-subject rights under Law 151 of 2020; cross-border data flows; pilot Enterprise data</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 + 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pack PDPC-BP-v1 in draft; data-flow map complete; target submission 2026-11-30</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No-action / interpretive letter pursuit: 2 letters drafted (FRA on Equity Units; PDPC on data flows)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Letter drafts NAL-001 and NAL-002; submission contingent on briefing completion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Voluntary disclosures: AURIENTA commits to disclosure that exceeds statutory minimum (e.g., quarterly transparency report)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Disclosure framework VD-FW-v1; first quarterly transparency report scheduled 2027-Q1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Log maintained: every regulator contact, every regulator-initiated query, every response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Log REG-LOG; 7 contacts logged to date; 0 regulator-initiated queries; 0 enforcement actions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 engaged: Egyptian capital-markets specialist firm</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Engagement letter signed 2026-09-05; counsel reviews every regulator-facing artefact</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WS8-12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quarterly review: Founder + General Counsel + Compliance Officer + COO</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Review cadence RQR-Q; first review 2026-12-15; output feeds Roadmap Revision (Section 21)</w:t>
            </w:r>
          </w:p>
        </w:tc>
      </w:tr>
    </w:tbl>
    <w:p>
      <w:pPr>
        <w:pStyle w:val="Heading2"/>
        <w:keepNext/>
        <w:spacing w:before="280"/>
      </w:pPr>
      <w:r>
        <w:t>Section 9 — Workstream 9: Institutional Evidence Repository</w:t>
      </w:r>
    </w:p>
    <w:p>
      <w:pPr>
        <w:pStyle w:val="Heading3"/>
        <w:keepNext/>
        <w:spacing w:before="200"/>
      </w:pPr>
      <w:r>
        <w:t>9.1  Overview</w:t>
      </w:r>
    </w:p>
    <w:p>
      <w:pPr>
        <w:spacing w:line="312" w:lineRule="auto" w:after="120"/>
        <w:ind w:firstLine="283"/>
        <w:jc w:val="both"/>
      </w:pPr>
      <w:r>
        <w:rPr>
          <w:rFonts w:ascii="Calibri" w:hAnsi="Calibri"/>
          <w:b w:val="0"/>
          <w:i w:val="0"/>
          <w:sz w:val="22"/>
        </w:rPr>
        <w:t>Workstream 9 establishes the Institutional Evidence Repository — the single, auditable, immutable store of every artefact required to substantiate AURIENTA's institutional claims to external auditors (SOC 2, ISO 27001), regulators (FRA, GAFI, ETA, PDPC), strategic partners, and Enterprise procurement functions. The Repository is the operational backbone of the institutional shift from architecture to evidence: every claim made in the AURIENTA Blueprint, in regulatory briefings, and in audit evidence packages must trace to a Repository artefact with a verifiable hash.</w:t>
      </w:r>
    </w:p>
    <w:p>
      <w:pPr>
        <w:spacing w:line="312" w:lineRule="auto" w:after="120"/>
        <w:ind w:firstLine="283"/>
        <w:jc w:val="both"/>
      </w:pPr>
      <w:r>
        <w:rPr>
          <w:rFonts w:ascii="Calibri" w:hAnsi="Calibri"/>
          <w:b w:val="0"/>
          <w:i w:val="0"/>
          <w:sz w:val="22"/>
        </w:rPr>
        <w:t>The Repository is structured by evidence domain (Constitutional Integrity, Enterprise Operations, Strategic Partnership, Regulatory Engagement, Security &amp; Compliance, Performance, Customer Success) and by evidence type (Policy, Procedure, Configuration, Test Result, Audit Log, Decision Record, Case Study, Regulatory Filing, Partner Contract, Pilot Artefact). Every artefact has a unique ID, a content hash, a version, an owner, a retention class, and an access-control classification. The Repository is hash-chain anchored to the Ownership Ledger so that evidence integrity is verifiable independently of AURIENTA. Access is logged and reviewed monthly by the Compliance Officer.</w:t>
      </w:r>
    </w:p>
    <w:p>
      <w:pPr>
        <w:pStyle w:val="Heading3"/>
        <w:keepNext/>
        <w:spacing w:before="200"/>
      </w:pPr>
      <w:r>
        <w:t>9.2  Evidence Domains and Types</w:t>
      </w:r>
    </w:p>
    <w:tbl>
      <w:tblPr>
        <w:tblW w:type="auto" w:w="0"/>
        <w:jc w:val="center"/>
        <w:tblLook w:firstColumn="1" w:firstRow="1" w:lastColumn="0" w:lastRow="0" w:noHBand="0" w:noVBand="1" w:val="04A0"/>
        <w:tblLayout w:type="autofit"/>
      </w:tblPr>
      <w:tblGrid>
        <w:gridCol w:w="1800"/>
        <w:gridCol w:w="2200"/>
        <w:gridCol w:w="3504"/>
        <w:gridCol w:w="1850"/>
      </w:tblGrid>
      <w:tr>
        <w:trPr>
          <w:tblHeader/>
          <w:cantSplit/>
        </w:trPr>
        <w:tc>
          <w:tcPr>
            <w:tcW w:type="dxa" w:w="2197"/>
            <w:tcW w:type="dxa" w:w="1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Domain</w:t>
            </w:r>
          </w:p>
        </w:tc>
        <w:tc>
          <w:tcPr>
            <w:tcW w:type="dxa" w:w="2197"/>
            <w:tcW w:type="dxa" w:w="2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Description</w:t>
            </w:r>
          </w:p>
        </w:tc>
        <w:tc>
          <w:tcPr>
            <w:tcW w:type="dxa" w:w="2197"/>
            <w:tcW w:type="dxa" w:w="35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Example Artefacts</w:t>
            </w:r>
          </w:p>
        </w:tc>
        <w:tc>
          <w:tcPr>
            <w:tcW w:type="dxa" w:w="2197"/>
            <w:tcW w:type="dxa" w:w="1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r>
      <w:tr>
        <w:trPr>
          <w:cantSplit/>
        </w:trPr>
        <w:tc>
          <w:tcPr>
            <w:tcW w:type="dxa" w:w="2197"/>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Integrity</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ledger integrity, invariant verification</w:t>
            </w:r>
          </w:p>
        </w:tc>
        <w:tc>
          <w:tcPr>
            <w:tcW w:type="dxa" w:w="2197"/>
            <w:tcW w:type="dxa" w:w="3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suite output; ledger hash-chain verification; Zero-Custody assertion log</w:t>
            </w:r>
          </w:p>
        </w:tc>
        <w:tc>
          <w:tcPr>
            <w:tcW w:type="dxa" w:w="2197"/>
            <w:tcW w:type="dxa" w:w="1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r>
      <w:tr>
        <w:trPr>
          <w:cantSplit/>
        </w:trPr>
        <w:tc>
          <w:tcPr>
            <w:tcW w:type="dxa" w:w="2197"/>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Operations</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onboarding, configuration baselines, validation reports</w:t>
            </w:r>
          </w:p>
        </w:tc>
        <w:tc>
          <w:tcPr>
            <w:tcW w:type="dxa" w:w="2197"/>
            <w:tcW w:type="dxa" w:w="3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Discovery Workshop outputs; CRE config baselines; Onboarding Factory validation reports</w:t>
            </w:r>
          </w:p>
        </w:tc>
        <w:tc>
          <w:tcPr>
            <w:tcW w:type="dxa" w:w="2197"/>
            <w:tcW w:type="dxa" w:w="1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r>
      <w:tr>
        <w:trPr>
          <w:cantSplit/>
        </w:trPr>
        <w:tc>
          <w:tcPr>
            <w:tcW w:type="dxa" w:w="2197"/>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Partnership</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contracts, joint operations, evidence capture</w:t>
            </w:r>
          </w:p>
        </w:tc>
        <w:tc>
          <w:tcPr>
            <w:tcW w:type="dxa" w:w="2197"/>
            <w:tcW w:type="dxa" w:w="3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MSAs with constitutional schedule; partner meeting minutes; joint operation evidence artefacts</w:t>
            </w:r>
          </w:p>
        </w:tc>
        <w:tc>
          <w:tcPr>
            <w:tcW w:type="dxa" w:w="2197"/>
            <w:tcW w:type="dxa" w:w="1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r>
      <w:tr>
        <w:trPr>
          <w:cantSplit/>
        </w:trPr>
        <w:tc>
          <w:tcPr>
            <w:tcW w:type="dxa" w:w="2197"/>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 briefings, no-action letters, voluntary disclosures</w:t>
            </w:r>
          </w:p>
        </w:tc>
        <w:tc>
          <w:tcPr>
            <w:tcW w:type="dxa" w:w="2197"/>
            <w:tcW w:type="dxa" w:w="3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briefing pack; no-action letter drafts; quarterly transparency report; Regulatory Engagement Register</w:t>
            </w:r>
          </w:p>
        </w:tc>
        <w:tc>
          <w:tcPr>
            <w:tcW w:type="dxa" w:w="2197"/>
            <w:tcW w:type="dxa" w:w="1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r>
      <w:tr>
        <w:trPr>
          <w:cantSplit/>
        </w:trPr>
        <w:tc>
          <w:tcPr>
            <w:tcW w:type="dxa" w:w="2197"/>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&amp; Compliance</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 ISO 27001 evidence, audit logs, access reviews</w:t>
            </w:r>
          </w:p>
        </w:tc>
        <w:tc>
          <w:tcPr>
            <w:tcW w:type="dxa" w:w="2197"/>
            <w:tcW w:type="dxa" w:w="3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 review attestations; audit log exports; penetration test reports; SBOMs</w:t>
            </w:r>
          </w:p>
        </w:tc>
        <w:tc>
          <w:tcPr>
            <w:tcW w:type="dxa" w:w="2197"/>
            <w:tcW w:type="dxa" w:w="1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 + Compliance Officer</w:t>
            </w:r>
          </w:p>
        </w:tc>
      </w:tr>
      <w:tr>
        <w:trPr>
          <w:cantSplit/>
        </w:trPr>
        <w:tc>
          <w:tcPr>
            <w:tcW w:type="dxa" w:w="2197"/>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Performance</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SLO reports, load test results, observability dashboards</w:t>
            </w:r>
          </w:p>
        </w:tc>
        <w:tc>
          <w:tcPr>
            <w:tcW w:type="dxa" w:w="2197"/>
            <w:tcW w:type="dxa" w:w="35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SLO burn-rate reports; k6 load test outputs; Grafana dashboard exports</w:t>
            </w:r>
          </w:p>
        </w:tc>
        <w:tc>
          <w:tcPr>
            <w:tcW w:type="dxa" w:w="2197"/>
            <w:tcW w:type="dxa" w:w="1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r>
      <w:tr>
        <w:trPr>
          <w:cantSplit/>
        </w:trPr>
        <w:tc>
          <w:tcPr>
            <w:tcW w:type="dxa" w:w="2197"/>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QBR decks, NPS results, case studies, voice-of-the-enterprise insights</w:t>
            </w:r>
          </w:p>
        </w:tc>
        <w:tc>
          <w:tcPr>
            <w:tcW w:type="dxa" w:w="2197"/>
            <w:tcW w:type="dxa" w:w="35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QBR slide decks per Enterprise; NPS survey outputs; case study CS-v1; VoE insights log</w:t>
            </w:r>
          </w:p>
        </w:tc>
        <w:tc>
          <w:tcPr>
            <w:tcW w:type="dxa" w:w="2197"/>
            <w:tcW w:type="dxa" w:w="1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r>
    </w:tbl>
    <w:p>
      <w:pPr>
        <w:pStyle w:val="Heading3"/>
        <w:keepNext/>
        <w:spacing w:before="200"/>
      </w:pPr>
      <w:r>
        <w:t>9.3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architecture v1.0: 7 domains, 10 types, hash-chain anchored, access-controlled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 + 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Architecture IER-ARCH-v1; anchored to Ownership Ledger; S3-compatible backend; immutable WORM</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deployed: encrypted-at-rest; version-controlled; immutable; hash-chain anchored per artefact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SRE Lead</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live at evidence.aurienta.internal; 187 artefacts ingested; 0 integrity violations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taxonomy v1.0: 7 domains x 10 types; classification scheme; retention classes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&amp; Evidence Coordinator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Taxonomy IER-TAX-v1; reviewed by Compliance Officer 2026-09-12</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Access-control matrix: role-based; least-privilege; quarterly access review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 + 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Matrix IER-ACM-v1; 8 roles; 7 domains; quarterly review cadence; first review 2026-12-01</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Artefact ingestion protocol: unique ID, content hash, version, owner, retention, classification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Documentation &amp; Evidence Coordinator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IER-ING-001; automated hash on ingestion; manual metadata; 187 artefacts ingested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log of every Repository access (read, write, export); forwarded to SIEM</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log IER-LOG; immutable; SIEM forwarding; monthly access review by Compliance Officer</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External-auditor access protocol: time-boxed, scoped, supervised, logged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IER-EAP-001; auditors receive scoped read tokens; 4-eyes on every export; full audit trail</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evidence package v0.9 (under construction): maps every TSC criterion to Repository artefacts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Package SOC2-PKG-v0.9; 64 of 64 TSC criteria mapped; 41 artefacts cross-referenced; target v1.0 2026-12-15</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27001 evidence package v0.9 (under construction): maps every Annex A control to Repository artefacts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Package ISO27001-PKG-v0.9; 93 of 93 Annex A controls mapped; 67 artefacts cross-referenced; target v1.0 2026-12-15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 evidence package v0.9: FRA briefing pack + supporting Repository artefacts</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 Compliance Officer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Package FRA-PKG-v0.9; 18 supporting artefacts cross-referenced; target v1.0 with FRA submission</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evidence package v1.0: case studies, QBR decks, NPS outputs, VoE insights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Package CS-PKG-v1; 6 case-study drafts; 6 QBR decks queued; NPS outputs live; VoE insights log</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WS9-12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quarterly integrity audit: hash-chain verification, completeness check, retention enforcement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 + 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First audit 2026-12-15; output feeds Section 18 (Institutional Evidence Report)</w:t>
            </w:r>
          </w:p>
        </w:tc>
      </w:tr>
    </w:tbl>
    <w:p>
      <w:pPr>
        <w:pStyle w:val="Heading2"/>
        <w:keepNext/>
        <w:spacing w:before="280"/>
      </w:pPr>
      <w:r>
        <w:t>Section 10 — Workstream 10: Executive Mission Control</w:t>
      </w:r>
    </w:p>
    <w:p>
      <w:pPr>
        <w:pStyle w:val="Heading3"/>
        <w:keepNext/>
        <w:spacing w:before="200"/>
      </w:pPr>
      <w:r>
        <w:t>10.1  Overview</w:t>
      </w:r>
    </w:p>
    <w:p>
      <w:pPr>
        <w:spacing w:line="312" w:lineRule="auto" w:after="120"/>
        <w:ind w:firstLine="283"/>
        <w:jc w:val="both"/>
      </w:pPr>
      <w:r>
        <w:rPr>
          <w:rFonts w:ascii="Calibri" w:hAnsi="Calibri"/>
          <w:b w:val="0"/>
          <w:i w:val="0"/>
          <w:sz w:val="22"/>
        </w:rPr>
        <w:t>Executive Mission Control is the real-time command surface through which the Founder, the Chief Operating Officer, and the executive team observe and direct the pilot programme. It is the single dashboard that aggregates every workstream signal into one screen, with drill-down to underlying evidence artefacts in the Institutional Evidence Repository. Mission Control is engineered for two operating modes: steady-state monitoring (default; refreshes every 5 minutes) and incident-mode operations (P1 trigger; refreshes every 60 seconds; auto-convenes the incident bridge).</w:t>
      </w:r>
    </w:p>
    <w:p>
      <w:pPr>
        <w:spacing w:line="312" w:lineRule="auto" w:after="120"/>
        <w:ind w:firstLine="283"/>
        <w:jc w:val="both"/>
      </w:pPr>
      <w:r>
        <w:rPr>
          <w:rFonts w:ascii="Calibri" w:hAnsi="Calibri"/>
          <w:b w:val="0"/>
          <w:i w:val="0"/>
          <w:sz w:val="22"/>
        </w:rPr>
        <w:t>Mission Control surfaces the twelve KPIs from Section 4, the twelve workstream statuses from Sections 1-9 and 11-12, the partner pipeline from Section 7, the regulatory engagement status from Section 8, and the evidence-repository health from Section 9. It also surfaces the exception queue from the Section 1 escalation matrix and the Improvement Backlog from Section 6. Mission Control is operated by the PMO Director with the Programme Analyst on shift; the Chief Operating Officer reviews Mission Control at the start of every working day.</w:t>
      </w:r>
    </w:p>
    <w:p>
      <w:pPr>
        <w:pStyle w:val="Heading3"/>
        <w:keepNext/>
        <w:spacing w:before="200"/>
      </w:pPr>
      <w:r>
        <w:t>10.2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Mission Control dashboard v1.0: 12 KPI tiles, 12 workstream tiles, exception queue, partner pipeline, regulatory status</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Dashboard MC-v1; refresh 5 min steady-state, 60 sec incident-mode; access-controlled to executive team</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Drill-down to Repository artefacts: every tile links to underlying evidence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Drill-down via artefact ID; hash-verified; access-logged; 187 artefacts reachable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Incident-mode trigger: P1 exception auto-convenes incident bridge; refresh 60 sec; Slack + PagerDuty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 + SRE Lead</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Trigger IMC-TRIG; 0 P1 incidents to date; tabletop drill conducted 2026-09-20</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Weekly executive briefing template; monthly Founder pack; quarterly Roadmap pack</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Templates EXB-WKL, EXB-MON, EXB-QTR; auto-populated from Mission Control data</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Mobile-optimised view for Founder and COO; read-only; same access control</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Mobile view MC-MOB; tested on iOS and Android; read-only; same access logging as desktop</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Anomaly detection on KPI trends: variance &gt; 20% triggers P2; auto-creates Improvement Backlog item</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 + 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Detection MC-AD; 2 anomalies flagged to date; both resolved; 0 false positives</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Mission Control access audit: who viewed what when; quarterly review by Compliance Officer</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log MC-LOG; 4 executive viewers; 14 PMO viewers; quarterly review 2026-12-01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WS10-08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Mission Control integration with Section 9 Repository: tile-to-artefact linkage verified weekly</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Analyst</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Integration MC-IER; weekly verification; 0 broken links to date</w:t>
            </w:r>
          </w:p>
        </w:tc>
      </w:tr>
    </w:tbl>
    <w:p>
      <w:pPr>
        <w:pStyle w:val="Heading2"/>
        <w:keepNext/>
        <w:spacing w:before="280"/>
      </w:pPr>
      <w:r>
        <w:t>Section 11 — Workstream 11: Pilot Completion Framework</w:t>
      </w:r>
    </w:p>
    <w:p>
      <w:pPr>
        <w:pStyle w:val="Heading3"/>
        <w:keepNext/>
        <w:spacing w:before="200"/>
      </w:pPr>
      <w:r>
        <w:t>11.1  Overview</w:t>
      </w:r>
    </w:p>
    <w:p>
      <w:pPr>
        <w:spacing w:line="312" w:lineRule="auto" w:after="120"/>
        <w:ind w:firstLine="283"/>
        <w:jc w:val="both"/>
      </w:pPr>
      <w:r>
        <w:rPr>
          <w:rFonts w:ascii="Calibri" w:hAnsi="Calibri"/>
          <w:b w:val="0"/>
          <w:i w:val="0"/>
          <w:sz w:val="22"/>
        </w:rPr>
        <w:t>Workstream 11 defines the structured closeout for every pilot Enterprise. The 90-day pilot concludes with a completion gate that either authorises transition to commercial deployment (signed MSA, evidence dossier archived, case study published, reference consent captured) or triggers a structured exit (lessons learned, evidence archived, no commercial relationship). The framework is engineered for symmetry: both outcomes produce evidence; both outcomes feed the Lessons Learned Report (Section 19) and the Executive Readiness Assessment (Section 20).</w:t>
      </w:r>
    </w:p>
    <w:p>
      <w:pPr>
        <w:spacing w:line="312" w:lineRule="auto" w:after="120"/>
        <w:ind w:firstLine="283"/>
        <w:jc w:val="both"/>
      </w:pPr>
      <w:r>
        <w:rPr>
          <w:rFonts w:ascii="Calibri" w:hAnsi="Calibri"/>
          <w:b w:val="0"/>
          <w:i w:val="0"/>
          <w:sz w:val="22"/>
        </w:rPr>
        <w:t>The completion gate is reviewed by the Pilot Completion Committee, which convenes weekly during the active completion window. The committee comprises the COO (chair), the Founder, the CTO, the General Counsel, and the CCO (interim). The committee decision is recorded in the Pilot Decision Register with the evidence dossier ID, the completion outcome, and the rationale. Exit interviews are conducted by the Lead CPSM and the PMO Director; the output feeds Section 19.</w:t>
      </w:r>
    </w:p>
    <w:p>
      <w:pPr>
        <w:pStyle w:val="Heading3"/>
        <w:keepNext/>
        <w:spacing w:before="200"/>
      </w:pPr>
      <w:r>
        <w:t>11.2  Completion Gate Criteria</w:t>
      </w:r>
    </w:p>
    <w:tbl>
      <w:tblPr>
        <w:tblW w:type="auto" w:w="0"/>
        <w:jc w:val="center"/>
        <w:tblLook w:firstColumn="1" w:firstRow="1" w:lastColumn="0" w:lastRow="0" w:noHBand="0" w:noVBand="1" w:val="04A0"/>
        <w:tblLayout w:type="autofit"/>
      </w:tblPr>
      <w:tblGrid>
        <w:gridCol w:w="2100"/>
        <w:gridCol w:w="2800"/>
        <w:gridCol w:w="1700"/>
        <w:gridCol w:w="2754"/>
      </w:tblGrid>
      <w:tr>
        <w:trPr>
          <w:tblHeader/>
          <w:cantSplit/>
        </w:trPr>
        <w:tc>
          <w:tcPr>
            <w:tcW w:type="dxa" w:w="2197"/>
            <w:tcW w:type="dxa" w:w="2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Criterion</w:t>
            </w:r>
          </w:p>
        </w:tc>
        <w:tc>
          <w:tcPr>
            <w:tcW w:type="dxa" w:w="2197"/>
            <w:tcW w:type="dxa" w:w="2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Description</w:t>
            </w:r>
          </w:p>
        </w:tc>
        <w:tc>
          <w:tcPr>
            <w:tcW w:type="dxa" w:w="2197"/>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Threshold</w:t>
            </w:r>
          </w:p>
        </w:tc>
        <w:tc>
          <w:tcPr>
            <w:tcW w:type="dxa" w:w="2197"/>
            <w:tcW w:type="dxa" w:w="27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w:t>
            </w:r>
          </w:p>
        </w:tc>
      </w:tr>
      <w:tr>
        <w:trPr>
          <w:cantSplit/>
        </w:trPr>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Integrity</w:t>
            </w:r>
          </w:p>
        </w:tc>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 K2, K3 maintained throughout 90-day window</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 throughout</w:t>
            </w:r>
          </w:p>
        </w:tc>
        <w:tc>
          <w:tcPr>
            <w:tcW w:type="dxa" w:w="2197"/>
            <w:tcW w:type="dxa" w:w="2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log; ledger hash-chain; Zero-Custody assertion log</w:t>
            </w:r>
          </w:p>
        </w:tc>
      </w:tr>
      <w:tr>
        <w:trPr>
          <w:cantSplit/>
        </w:trPr>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Value Delivered</w:t>
            </w:r>
          </w:p>
        </w:tc>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K4, K5, K6, K7 targets met</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K4 &lt;= 30d; K5 &gt;= 5; K6 &gt;= 50; K7 = 100%</w:t>
            </w:r>
          </w:p>
        </w:tc>
        <w:tc>
          <w:tcPr>
            <w:tcW w:type="dxa" w:w="2197"/>
            <w:tcW w:type="dxa" w:w="2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cycle-time log; Capital Partner roster; NPS Day-90; retention log</w:t>
            </w:r>
          </w:p>
        </w:tc>
      </w:tr>
      <w:tr>
        <w:trPr>
          <w:cantSplit/>
        </w:trPr>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Health</w:t>
            </w:r>
          </w:p>
        </w:tc>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K8, K9, K10 targets met</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K8 &gt;= 70%; K9 = 0; K10 &lt;= 30d</w:t>
            </w:r>
          </w:p>
        </w:tc>
        <w:tc>
          <w:tcPr>
            <w:tcW w:type="dxa" w:w="2197"/>
            <w:tcW w:type="dxa" w:w="2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Conversion pipeline; incident log; cycle-time audit</w:t>
            </w:r>
          </w:p>
        </w:tc>
      </w:tr>
      <w:tr>
        <w:trPr>
          <w:cantSplit/>
        </w:trPr>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Production</w:t>
            </w:r>
          </w:p>
        </w:tc>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K11, K12 targets met</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K11 &gt;= 12; K12 &gt;= 1</w:t>
            </w:r>
          </w:p>
        </w:tc>
        <w:tc>
          <w:tcPr>
            <w:tcW w:type="dxa" w:w="2197"/>
            <w:tcW w:type="dxa" w:w="2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artefact count; case study publication log</w:t>
            </w:r>
          </w:p>
        </w:tc>
      </w:tr>
      <w:tr>
        <w:trPr>
          <w:cantSplit/>
        </w:trPr>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Sponsor Endorsement</w:t>
            </w:r>
          </w:p>
        </w:tc>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Named sponsor sign-off on completion survey</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Sponsor signed</w:t>
            </w:r>
          </w:p>
        </w:tc>
        <w:tc>
          <w:tcPr>
            <w:tcW w:type="dxa" w:w="2197"/>
            <w:tcW w:type="dxa" w:w="2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Completion survey instrument; signed endorsement form</w:t>
            </w:r>
          </w:p>
        </w:tc>
      </w:tr>
      <w:tr>
        <w:trPr>
          <w:cantSplit/>
        </w:trPr>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Study Consent</w:t>
            </w:r>
          </w:p>
        </w:tc>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consents to anonymised case study + reference</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Consent signed</w:t>
            </w:r>
          </w:p>
        </w:tc>
        <w:tc>
          <w:tcPr>
            <w:tcW w:type="dxa" w:w="2197"/>
            <w:tcW w:type="dxa" w:w="2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Consent form CS-CONSENT; reaffirmed pre-publication</w:t>
            </w:r>
          </w:p>
        </w:tc>
      </w:tr>
      <w:tr>
        <w:trPr>
          <w:cantSplit/>
        </w:trPr>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Conversion (preferred outcome)</w:t>
            </w:r>
          </w:p>
        </w:tc>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drafted, reviewed, ready for signature</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ready or structured exit agreed</w:t>
            </w:r>
          </w:p>
        </w:tc>
        <w:tc>
          <w:tcPr>
            <w:tcW w:type="dxa" w:w="2197"/>
            <w:tcW w:type="dxa" w:w="2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draft per Enterprise; legal review complete</w:t>
            </w:r>
          </w:p>
        </w:tc>
      </w:tr>
    </w:tbl>
    <w:p>
      <w:pPr>
        <w:pStyle w:val="Heading3"/>
        <w:keepNext/>
        <w:spacing w:before="200"/>
      </w:pPr>
      <w:r>
        <w:t>11.3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Completion Framework v1.0 published; 7 gate criteria; 2 outcomes; review cadence</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PCF-v1; reviewed 2026-09-15; Pilot Completion Committee chartered</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Completion Committee chartered; 5 voting members; weekly during completion window</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Committee: COO (chair), Founder, CTO, General Counsel, CCO (interim); quorum 4 of 5</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Completion survey instrument v1.0: sponsor + CPSM + PMO perspectives; structured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 + PMO Director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Survey PCF-SUR-v1; Likert + free text; 47 questions across 7 dimensions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Exit interview protocol: structured; 90 minutes; Lead CPSM + PMO Director; recorded (consent)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 + PMO Director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PCF-EXIT; consent for recording; transcript archived to Repository</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study production pipeline: draft -&gt; Enterprise review -&gt; legal review -&gt; publish</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Pipeline CS-PIPE-v1; 6 drafts in progress; 0 published (target first publication 2026-11-15)</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Reference consent form: anonymised reference, named reference, regulator reference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Form CS-CONSENT-v1; 3 consent tiers; captured at completion gate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MSA template v1.0: commercial schedule, constitutional schedule, SLA, exit</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Template MSA-COMM-v1; external counsel reviewed; ready for cohort-1 completion</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Structured exit protocol: evidence archived; lessons learned; no commercial relationship</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Protocol PCF-SEXIT; protects Enterprise dignity; protects AURIENTA evidence base; no public disclosure</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Completion decision recorded in Pilot Decision Register; immutable; hash-chain anchored</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Decision recorded with evidence dossier ID; outcome; rationale; committee vote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WS11-10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Post-completion 30-day check-in: confirm commercial relationship stable or exit final</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Check-in PCF-CKIN; first cohort-1 check-in target 2026-12-15 (assuming 2026-11-15 completion)</w:t>
            </w:r>
          </w:p>
        </w:tc>
      </w:tr>
    </w:tbl>
    <w:p>
      <w:pPr>
        <w:pStyle w:val="Heading2"/>
        <w:keepNext/>
        <w:spacing w:before="280"/>
      </w:pPr>
      <w:r>
        <w:t>Section 12 — Workstream 12: Institutional Readiness Reassessment</w:t>
      </w:r>
    </w:p>
    <w:p>
      <w:pPr>
        <w:pStyle w:val="Heading3"/>
        <w:keepNext/>
        <w:spacing w:before="200"/>
      </w:pPr>
      <w:r>
        <w:t>12.1  Overview</w:t>
      </w:r>
    </w:p>
    <w:p>
      <w:pPr>
        <w:spacing w:line="312" w:lineRule="auto" w:after="120"/>
        <w:ind w:firstLine="283"/>
        <w:jc w:val="both"/>
      </w:pPr>
      <w:r>
        <w:rPr>
          <w:rFonts w:ascii="Calibri" w:hAnsi="Calibri"/>
          <w:b w:val="0"/>
          <w:i w:val="0"/>
          <w:sz w:val="22"/>
        </w:rPr>
        <w:t>Workstream 12 is the institutional reassessment that closes PE v1.0. It re-evaluates the Institutional Readiness Score on the basis of pilot evidence, regulatory engagement outcomes, strategic partnership execution, and external-audit readiness — not on the basis of internal architecture claims. The reassessment is conducted by the Founder, the Chief Operating Officer, the Chief Technology Officer, the Chief Information Security Officer, the General Counsel, and the Compliance Officer, with external review by the academic University partner and the external regulatory counsel. The output is the updated Institutional Readiness Score that anchors Section 20 (Executive Readiness Assessment) and the evidence base that anchors Section 21 (Executive Certification).</w:t>
      </w:r>
    </w:p>
    <w:p>
      <w:pPr>
        <w:spacing w:line="312" w:lineRule="auto" w:after="120"/>
        <w:ind w:firstLine="283"/>
        <w:jc w:val="both"/>
      </w:pPr>
      <w:r>
        <w:rPr>
          <w:rFonts w:ascii="Calibri" w:hAnsi="Calibri"/>
          <w:b w:val="0"/>
          <w:i w:val="0"/>
          <w:sz w:val="22"/>
        </w:rPr>
        <w:t>The reassessment uses the same six dimensions established in the prior Volumes — Constitutional Alignment, Architectural Completeness, Operational Readiness, Security &amp; Compliance, Commercial Readiness, and Institutional Evidence — but each dimension is re-scored on the basis of evidence rather than design. The pre-pilot score (91/100, post-PH-ER) is the baseline; the post-pilot score (95/100, target) is achieved only when every gap closed by pilot evidence is verified by an external party (auditor, regulator, partner, or academic reviewer).</w:t>
      </w:r>
    </w:p>
    <w:p>
      <w:pPr>
        <w:pStyle w:val="Heading3"/>
        <w:keepNext/>
        <w:spacing w:before="200"/>
      </w:pPr>
      <w:r>
        <w:t>12.2  Reassessment Dimensions</w:t>
      </w:r>
    </w:p>
    <w:tbl>
      <w:tblPr>
        <w:tblW w:type="auto" w:w="0"/>
        <w:jc w:val="center"/>
        <w:tblLook w:firstColumn="1" w:firstRow="1" w:lastColumn="0" w:lastRow="0" w:noHBand="0" w:noVBand="1" w:val="04A0"/>
        <w:tblLayout w:type="autofit"/>
      </w:tblPr>
      <w:tblGrid>
        <w:gridCol w:w="2800"/>
        <w:gridCol w:w="1700"/>
        <w:gridCol w:w="1700"/>
        <w:gridCol w:w="3154"/>
      </w:tblGrid>
      <w:tr>
        <w:trPr>
          <w:tblHeader/>
          <w:cantSplit/>
        </w:trPr>
        <w:tc>
          <w:tcPr>
            <w:tcW w:type="dxa" w:w="2197"/>
            <w:tcW w:type="dxa" w:w="2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Dimension</w:t>
            </w:r>
          </w:p>
        </w:tc>
        <w:tc>
          <w:tcPr>
            <w:tcW w:type="dxa" w:w="2197"/>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Pre-Pilot (PH-ER)</w:t>
            </w:r>
          </w:p>
        </w:tc>
        <w:tc>
          <w:tcPr>
            <w:tcW w:type="dxa" w:w="2197"/>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Post-Pilot Target</w:t>
            </w:r>
          </w:p>
        </w:tc>
        <w:tc>
          <w:tcPr>
            <w:tcW w:type="dxa" w:w="2197"/>
            <w:tcW w:type="dxa" w:w="3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 Source</w:t>
            </w:r>
          </w:p>
        </w:tc>
      </w:tr>
      <w:tr>
        <w:trPr>
          <w:cantSplit/>
        </w:trPr>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Alignment</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2197"/>
            <w:tcW w:type="dxa" w:w="3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throughout pilot; Zero-Custody assertion log; regulator briefing outcome</w:t>
            </w:r>
          </w:p>
        </w:tc>
      </w:tr>
      <w:tr>
        <w:trPr>
          <w:cantSplit/>
        </w:trPr>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Architectural Completeness</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2197"/>
            <w:tcW w:type="dxa" w:w="3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 architecture changes during pilot; frozen at PH-ER v1.0</w:t>
            </w:r>
          </w:p>
        </w:tc>
      </w:tr>
      <w:tr>
        <w:trPr>
          <w:cantSplit/>
        </w:trPr>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Readiness</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92/100</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97/100</w:t>
            </w:r>
          </w:p>
        </w:tc>
        <w:tc>
          <w:tcPr>
            <w:tcW w:type="dxa" w:w="2197"/>
            <w:tcW w:type="dxa" w:w="3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cycle-time; P1 incident count; onboarding factory retrospective</w:t>
            </w:r>
          </w:p>
        </w:tc>
      </w:tr>
      <w:tr>
        <w:trPr>
          <w:cantSplit/>
        </w:trPr>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&amp; Compliance</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89/100</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96/100</w:t>
            </w:r>
          </w:p>
        </w:tc>
        <w:tc>
          <w:tcPr>
            <w:tcW w:type="dxa" w:w="2197"/>
            <w:tcW w:type="dxa" w:w="3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observation underway; ISO 27001 Stage 1 cleared; penetration test</w:t>
            </w:r>
          </w:p>
        </w:tc>
      </w:tr>
      <w:tr>
        <w:trPr>
          <w:cantSplit/>
        </w:trPr>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Readiness</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86/100</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93/100</w:t>
            </w:r>
          </w:p>
        </w:tc>
        <w:tc>
          <w:tcPr>
            <w:tcW w:type="dxa" w:w="2197"/>
            <w:tcW w:type="dxa" w:w="3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conversion rate; MSA pipeline; case studies published</w:t>
            </w:r>
          </w:p>
        </w:tc>
      </w:tr>
      <w:tr>
        <w:trPr>
          <w:cantSplit/>
        </w:trPr>
        <w:tc>
          <w:tcPr>
            <w:tcW w:type="dxa" w:w="2197"/>
            <w:tcW w:type="dxa" w:w="2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Evidence</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80/100</w:t>
            </w:r>
          </w:p>
        </w:tc>
        <w:tc>
          <w:tcPr>
            <w:tcW w:type="dxa" w:w="2197"/>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94/100</w:t>
            </w:r>
          </w:p>
        </w:tc>
        <w:tc>
          <w:tcPr>
            <w:tcW w:type="dxa" w:w="2197"/>
            <w:tcW w:type="dxa" w:w="3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completeness; regulator engagement outcomes; partner evidence artefacts</w:t>
            </w:r>
          </w:p>
        </w:tc>
      </w:tr>
      <w:tr>
        <w:trPr>
          <w:cantSplit/>
        </w:trPr>
        <w:tc>
          <w:tcPr>
            <w:tcW w:type="dxa" w:w="2197"/>
            <w:tcW w:type="dxa" w:w="2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Composite Institutional Readiness Score</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91/100</w:t>
            </w:r>
          </w:p>
        </w:tc>
        <w:tc>
          <w:tcPr>
            <w:tcW w:type="dxa" w:w="2197"/>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95/100</w:t>
            </w:r>
          </w:p>
        </w:tc>
        <w:tc>
          <w:tcPr>
            <w:tcW w:type="dxa" w:w="2197"/>
            <w:tcW w:type="dxa" w:w="3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Weighted composite; weights reviewed quarterly by Founder + COO</w:t>
            </w:r>
          </w:p>
        </w:tc>
      </w:tr>
    </w:tbl>
    <w:p>
      <w:pPr>
        <w:pStyle w:val="Heading3"/>
        <w:keepNext/>
        <w:spacing w:before="200"/>
      </w:pPr>
      <w:r>
        <w:t>12.3  Workstream Items</w:t>
      </w:r>
    </w:p>
    <w:tbl>
      <w:tblPr>
        <w:tblW w:type="auto" w:w="0"/>
        <w:jc w:val="center"/>
        <w:tblLook w:firstColumn="1" w:firstRow="1" w:lastColumn="0" w:lastRow="0" w:noHBand="0" w:noVBand="1" w:val="04A0"/>
        <w:tblLayout w:type="autofit"/>
      </w:tblPr>
      <w:tblGrid>
        <w:gridCol w:w="850"/>
        <w:gridCol w:w="3200"/>
        <w:gridCol w:w="1100"/>
        <w:gridCol w:w="1500"/>
        <w:gridCol w:w="2704"/>
      </w:tblGrid>
      <w:tr>
        <w:trPr>
          <w:tblHeader/>
          <w:cantSplit/>
        </w:trPr>
        <w:tc>
          <w:tcPr>
            <w:tcW w:type="dxa" w:w="1758"/>
            <w:tcW w:type="dxa" w:w="8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w:t>
            </w:r>
          </w:p>
        </w:tc>
        <w:tc>
          <w:tcPr>
            <w:tcW w:type="dxa" w:w="1758"/>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7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Detail</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Reassessment framework v1.0: 6 dimensions, evidence-based scoring, external review</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COO</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IRR-FW-v1; reviewed 2026-09-15; first formal reassessment scheduled 2027-Q1 post-cohort-1</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Pre-pilot baseline confirmed: 91/100 composite (post-PH-ER v1.0)</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CTO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Baseline IRR-BL-001; signed by Founder, COO, CTO, CISO, General Counsel, Compliance Officer 2026-09-15</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Evidence-based scoring rubric per dimension: anchor at 0/50/75/90/100</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Rubric IRR-RUB-v1; every score requires Repository artefact cross-reference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reviewer panel: University partner academic + external regulatory counsel + 1 independent</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General Counsel</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Panel IRR-PANEL; 3 external reviewers; terms of reference signed; first review Q1 2027</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Gap closure verification: every pre-pilot gap closed by pilot evidence is verified externally</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Verification IRR-GAP-V; 4 of 12 pre-pilot gaps closed with external verification; 8 in progress</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Reassessment cadence: quarterly during pilot phase; semi-annual at commercial scale</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Cadence IRR-CAD; first reassessment Q1 2027; subsequent Q2, Q3, Q4 2027; semi-annual from 2028</w:t>
            </w:r>
          </w:p>
        </w:tc>
      </w:tr>
      <w:tr>
        <w:trPr>
          <w:cantSplit/>
        </w:trPr>
        <w:tc>
          <w:tcPr>
            <w:tcW w:type="dxa" w:w="1758"/>
            <w:tcW w:type="dxa" w:w="8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Reassessment output feeds Section 20 (Executive Readiness Assessment) and Section 21 (Certification)</w:t>
            </w:r>
          </w:p>
        </w:tc>
        <w:tc>
          <w:tcPr>
            <w:tcW w:type="dxa" w:w="1758"/>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Output IRR-OUT; structured as Section 20 readiness scorecard + Section 21 certification evidence</w:t>
            </w:r>
          </w:p>
        </w:tc>
      </w:tr>
      <w:tr>
        <w:trPr>
          <w:cantSplit/>
        </w:trPr>
        <w:tc>
          <w:tcPr>
            <w:tcW w:type="dxa" w:w="1758"/>
            <w:tcW w:type="dxa" w:w="8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WS12-08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Reassessment deviation handling: any score regression triggers root-cause + remediation plan</w:t>
            </w:r>
          </w:p>
        </w:tc>
        <w:tc>
          <w:tcPr>
            <w:tcW w:type="dxa" w:w="1758"/>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7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Procedure IRR-DEV; regression on any dimension triggers Section 6 Improvement Backlog item with P2 priority</w:t>
            </w:r>
          </w:p>
        </w:tc>
      </w:tr>
    </w:tbl>
    <w:p>
      <w:pPr>
        <w:pStyle w:val="Heading2"/>
        <w:keepNext/>
        <w:spacing w:before="280"/>
      </w:pPr>
      <w:r>
        <w:t>Section 13 — Pilot Execution Report</w:t>
      </w:r>
    </w:p>
    <w:p>
      <w:pPr>
        <w:spacing w:line="312" w:lineRule="auto" w:after="120"/>
        <w:ind w:firstLine="283"/>
        <w:jc w:val="both"/>
      </w:pPr>
      <w:r>
        <w:rPr>
          <w:rFonts w:ascii="Calibri" w:hAnsi="Calibri"/>
          <w:b w:val="0"/>
          <w:i w:val="0"/>
          <w:sz w:val="22"/>
        </w:rPr>
        <w:t>The Pilot Execution Report is the standing status artefact of the PE v1.0 programme. It aggregates the status of all twelve workstreams, the cohort status, the milestone trajectory, the exception queue, and the forward look. The report is regenerated weekly by the PMO, reviewed by the COO, and distributed to the Founder and the executive team. The version below reflects the programme status as of the PE v1.0 freeze date (2026-09-15).</w:t>
      </w:r>
    </w:p>
    <w:p>
      <w:pPr>
        <w:pStyle w:val="Heading3"/>
        <w:keepNext/>
        <w:spacing w:before="200"/>
      </w:pPr>
      <w:r>
        <w:t>13.1  Workstream Status Summary</w:t>
      </w:r>
    </w:p>
    <w:tbl>
      <w:tblPr>
        <w:tblW w:type="auto" w:w="0"/>
        <w:jc w:val="center"/>
        <w:tblLook w:firstColumn="1" w:firstRow="1" w:lastColumn="0" w:lastRow="0" w:noHBand="0" w:noVBand="1" w:val="04A0"/>
        <w:tblLayout w:type="autofit"/>
      </w:tblPr>
      <w:tblGrid>
        <w:gridCol w:w="450"/>
        <w:gridCol w:w="2700"/>
        <w:gridCol w:w="700"/>
        <w:gridCol w:w="900"/>
        <w:gridCol w:w="1100"/>
        <w:gridCol w:w="900"/>
        <w:gridCol w:w="2604"/>
      </w:tblGrid>
      <w:tr>
        <w:trPr>
          <w:tblHeader/>
          <w:cantSplit/>
        </w:trPr>
        <w:tc>
          <w:tcPr>
            <w:tcW w:type="dxa" w:w="1255"/>
            <w:tcW w:type="dxa" w:w="45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WS</w:t>
            </w:r>
          </w:p>
        </w:tc>
        <w:tc>
          <w:tcPr>
            <w:tcW w:type="dxa" w:w="1255"/>
            <w:tcW w:type="dxa" w:w="2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Workstream</w:t>
            </w:r>
          </w:p>
        </w:tc>
        <w:tc>
          <w:tcPr>
            <w:tcW w:type="dxa" w:w="1255"/>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Items</w:t>
            </w:r>
          </w:p>
        </w:tc>
        <w:tc>
          <w:tcPr>
            <w:tcW w:type="dxa" w:w="125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Complete</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In Progress</w:t>
            </w:r>
          </w:p>
        </w:tc>
        <w:tc>
          <w:tcPr>
            <w:tcW w:type="dxa" w:w="125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Planned</w:t>
            </w:r>
          </w:p>
        </w:tc>
        <w:tc>
          <w:tcPr>
            <w:tcW w:type="dxa" w:w="1255"/>
            <w:tcW w:type="dxa" w:w="260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Program Office (PMO)</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Selection Framework</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Factory</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AMBER</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Success Metrics (KPIs)</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Operations</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Feedback &amp; Continuous Improvement</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 Execution</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AMBER</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AMBER</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Evidence Repository</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Executive Mission Control</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Completion Framework</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w:t>
            </w:r>
          </w:p>
        </w:tc>
        <w:tc>
          <w:tcPr>
            <w:tcW w:type="dxa" w:w="1255"/>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Readiness Reassessment</w:t>
            </w:r>
          </w:p>
        </w:tc>
        <w:tc>
          <w:tcPr>
            <w:tcW w:type="dxa" w:w="1255"/>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1255"/>
            <w:tcW w:type="dxa" w:w="260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w:t>
            </w:r>
          </w:p>
        </w:tc>
      </w:tr>
      <w:tr>
        <w:trPr>
          <w:cantSplit/>
        </w:trPr>
        <w:tc>
          <w:tcPr>
            <w:tcW w:type="dxa" w:w="1255"/>
            <w:tcW w:type="dxa" w:w="45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t>
            </w:r>
          </w:p>
        </w:tc>
        <w:tc>
          <w:tcPr>
            <w:tcW w:type="dxa" w:w="1255"/>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TOTAL</w:t>
            </w:r>
          </w:p>
        </w:tc>
        <w:tc>
          <w:tcPr>
            <w:tcW w:type="dxa" w:w="1255"/>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128</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90</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28</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w:t>
            </w:r>
          </w:p>
        </w:tc>
        <w:tc>
          <w:tcPr>
            <w:tcW w:type="dxa" w:w="1255"/>
            <w:tcW w:type="dxa" w:w="260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GREEN (88% confidence to clear Phase-3 gate on time)</w:t>
            </w:r>
          </w:p>
        </w:tc>
      </w:tr>
    </w:tbl>
    <w:p>
      <w:pPr>
        <w:pStyle w:val="Heading3"/>
        <w:keepNext/>
        <w:spacing w:before="200"/>
      </w:pPr>
      <w:r>
        <w:t>13.2  Cohort Status</w:t>
      </w:r>
    </w:p>
    <w:tbl>
      <w:tblPr>
        <w:tblW w:type="auto" w:w="0"/>
        <w:jc w:val="center"/>
        <w:tblLook w:firstColumn="1" w:firstRow="1" w:lastColumn="0" w:lastRow="0" w:noHBand="0" w:noVBand="1" w:val="04A0"/>
        <w:tblLayout w:type="autofit"/>
      </w:tblPr>
      <w:tblGrid>
        <w:gridCol w:w="1400"/>
        <w:gridCol w:w="1800"/>
        <w:gridCol w:w="800"/>
        <w:gridCol w:w="900"/>
        <w:gridCol w:w="1100"/>
        <w:gridCol w:w="1100"/>
        <w:gridCol w:w="2254"/>
      </w:tblGrid>
      <w:tr>
        <w:trPr>
          <w:tblHeader/>
          <w:cantSplit/>
        </w:trPr>
        <w:tc>
          <w:tcPr>
            <w:tcW w:type="dxa" w:w="1255"/>
            <w:tcW w:type="dxa" w:w="1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Enterprise</w:t>
            </w:r>
          </w:p>
        </w:tc>
        <w:tc>
          <w:tcPr>
            <w:tcW w:type="dxa" w:w="1255"/>
            <w:tcW w:type="dxa" w:w="1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Segment</w:t>
            </w:r>
          </w:p>
        </w:tc>
        <w:tc>
          <w:tcPr>
            <w:tcW w:type="dxa" w:w="1255"/>
            <w:tcW w:type="dxa" w:w="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Day</w:t>
            </w:r>
          </w:p>
        </w:tc>
        <w:tc>
          <w:tcPr>
            <w:tcW w:type="dxa" w:w="125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Gate</w:t>
            </w:r>
          </w:p>
        </w:tc>
        <w:tc>
          <w:tcPr>
            <w:tcW w:type="dxa" w:w="1255"/>
            <w:tcW w:type="dxa" w:w="1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Health Score</w:t>
            </w:r>
          </w:p>
        </w:tc>
        <w:tc>
          <w:tcPr>
            <w:tcW w:type="dxa" w:w="1255"/>
            <w:tcW w:type="dxa" w:w="22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Exception</w:t>
            </w:r>
          </w:p>
        </w:tc>
      </w:tr>
      <w:tr>
        <w:trPr>
          <w:cantSplit/>
        </w:trPr>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1</w:t>
            </w:r>
          </w:p>
        </w:tc>
        <w:tc>
          <w:tcPr>
            <w:tcW w:type="dxa" w:w="1255"/>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Egyptian SME</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3</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passed</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84/100</w:t>
            </w:r>
          </w:p>
        </w:tc>
        <w:tc>
          <w:tcPr>
            <w:tcW w:type="dxa" w:w="1255"/>
            <w:tcW w:type="dxa" w:w="2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w:t>
            </w:r>
          </w:p>
        </w:tc>
      </w:tr>
      <w:tr>
        <w:trPr>
          <w:cantSplit/>
        </w:trPr>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2</w:t>
            </w:r>
          </w:p>
        </w:tc>
        <w:tc>
          <w:tcPr>
            <w:tcW w:type="dxa" w:w="1255"/>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Egyptian mid-market</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Day-20</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2</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in review</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78/100</w:t>
            </w:r>
          </w:p>
        </w:tc>
        <w:tc>
          <w:tcPr>
            <w:tcW w:type="dxa" w:w="1255"/>
            <w:tcW w:type="dxa" w:w="2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Client Account counterparty technical readiness (ETA Day-22)</w:t>
            </w:r>
          </w:p>
        </w:tc>
      </w:tr>
      <w:tr>
        <w:trPr>
          <w:cantSplit/>
        </w:trPr>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3</w:t>
            </w:r>
          </w:p>
        </w:tc>
        <w:tc>
          <w:tcPr>
            <w:tcW w:type="dxa" w:w="1255"/>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spin-out</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Day-22</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3</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passed</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82/100</w:t>
            </w:r>
          </w:p>
        </w:tc>
        <w:tc>
          <w:tcPr>
            <w:tcW w:type="dxa" w:w="1255"/>
            <w:tcW w:type="dxa" w:w="2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w:t>
            </w:r>
          </w:p>
        </w:tc>
      </w:tr>
      <w:tr>
        <w:trPr>
          <w:cantSplit/>
        </w:trPr>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4</w:t>
            </w:r>
          </w:p>
        </w:tc>
        <w:tc>
          <w:tcPr>
            <w:tcW w:type="dxa" w:w="1255"/>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Egyptian SME</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Day-22</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3</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passed</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88/100</w:t>
            </w:r>
          </w:p>
        </w:tc>
        <w:tc>
          <w:tcPr>
            <w:tcW w:type="dxa" w:w="1255"/>
            <w:tcW w:type="dxa" w:w="2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w:t>
            </w:r>
          </w:p>
        </w:tc>
      </w:tr>
      <w:tr>
        <w:trPr>
          <w:cantSplit/>
        </w:trPr>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5</w:t>
            </w:r>
          </w:p>
        </w:tc>
        <w:tc>
          <w:tcPr>
            <w:tcW w:type="dxa" w:w="1255"/>
            <w:tcW w:type="dxa" w:w="1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Egyptian mid-market</w:t>
            </w:r>
          </w:p>
        </w:tc>
        <w:tc>
          <w:tcPr>
            <w:tcW w:type="dxa" w:w="125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Day-18</w:t>
            </w:r>
          </w:p>
        </w:tc>
        <w:tc>
          <w:tcPr>
            <w:tcW w:type="dxa" w:w="125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2</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in review</w:t>
            </w:r>
          </w:p>
        </w:tc>
        <w:tc>
          <w:tcPr>
            <w:tcW w:type="dxa" w:w="1255"/>
            <w:tcW w:type="dxa" w:w="1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73/100</w:t>
            </w:r>
          </w:p>
        </w:tc>
        <w:tc>
          <w:tcPr>
            <w:tcW w:type="dxa" w:w="1255"/>
            <w:tcW w:type="dxa" w:w="22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Sponsor availability (resolved; CFO committed)</w:t>
            </w:r>
          </w:p>
        </w:tc>
      </w:tr>
      <w:tr>
        <w:trPr>
          <w:cantSplit/>
        </w:trPr>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6</w:t>
            </w:r>
          </w:p>
        </w:tc>
        <w:tc>
          <w:tcPr>
            <w:tcW w:type="dxa" w:w="1255"/>
            <w:tcW w:type="dxa" w:w="1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spin-out</w:t>
            </w:r>
          </w:p>
        </w:tc>
        <w:tc>
          <w:tcPr>
            <w:tcW w:type="dxa" w:w="125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Day-18</w:t>
            </w:r>
          </w:p>
        </w:tc>
        <w:tc>
          <w:tcPr>
            <w:tcW w:type="dxa" w:w="125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Phase 2</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G2 in review</w:t>
            </w:r>
          </w:p>
        </w:tc>
        <w:tc>
          <w:tcPr>
            <w:tcW w:type="dxa" w:w="1255"/>
            <w:tcW w:type="dxa" w:w="1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76/100</w:t>
            </w:r>
          </w:p>
        </w:tc>
        <w:tc>
          <w:tcPr>
            <w:tcW w:type="dxa" w:w="1255"/>
            <w:tcW w:type="dxa" w:w="22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 federation configuration (in progress)</w:t>
            </w:r>
          </w:p>
        </w:tc>
      </w:tr>
    </w:tbl>
    <w:p>
      <w:pPr>
        <w:pStyle w:val="Heading3"/>
        <w:keepNext/>
        <w:spacing w:before="200"/>
      </w:pPr>
      <w:r>
        <w:t>13.3  Milestone Trajectory</w:t>
      </w:r>
    </w:p>
    <w:tbl>
      <w:tblPr>
        <w:tblW w:type="auto" w:w="0"/>
        <w:jc w:val="center"/>
        <w:tblLook w:firstColumn="1" w:firstRow="1" w:lastColumn="0" w:lastRow="0" w:noHBand="0" w:noVBand="1" w:val="04A0"/>
        <w:tblLayout w:type="autofit"/>
      </w:tblPr>
      <w:tblGrid>
        <w:gridCol w:w="2600"/>
        <w:gridCol w:w="1300"/>
        <w:gridCol w:w="1300"/>
        <w:gridCol w:w="1500"/>
        <w:gridCol w:w="2654"/>
      </w:tblGrid>
      <w:tr>
        <w:trPr>
          <w:tblHeader/>
          <w:cantSplit/>
        </w:trPr>
        <w:tc>
          <w:tcPr>
            <w:tcW w:type="dxa" w:w="1758"/>
            <w:tcW w:type="dxa" w:w="26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Milestone</w:t>
            </w:r>
          </w:p>
        </w:tc>
        <w:tc>
          <w:tcPr>
            <w:tcW w:type="dxa" w:w="1758"/>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Date</w:t>
            </w:r>
          </w:p>
        </w:tc>
        <w:tc>
          <w:tcPr>
            <w:tcW w:type="dxa" w:w="1758"/>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6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Notes</w:t>
            </w:r>
          </w:p>
        </w:tc>
      </w:tr>
      <w:tr>
        <w:trPr>
          <w:cantSplit/>
        </w:trPr>
        <w:tc>
          <w:tcPr>
            <w:tcW w:type="dxa" w:w="1758"/>
            <w:tcW w:type="dxa" w:w="26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signed</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2026-09-01</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1758"/>
            <w:tcW w:type="dxa" w:w="2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of 6 Enterprises signed</w:t>
            </w:r>
          </w:p>
        </w:tc>
      </w:tr>
      <w:tr>
        <w:trPr>
          <w:cantSplit/>
        </w:trPr>
        <w:tc>
          <w:tcPr>
            <w:tcW w:type="dxa" w:w="1758"/>
            <w:tcW w:type="dxa" w:w="26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Phase-1 gate (G1) passed</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2026-09-12</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of 6 Enterprises passed</w:t>
            </w:r>
          </w:p>
        </w:tc>
      </w:tr>
      <w:tr>
        <w:trPr>
          <w:cantSplit/>
        </w:trPr>
        <w:tc>
          <w:tcPr>
            <w:tcW w:type="dxa" w:w="1758"/>
            <w:tcW w:type="dxa" w:w="26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Phase-2 gate (G2) passed</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2026-09-22</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of 6 passed; 2 in review</w:t>
            </w:r>
          </w:p>
        </w:tc>
      </w:tr>
      <w:tr>
        <w:trPr>
          <w:cantSplit/>
        </w:trPr>
        <w:tc>
          <w:tcPr>
            <w:tcW w:type="dxa" w:w="1758"/>
            <w:tcW w:type="dxa" w:w="26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Phase-3 gate (G3) passed</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2026-10-15</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Target 6 of 6</w:t>
            </w:r>
          </w:p>
        </w:tc>
      </w:tr>
      <w:tr>
        <w:trPr>
          <w:cantSplit/>
        </w:trPr>
        <w:tc>
          <w:tcPr>
            <w:tcW w:type="dxa" w:w="1758"/>
            <w:tcW w:type="dxa" w:w="26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Day-90 completion</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2026-12-15</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w:t>
            </w:r>
          </w:p>
        </w:tc>
        <w:tc>
          <w:tcPr>
            <w:tcW w:type="dxa" w:w="1758"/>
            <w:tcW w:type="dxa" w:w="2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Completion gate review per Section 11</w:t>
            </w:r>
          </w:p>
        </w:tc>
      </w:tr>
      <w:tr>
        <w:trPr>
          <w:cantSplit/>
        </w:trPr>
        <w:tc>
          <w:tcPr>
            <w:tcW w:type="dxa" w:w="1758"/>
            <w:tcW w:type="dxa" w:w="26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Lessons Learned Report</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2026-12-22</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Analyst</w:t>
            </w:r>
          </w:p>
        </w:tc>
        <w:tc>
          <w:tcPr>
            <w:tcW w:type="dxa" w:w="1758"/>
            <w:tcW w:type="dxa" w:w="2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Input to Section 19</w:t>
            </w:r>
          </w:p>
        </w:tc>
      </w:tr>
      <w:tr>
        <w:trPr>
          <w:cantSplit/>
        </w:trPr>
        <w:tc>
          <w:tcPr>
            <w:tcW w:type="dxa" w:w="1758"/>
            <w:tcW w:type="dxa" w:w="26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Executive Readiness Assessment</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2027-01-15</w:t>
            </w:r>
          </w:p>
        </w:tc>
        <w:tc>
          <w:tcPr>
            <w:tcW w:type="dxa" w:w="1758"/>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Founder</w:t>
            </w:r>
          </w:p>
        </w:tc>
        <w:tc>
          <w:tcPr>
            <w:tcW w:type="dxa" w:w="1758"/>
            <w:tcW w:type="dxa" w:w="26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Input to Section 20</w:t>
            </w:r>
          </w:p>
        </w:tc>
      </w:tr>
      <w:tr>
        <w:trPr>
          <w:cantSplit/>
        </w:trPr>
        <w:tc>
          <w:tcPr>
            <w:tcW w:type="dxa" w:w="1758"/>
            <w:tcW w:type="dxa" w:w="26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Executive Certification</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c>
          <w:tcPr>
            <w:tcW w:type="dxa" w:w="1758"/>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w:t>
            </w:r>
          </w:p>
        </w:tc>
        <w:tc>
          <w:tcPr>
            <w:tcW w:type="dxa" w:w="1758"/>
            <w:tcW w:type="dxa" w:w="26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Input to Section 21</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Pilot Execution Report — Snapshot 2026-09-15  </w:t>
      </w:r>
      <w:r>
        <w:rPr>
          <w:rFonts w:ascii="Calibri" w:hAnsi="Calibri"/>
          <w:i/>
          <w:sz w:val="22"/>
        </w:rPr>
        <w:t>Pilot Execution Report status as of 2026-09-15: GREEN. 88% of workstream items are Complete or In Progress; 0 P1 incidents; 2 P2 exceptions resolved; cohort-1 on trajectory for Day-90 completion by 2026-12-15. Forward look: Phase-3 gate, first Equity Unit issuance, completion gate, Lessons Learned Report, Executive Readiness Assessment, Executive Certification. Risks: Law Firm Client Account counterparty technical readiness (Enterprise 2); sponsor availability (Enterprise 5, resolved); identity federation configuration (Enterprise 6, in progress).</w:t>
      </w:r>
    </w:p>
    <w:p>
      <w:pPr>
        <w:pStyle w:val="Heading2"/>
        <w:keepNext/>
        <w:spacing w:before="280"/>
      </w:pPr>
      <w:r>
        <w:t>Section 14 — Pilot Success Framework</w:t>
      </w:r>
    </w:p>
    <w:p>
      <w:pPr>
        <w:spacing w:line="312" w:lineRule="auto" w:after="120"/>
        <w:ind w:firstLine="283"/>
        <w:jc w:val="both"/>
      </w:pPr>
      <w:r>
        <w:rPr>
          <w:rFonts w:ascii="Calibri" w:hAnsi="Calibri"/>
          <w:b w:val="0"/>
          <w:i w:val="0"/>
          <w:sz w:val="22"/>
        </w:rPr>
        <w:t>The Pilot Success Framework is the standing reference document that defines what success means for the PE v1.0 programme. It consolidates the scoring model from Section 2, the KPI framework from Section 4, the completion gate criteria from Section 11, and the reassessment dimensions from Section 12 into a single, auditable framework. The Framework is referenced by every regulator briefing, every partner conversation, and every Enterprise procurement engagement to substantiate the claim that AURIENTA's pilot programme is engineered to institutional standards.</w:t>
      </w:r>
    </w:p>
    <w:p>
      <w:pPr>
        <w:pStyle w:val="Heading3"/>
        <w:keepNext/>
        <w:spacing w:before="200"/>
      </w:pPr>
      <w:r>
        <w:t>14.1  Framework Components</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Framework Name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AURIENTA Pilot Success Framework v1.0</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Owning Function</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Program Office (PMO), reporting to Chief Operating Officer</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Approval Authority</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Chief Operating Officer</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Effective Date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2026-09-15</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Review Cadence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Quarterly (first review 2026-12-15)</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Constituent Components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Scoring Model (Section 2); KPI Framework (Section 4); Completion Gate (Section 11); Reassessment (Section 12)</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Alignment</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Preserves Zero Custody, Fundamental Pricing, Graduation, Constitutional Policy Enforcement; no invariant touched without Founder + General Counsel sign-off</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Anchoring</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Every framework element cross-referenced to Institutional Evidence Repository artefact (Section 9)</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Review</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 academic reviewer; external regulatory counsel; independent reviewer (Q1 2027)</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Cohort Applicability</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1 (6 Enterprises); Cohort 2 (target 10 Enterprises, Q1 2027); subsequent cohorts per Roadmap (Section 22)</w:t>
            </w:r>
          </w:p>
        </w:tc>
      </w:tr>
    </w:tbl>
    <w:p>
      <w:pPr>
        <w:pStyle w:val="Heading3"/>
        <w:keepNext/>
        <w:spacing w:before="200"/>
      </w:pPr>
      <w:r>
        <w:t>14.2  Success Thresholds (Composite)</w:t>
      </w:r>
    </w:p>
    <w:tbl>
      <w:tblPr>
        <w:tblW w:type="auto" w:w="0"/>
        <w:jc w:val="center"/>
        <w:tblLook w:firstColumn="1" w:firstRow="1" w:lastColumn="0" w:lastRow="0" w:noHBand="0" w:noVBand="1" w:val="04A0"/>
        <w:tblLayout w:type="autofit"/>
      </w:tblPr>
      <w:tblGrid>
        <w:gridCol w:w="1700"/>
        <w:gridCol w:w="1500"/>
        <w:gridCol w:w="1700"/>
        <w:gridCol w:w="1900"/>
        <w:gridCol w:w="2554"/>
      </w:tblGrid>
      <w:tr>
        <w:trPr>
          <w:tblHeader/>
          <w:cantSplit/>
        </w:trPr>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Outcome</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Composite KPI Score</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Completion Gate</w:t>
            </w:r>
          </w:p>
        </w:tc>
        <w:tc>
          <w:tcPr>
            <w:tcW w:type="dxa" w:w="1758"/>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Reassessment Delta</w:t>
            </w:r>
          </w:p>
        </w:tc>
        <w:tc>
          <w:tcPr>
            <w:tcW w:type="dxa" w:w="1758"/>
            <w:tcW w:type="dxa" w:w="2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Decision</w:t>
            </w:r>
          </w:p>
        </w:tc>
      </w:tr>
      <w:tr>
        <w:trPr>
          <w:cantSplit/>
        </w:trPr>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Outstanding Success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&gt;= 90/100</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All 7 gate criteria met</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or more points vs pre-pilot</w:t>
            </w:r>
          </w:p>
        </w:tc>
        <w:tc>
          <w:tcPr>
            <w:tcW w:type="dxa" w:w="1758"/>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Authorise commercial MSA; publish case study; reference consent</w:t>
            </w:r>
          </w:p>
        </w:tc>
      </w:tr>
      <w:tr>
        <w:trPr>
          <w:cantSplit/>
        </w:trPr>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Success</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75-89/100</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All 7 gate criteria met</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to +4 points vs pre-pilot</w:t>
            </w:r>
          </w:p>
        </w:tc>
        <w:tc>
          <w:tcPr>
            <w:tcW w:type="dxa" w:w="1758"/>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Authorise commercial MSA; publish anonymised case study</w:t>
            </w:r>
          </w:p>
        </w:tc>
      </w:tr>
      <w:tr>
        <w:trPr>
          <w:cantSplit/>
        </w:trPr>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Conditional Success</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65-74/100</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of 7 gate criteria met</w:t>
            </w:r>
          </w:p>
        </w:tc>
        <w:tc>
          <w:tcPr>
            <w:tcW w:type="dxa" w:w="1758"/>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 to +2 points vs pre-pilot</w:t>
            </w:r>
          </w:p>
        </w:tc>
        <w:tc>
          <w:tcPr>
            <w:tcW w:type="dxa" w:w="1758"/>
            <w:tcW w:type="dxa" w:w="2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Extend pilot 30 days; remediation plan; commercial MSA conditional</w:t>
            </w:r>
          </w:p>
        </w:tc>
      </w:tr>
      <w:tr>
        <w:trPr>
          <w:cantSplit/>
        </w:trPr>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Structured Exit</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&lt; 65/100</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&lt; 6 of 7 gate criteria met</w:t>
            </w:r>
          </w:p>
        </w:tc>
        <w:tc>
          <w:tcPr>
            <w:tcW w:type="dxa" w:w="1758"/>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or negative vs pre-pilot</w:t>
            </w:r>
          </w:p>
        </w:tc>
        <w:tc>
          <w:tcPr>
            <w:tcW w:type="dxa" w:w="1758"/>
            <w:tcW w:type="dxa" w:w="2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Structured exit per Section 11 WS11-08; lessons learned; no commercial relationship</w:t>
            </w:r>
          </w:p>
        </w:tc>
      </w:tr>
    </w:tbl>
    <w:p>
      <w:pPr>
        <w:pStyle w:val="Heading3"/>
        <w:keepNext/>
        <w:spacing w:before="200"/>
      </w:pPr>
      <w:r>
        <w:t>14.3  Framework Governance</w:t>
      </w:r>
    </w:p>
    <w:p>
      <w:pPr>
        <w:spacing w:line="312" w:lineRule="auto" w:after="120"/>
        <w:ind w:firstLine="283"/>
        <w:jc w:val="both"/>
      </w:pPr>
      <w:r>
        <w:rPr>
          <w:rFonts w:ascii="Calibri" w:hAnsi="Calibri"/>
          <w:b w:val="0"/>
          <w:i w:val="0"/>
          <w:sz w:val="22"/>
        </w:rPr>
        <w:t>The Pilot Success Framework is owned by the PMO and approved by the Founder and the Chief Operating Officer. Changes to the Framework require a Roadmap Revision per Section 21; changes that touch a constitutional invariant require unanimous Founder + General Counsel sign-off. The Framework is reviewed quarterly with the external reviewer panel; the first review is scheduled for 2026-12-15.</w:t>
      </w:r>
    </w:p>
    <w:p>
      <w:pPr>
        <w:pStyle w:val="Heading2"/>
        <w:keepNext/>
        <w:spacing w:before="280"/>
      </w:pPr>
      <w:r>
        <w:t>Section 15 — Customer Success Report</w:t>
      </w:r>
    </w:p>
    <w:p>
      <w:pPr>
        <w:spacing w:line="312" w:lineRule="auto" w:after="120"/>
        <w:ind w:firstLine="283"/>
        <w:jc w:val="both"/>
      </w:pPr>
      <w:r>
        <w:rPr>
          <w:rFonts w:ascii="Calibri" w:hAnsi="Calibri"/>
          <w:b w:val="0"/>
          <w:i w:val="0"/>
          <w:sz w:val="22"/>
        </w:rPr>
        <w:t>The Customer Success Report consolidates the operational health of the Customer Success function across the pilot cohort. It aggregates the health-score model outputs, the QBR cadence adherence, the playbook execution metrics, the NPS trajectory, and the voice-of-the-enterprise insights. Customer Success is the established functional term used throughout this Volume; the constitutional terminology standard preserves it as a permitted phrase. The function is led by the Chief Constitutional Partner Officer (interim: CCO) and operated by the Constitutional Partner Success Manager team.</w:t>
      </w:r>
    </w:p>
    <w:p>
      <w:pPr>
        <w:pStyle w:val="Heading3"/>
        <w:keepNext/>
        <w:spacing w:before="200"/>
      </w:pPr>
      <w:r>
        <w:t>15.1  Function Health</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Function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Operations</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Owning Role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Constitutional Partner Officer (interim: CCO)</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Headcount</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CPSMs + 1 Lead + 1 Operations Analyst</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CPSM-to-Enterprise Ratio</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1:3 during pilot; 1:5 target at commercial scale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Playbook Library Version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CSP-LIB-01 (9 playbooks)</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Health-Score Model Version</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HSM-v1 (6 signals, weighted composite, 0-100)</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QBR Cadence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Quarterly per Enterprise (first cohort-1 QBR: 2026-12-15)</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Average Health Score (Cohort 1)</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80.2/100 (target: &gt;= 75/100)</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NPS (Day-30 cohort 1)</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62 (target: &gt;= 50; sample 4 of 6 Enterprises)</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Open Improvement Backlog Items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23 (12 in progress; 11 queued)</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Voice-of-Enterprise Insights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23 insights logged; 8 themes identified; 4 themes promoted</w:t>
            </w:r>
          </w:p>
        </w:tc>
      </w:tr>
    </w:tbl>
    <w:p>
      <w:pPr>
        <w:pStyle w:val="Heading3"/>
        <w:keepNext/>
        <w:spacing w:before="200"/>
      </w:pPr>
      <w:r>
        <w:t>15.2  Per-Enterprise Health (Cohort 1, Day-22)</w:t>
      </w:r>
    </w:p>
    <w:tbl>
      <w:tblPr>
        <w:tblW w:type="auto" w:w="0"/>
        <w:jc w:val="center"/>
        <w:tblLook w:firstColumn="1" w:firstRow="1" w:lastColumn="0" w:lastRow="0" w:noHBand="0" w:noVBand="1" w:val="04A0"/>
        <w:tblLayout w:type="autofit"/>
      </w:tblPr>
      <w:tblGrid>
        <w:gridCol w:w="1500"/>
        <w:gridCol w:w="1300"/>
        <w:gridCol w:w="1400"/>
        <w:gridCol w:w="1400"/>
        <w:gridCol w:w="1500"/>
        <w:gridCol w:w="1500"/>
        <w:gridCol w:w="754"/>
      </w:tblGrid>
      <w:tr>
        <w:trPr>
          <w:tblHeader/>
          <w:cantSplit/>
        </w:trPr>
        <w:tc>
          <w:tcPr>
            <w:tcW w:type="dxa" w:w="1255"/>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Enterprise</w:t>
            </w:r>
          </w:p>
        </w:tc>
        <w:tc>
          <w:tcPr>
            <w:tcW w:type="dxa" w:w="1255"/>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CRE Utilisation</w:t>
            </w:r>
          </w:p>
        </w:tc>
        <w:tc>
          <w:tcPr>
            <w:tcW w:type="dxa" w:w="1255"/>
            <w:tcW w:type="dxa" w:w="1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Cohort Engagement</w:t>
            </w:r>
          </w:p>
        </w:tc>
        <w:tc>
          <w:tcPr>
            <w:tcW w:type="dxa" w:w="1255"/>
            <w:tcW w:type="dxa" w:w="1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Sponsor Engagement</w:t>
            </w:r>
          </w:p>
        </w:tc>
        <w:tc>
          <w:tcPr>
            <w:tcW w:type="dxa" w:w="1255"/>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Integration Uptime</w:t>
            </w:r>
          </w:p>
        </w:tc>
        <w:tc>
          <w:tcPr>
            <w:tcW w:type="dxa" w:w="1255"/>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NPS Trajectory</w:t>
            </w:r>
          </w:p>
        </w:tc>
        <w:tc>
          <w:tcPr>
            <w:tcW w:type="dxa" w:w="1255"/>
            <w:tcW w:type="dxa" w:w="7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Composite</w:t>
            </w:r>
          </w:p>
        </w:tc>
      </w:tr>
      <w:tr>
        <w:trPr>
          <w:cantSplit/>
        </w:trPr>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1</w:t>
            </w:r>
          </w:p>
        </w:tc>
        <w:tc>
          <w:tcPr>
            <w:tcW w:type="dxa" w:w="125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99.97%</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 vs baseline</w:t>
            </w:r>
          </w:p>
        </w:tc>
        <w:tc>
          <w:tcPr>
            <w:tcW w:type="dxa" w:w="1255"/>
            <w:tcW w:type="dxa" w:w="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84/100</w:t>
            </w:r>
          </w:p>
        </w:tc>
      </w:tr>
      <w:tr>
        <w:trPr>
          <w:cantSplit/>
        </w:trPr>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2</w:t>
            </w:r>
          </w:p>
        </w:tc>
        <w:tc>
          <w:tcPr>
            <w:tcW w:type="dxa" w:w="1255"/>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78%</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99.92%</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vs baseline</w:t>
            </w:r>
          </w:p>
        </w:tc>
        <w:tc>
          <w:tcPr>
            <w:tcW w:type="dxa" w:w="1255"/>
            <w:tcW w:type="dxa" w:w="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78/100</w:t>
            </w:r>
          </w:p>
        </w:tc>
      </w:tr>
      <w:tr>
        <w:trPr>
          <w:cantSplit/>
        </w:trPr>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3</w:t>
            </w:r>
          </w:p>
        </w:tc>
        <w:tc>
          <w:tcPr>
            <w:tcW w:type="dxa" w:w="125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99.95%</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vs baseline</w:t>
            </w:r>
          </w:p>
        </w:tc>
        <w:tc>
          <w:tcPr>
            <w:tcW w:type="dxa" w:w="1255"/>
            <w:tcW w:type="dxa" w:w="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82/100</w:t>
            </w:r>
          </w:p>
        </w:tc>
      </w:tr>
      <w:tr>
        <w:trPr>
          <w:cantSplit/>
        </w:trPr>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4</w:t>
            </w:r>
          </w:p>
        </w:tc>
        <w:tc>
          <w:tcPr>
            <w:tcW w:type="dxa" w:w="1255"/>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High</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99.98%</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 vs baseline</w:t>
            </w:r>
          </w:p>
        </w:tc>
        <w:tc>
          <w:tcPr>
            <w:tcW w:type="dxa" w:w="1255"/>
            <w:tcW w:type="dxa" w:w="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88/100</w:t>
            </w:r>
          </w:p>
        </w:tc>
      </w:tr>
      <w:tr>
        <w:trPr>
          <w:cantSplit/>
        </w:trPr>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5</w:t>
            </w:r>
          </w:p>
        </w:tc>
        <w:tc>
          <w:tcPr>
            <w:tcW w:type="dxa" w:w="125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72%</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99.91%</w:t>
            </w:r>
          </w:p>
        </w:tc>
        <w:tc>
          <w:tcPr>
            <w:tcW w:type="dxa" w:w="1255"/>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vs baseline</w:t>
            </w:r>
          </w:p>
        </w:tc>
        <w:tc>
          <w:tcPr>
            <w:tcW w:type="dxa" w:w="1255"/>
            <w:tcW w:type="dxa" w:w="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73/100</w:t>
            </w:r>
          </w:p>
        </w:tc>
      </w:tr>
      <w:tr>
        <w:trPr>
          <w:cantSplit/>
        </w:trPr>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6</w:t>
            </w:r>
          </w:p>
        </w:tc>
        <w:tc>
          <w:tcPr>
            <w:tcW w:type="dxa" w:w="1255"/>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75%</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99.93%</w:t>
            </w:r>
          </w:p>
        </w:tc>
        <w:tc>
          <w:tcPr>
            <w:tcW w:type="dxa" w:w="1255"/>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vs baseline</w:t>
            </w:r>
          </w:p>
        </w:tc>
        <w:tc>
          <w:tcPr>
            <w:tcW w:type="dxa" w:w="1255"/>
            <w:tcW w:type="dxa" w:w="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76/100</w:t>
            </w:r>
          </w:p>
        </w:tc>
      </w:tr>
    </w:tbl>
    <w:p>
      <w:pPr>
        <w:pStyle w:val="Heading3"/>
        <w:keepNext/>
        <w:spacing w:before="200"/>
      </w:pPr>
      <w:r>
        <w:t>15.3  Playbook Execution Metrics</w:t>
      </w:r>
    </w:p>
    <w:tbl>
      <w:tblPr>
        <w:tblW w:type="auto" w:w="0"/>
        <w:jc w:val="center"/>
        <w:tblLook w:firstColumn="1" w:firstRow="1" w:lastColumn="0" w:lastRow="0" w:noHBand="0" w:noVBand="1" w:val="04A0"/>
        <w:tblLayout w:type="autofit"/>
      </w:tblPr>
      <w:tblGrid>
        <w:gridCol w:w="2000"/>
        <w:gridCol w:w="1900"/>
        <w:gridCol w:w="1900"/>
        <w:gridCol w:w="3554"/>
      </w:tblGrid>
      <w:tr>
        <w:trPr>
          <w:tblHeader/>
          <w:cantSplit/>
        </w:trPr>
        <w:tc>
          <w:tcPr>
            <w:tcW w:type="dxa" w:w="2197"/>
            <w:tcW w:type="dxa" w:w="20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Playbook</w:t>
            </w:r>
          </w:p>
        </w:tc>
        <w:tc>
          <w:tcPr>
            <w:tcW w:type="dxa" w:w="2197"/>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Triggers (Cohort 1)</w:t>
            </w:r>
          </w:p>
        </w:tc>
        <w:tc>
          <w:tcPr>
            <w:tcW w:type="dxa" w:w="2197"/>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Average Resolution</w:t>
            </w:r>
          </w:p>
        </w:tc>
        <w:tc>
          <w:tcPr>
            <w:tcW w:type="dxa" w:w="2197"/>
            <w:tcW w:type="dxa" w:w="3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Outcome</w:t>
            </w:r>
          </w:p>
        </w:tc>
      </w:tr>
      <w:tr>
        <w:trPr>
          <w:cantSplit/>
        </w:trPr>
        <w:tc>
          <w:tcPr>
            <w:tcW w:type="dxa" w:w="2197"/>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(per Enterprise)</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28 days</w:t>
            </w:r>
          </w:p>
        </w:tc>
        <w:tc>
          <w:tcPr>
            <w:tcW w:type="dxa" w:w="2197"/>
            <w:tcW w:type="dxa" w:w="3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of 6 on track (4 of 6 at Phase-3)</w:t>
            </w:r>
          </w:p>
        </w:tc>
      </w:tr>
      <w:tr>
        <w:trPr>
          <w:cantSplit/>
        </w:trPr>
        <w:tc>
          <w:tcPr>
            <w:tcW w:type="dxa" w:w="2197"/>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Adoption</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 days</w:t>
            </w:r>
          </w:p>
        </w:tc>
        <w:tc>
          <w:tcPr>
            <w:tcW w:type="dxa" w:w="2197"/>
            <w:tcW w:type="dxa" w:w="3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of 4 resolved (CRE utilisation &gt; 85%)</w:t>
            </w:r>
          </w:p>
        </w:tc>
      </w:tr>
      <w:tr>
        <w:trPr>
          <w:cantSplit/>
        </w:trPr>
        <w:tc>
          <w:tcPr>
            <w:tcW w:type="dxa" w:w="2197"/>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days</w:t>
            </w:r>
          </w:p>
        </w:tc>
        <w:tc>
          <w:tcPr>
            <w:tcW w:type="dxa" w:w="2197"/>
            <w:tcW w:type="dxa" w:w="3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of 2 resolved (health score restored &gt; 75)</w:t>
            </w:r>
          </w:p>
        </w:tc>
      </w:tr>
      <w:tr>
        <w:trPr>
          <w:cantSplit/>
        </w:trPr>
        <w:tc>
          <w:tcPr>
            <w:tcW w:type="dxa" w:w="2197"/>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Expansion</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w:t>
            </w:r>
          </w:p>
        </w:tc>
        <w:tc>
          <w:tcPr>
            <w:tcW w:type="dxa" w:w="2197"/>
            <w:tcW w:type="dxa" w:w="3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Deferred to post-completion commercial phase</w:t>
            </w:r>
          </w:p>
        </w:tc>
      </w:tr>
      <w:tr>
        <w:trPr>
          <w:cantSplit/>
        </w:trPr>
        <w:tc>
          <w:tcPr>
            <w:tcW w:type="dxa" w:w="2197"/>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Escalation</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days</w:t>
            </w:r>
          </w:p>
        </w:tc>
        <w:tc>
          <w:tcPr>
            <w:tcW w:type="dxa" w:w="2197"/>
            <w:tcW w:type="dxa" w:w="3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of 3 resolved (1 to Product; 2 to Engineering)</w:t>
            </w:r>
          </w:p>
        </w:tc>
      </w:tr>
      <w:tr>
        <w:trPr>
          <w:cantSplit/>
        </w:trPr>
        <w:tc>
          <w:tcPr>
            <w:tcW w:type="dxa" w:w="2197"/>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Renewal</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w:t>
            </w:r>
          </w:p>
        </w:tc>
        <w:tc>
          <w:tcPr>
            <w:tcW w:type="dxa" w:w="2197"/>
            <w:tcW w:type="dxa" w:w="3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Deferred to commercial MSA execution</w:t>
            </w:r>
          </w:p>
        </w:tc>
      </w:tr>
      <w:tr>
        <w:trPr>
          <w:cantSplit/>
        </w:trPr>
        <w:tc>
          <w:tcPr>
            <w:tcW w:type="dxa" w:w="2197"/>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Offboarding</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w:t>
            </w:r>
          </w:p>
        </w:tc>
        <w:tc>
          <w:tcPr>
            <w:tcW w:type="dxa" w:w="2197"/>
            <w:tcW w:type="dxa" w:w="3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 offboardings in cohort 1 to date</w:t>
            </w:r>
          </w:p>
        </w:tc>
      </w:tr>
      <w:tr>
        <w:trPr>
          <w:cantSplit/>
        </w:trPr>
        <w:tc>
          <w:tcPr>
            <w:tcW w:type="dxa" w:w="2197"/>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Sponsor-Change</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2197"/>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days</w:t>
            </w:r>
          </w:p>
        </w:tc>
        <w:tc>
          <w:tcPr>
            <w:tcW w:type="dxa" w:w="2197"/>
            <w:tcW w:type="dxa" w:w="3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 of 1 resolved (Enterprise 5 CFO succeeded COO as sponsor)</w:t>
            </w:r>
          </w:p>
        </w:tc>
      </w:tr>
      <w:tr>
        <w:trPr>
          <w:cantSplit/>
        </w:trPr>
        <w:tc>
          <w:tcPr>
            <w:tcW w:type="dxa" w:w="2197"/>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Regulator-Engagement</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c>
          <w:tcPr>
            <w:tcW w:type="dxa" w:w="2197"/>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n/a</w:t>
            </w:r>
          </w:p>
        </w:tc>
        <w:tc>
          <w:tcPr>
            <w:tcW w:type="dxa" w:w="2197"/>
            <w:tcW w:type="dxa" w:w="3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Deferred to WS8 regulator engagement cycle</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Customer Success Report — Snapshot 2026-09-15  </w:t>
      </w:r>
      <w:r>
        <w:rPr>
          <w:rFonts w:ascii="Calibri" w:hAnsi="Calibri"/>
          <w:i/>
          <w:sz w:val="22"/>
        </w:rPr>
        <w:t>Customer Success Report status as of 2026-09-15: GREEN. Composite health score 80.2/100 (target &gt;= 75/100); NPS trajectory positive across all 6 Enterprises; 0 playbooks in failed state; sponsor-change playbook executed cleanly for Enterprise 5. Forward look: Day-60 NPS, Day-90 NPS, first QBR, commercial conversion pipeline maturation, case study publication.</w:t>
      </w:r>
    </w:p>
    <w:p>
      <w:pPr>
        <w:pStyle w:val="Heading2"/>
        <w:keepNext/>
        <w:spacing w:before="280"/>
      </w:pPr>
      <w:r>
        <w:t>Section 16 — Strategic Partnership Report</w:t>
      </w:r>
    </w:p>
    <w:p>
      <w:pPr>
        <w:spacing w:line="312" w:lineRule="auto" w:after="120"/>
        <w:ind w:firstLine="283"/>
        <w:jc w:val="both"/>
      </w:pPr>
      <w:r>
        <w:rPr>
          <w:rFonts w:ascii="Calibri" w:hAnsi="Calibri"/>
          <w:b w:val="0"/>
          <w:i w:val="0"/>
          <w:sz w:val="22"/>
        </w:rPr>
        <w:t>The Strategic Partnership Report consolidates the status of the five strategic partner categories: Law Firm (Law Firm Client Account role), Accounting firm, Banking partner, University partner, and Industry Association partner. The report tracks due-diligence status, MSA/MoU execution, onboarding completion, joint operating cadence adherence, and evidence artefact production. Partner contracts all carry the constitutional schedule restating the Zero-Custody, Fundamental-Pricing, and Constitutional-Policy-Enforcement invariants.</w:t>
      </w:r>
    </w:p>
    <w:p>
      <w:pPr>
        <w:pStyle w:val="Heading3"/>
        <w:keepNext/>
        <w:spacing w:before="200"/>
      </w:pPr>
      <w:r>
        <w:t>16.1  Partner Pipeline Summary</w:t>
      </w:r>
    </w:p>
    <w:tbl>
      <w:tblPr>
        <w:tblW w:type="auto" w:w="0"/>
        <w:jc w:val="center"/>
        <w:tblLook w:firstColumn="1" w:firstRow="1" w:lastColumn="0" w:lastRow="0" w:noHBand="0" w:noVBand="1" w:val="04A0"/>
        <w:tblLayout w:type="autofit"/>
      </w:tblPr>
      <w:tblGrid>
        <w:gridCol w:w="1700"/>
        <w:gridCol w:w="2300"/>
        <w:gridCol w:w="1300"/>
        <w:gridCol w:w="800"/>
        <w:gridCol w:w="1900"/>
        <w:gridCol w:w="1354"/>
      </w:tblGrid>
      <w:tr>
        <w:trPr>
          <w:tblHeader/>
          <w:cantSplit/>
        </w:trPr>
        <w:tc>
          <w:tcPr>
            <w:tcW w:type="dxa" w:w="1465"/>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Partner Category</w:t>
            </w:r>
          </w:p>
        </w:tc>
        <w:tc>
          <w:tcPr>
            <w:tcW w:type="dxa" w:w="1465"/>
            <w:tcW w:type="dxa" w:w="2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Function</w:t>
            </w:r>
          </w:p>
        </w:tc>
        <w:tc>
          <w:tcPr>
            <w:tcW w:type="dxa" w:w="1465"/>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Candidates Evaluated</w:t>
            </w:r>
          </w:p>
        </w:tc>
        <w:tc>
          <w:tcPr>
            <w:tcW w:type="dxa" w:w="1465"/>
            <w:tcW w:type="dxa" w:w="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Selected</w:t>
            </w:r>
          </w:p>
        </w:tc>
        <w:tc>
          <w:tcPr>
            <w:tcW w:type="dxa" w:w="1465"/>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Contract Status</w:t>
            </w:r>
          </w:p>
        </w:tc>
        <w:tc>
          <w:tcPr>
            <w:tcW w:type="dxa" w:w="1465"/>
            <w:tcW w:type="dxa" w:w="13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Signing</w:t>
            </w:r>
          </w:p>
        </w:tc>
      </w:tr>
      <w:tr>
        <w:trPr>
          <w:cantSplit/>
        </w:trPr>
        <w:tc>
          <w:tcPr>
            <w:tcW w:type="dxa" w:w="1465"/>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Client Account role</w:t>
            </w:r>
          </w:p>
        </w:tc>
        <w:tc>
          <w:tcPr>
            <w:tcW w:type="dxa" w:w="146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46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in draft (LFP-MSA-v1)</w:t>
            </w:r>
          </w:p>
        </w:tc>
        <w:tc>
          <w:tcPr>
            <w:tcW w:type="dxa" w:w="1465"/>
            <w:tcW w:type="dxa" w:w="13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2026-10-30</w:t>
            </w:r>
          </w:p>
        </w:tc>
      </w:tr>
      <w:tr>
        <w:trPr>
          <w:cantSplit/>
        </w:trPr>
        <w:tc>
          <w:tcPr>
            <w:tcW w:type="dxa" w:w="1465"/>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Accounting Firm</w:t>
            </w:r>
          </w:p>
        </w:tc>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Audit-grade capital-participation reporting</w:t>
            </w:r>
          </w:p>
        </w:tc>
        <w:tc>
          <w:tcPr>
            <w:tcW w:type="dxa" w:w="1465"/>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46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in draft (AFP-MSA-v1)</w:t>
            </w:r>
          </w:p>
        </w:tc>
        <w:tc>
          <w:tcPr>
            <w:tcW w:type="dxa" w:w="1465"/>
            <w:tcW w:type="dxa" w:w="13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w:t>
            </w:r>
          </w:p>
        </w:tc>
      </w:tr>
      <w:tr>
        <w:trPr>
          <w:cantSplit/>
        </w:trPr>
        <w:tc>
          <w:tcPr>
            <w:tcW w:type="dxa" w:w="1465"/>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Banking Partner</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liaison; payment-rail familiarity</w:t>
            </w:r>
          </w:p>
        </w:tc>
        <w:tc>
          <w:tcPr>
            <w:tcW w:type="dxa" w:w="146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w:t>
            </w:r>
          </w:p>
        </w:tc>
        <w:tc>
          <w:tcPr>
            <w:tcW w:type="dxa" w:w="146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LOI dialogue in progress</w:t>
            </w:r>
          </w:p>
        </w:tc>
        <w:tc>
          <w:tcPr>
            <w:tcW w:type="dxa" w:w="1465"/>
            <w:tcW w:type="dxa" w:w="13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2026-12-01 (LOI)</w:t>
            </w:r>
          </w:p>
        </w:tc>
      </w:tr>
      <w:tr>
        <w:trPr>
          <w:cantSplit/>
        </w:trPr>
        <w:tc>
          <w:tcPr>
            <w:tcW w:type="dxa" w:w="1465"/>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w:t>
            </w:r>
          </w:p>
        </w:tc>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Academic certification; talent pipeline</w:t>
            </w:r>
          </w:p>
        </w:tc>
        <w:tc>
          <w:tcPr>
            <w:tcW w:type="dxa" w:w="1465"/>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465"/>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MoU signed 2026-09-10</w:t>
            </w:r>
          </w:p>
        </w:tc>
        <w:tc>
          <w:tcPr>
            <w:tcW w:type="dxa" w:w="1465"/>
            <w:tcW w:type="dxa" w:w="13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w:t>
            </w:r>
          </w:p>
        </w:tc>
      </w:tr>
      <w:tr>
        <w:trPr>
          <w:cantSplit/>
        </w:trPr>
        <w:tc>
          <w:tcPr>
            <w:tcW w:type="dxa" w:w="1465"/>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Industry Association</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Sector-specific Enterprise access</w:t>
            </w:r>
          </w:p>
        </w:tc>
        <w:tc>
          <w:tcPr>
            <w:tcW w:type="dxa" w:w="1465"/>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w:t>
            </w:r>
          </w:p>
        </w:tc>
        <w:tc>
          <w:tcPr>
            <w:tcW w:type="dxa" w:w="1465"/>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MoU in draft (IAP-MOU-v1)</w:t>
            </w:r>
          </w:p>
        </w:tc>
        <w:tc>
          <w:tcPr>
            <w:tcW w:type="dxa" w:w="1465"/>
            <w:tcW w:type="dxa" w:w="13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2026-11-30</w:t>
            </w:r>
          </w:p>
        </w:tc>
      </w:tr>
    </w:tbl>
    <w:p>
      <w:pPr>
        <w:pStyle w:val="Heading3"/>
        <w:keepNext/>
        <w:spacing w:before="200"/>
      </w:pPr>
      <w:r>
        <w:t>16.2  Per-Partner Detail</w:t>
      </w:r>
    </w:p>
    <w:p>
      <w:pPr>
        <w:pStyle w:val="Heading3"/>
        <w:keepNext/>
        <w:spacing w:before="200"/>
      </w:pPr>
      <w:r>
        <w:t>16.2.1  Law Firm Partner (Law Firm Client Account role)</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Firm</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(regional Egyptian law firm; name under NDA until MSA execution)</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Practice Coverage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Capital markets; corporate; regulatory; commercial contracts</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Client Account Capability</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FRA-familiar; KYC/AML integrated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hours delivered 2026-09-20; 3 partners + 4 associates certified</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Monthly operating review; quarterly executive sync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 archived to Repository (constitutional training cert; KYC process doc; etc.)</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Target</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2026-10-30; external counsel reviewed; constitutional schedule attached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 material; technical integration readiness for Enterprise 2 (ETA Day-22)</w:t>
            </w:r>
          </w:p>
        </w:tc>
      </w:tr>
    </w:tbl>
    <w:p>
      <w:pPr>
        <w:pStyle w:val="Heading3"/>
        <w:keepNext/>
        <w:spacing w:before="200"/>
      </w:pPr>
      <w:r>
        <w:t>16.2.2  Accounting Firm Partner</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Firm</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(Big-Four regional practice; name under NDA until MSA execution)</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Practice Coverage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Audit; capital-participation reporting; SOC 2 readiness advisory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hours delivered 2026-09-22; 2 partners + 3 managers certified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Monthly operating review; quarterly executive sync</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archived to Repository (training cert; reporting template; etc.)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Target</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 external counsel reviewed; constitutional schedule attached</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 material</w:t>
            </w:r>
          </w:p>
        </w:tc>
      </w:tr>
    </w:tbl>
    <w:p>
      <w:pPr>
        <w:pStyle w:val="Heading3"/>
        <w:keepNext/>
        <w:spacing w:before="200"/>
      </w:pPr>
      <w:r>
        <w:t>16.2.3  Banking Partner</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Bank</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(Egyptian commercial bank; name under NDA until LOI execution)</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Coverage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liaison with FRA and Central Bank of Egypt; payment-rail familiarity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Scheduled 2026-11-10 (post-LOI)</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 (post-LOI)</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archived to Repository (dialogue minutes; preliminary KYC)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LOI Target</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2026-12-01; full MSA target Q1 2027</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 banking-sector compliance review may extend timeline by 30-60 days</w:t>
            </w:r>
          </w:p>
        </w:tc>
      </w:tr>
    </w:tbl>
    <w:p>
      <w:pPr>
        <w:pStyle w:val="Heading3"/>
        <w:keepNext/>
        <w:spacing w:before="200"/>
      </w:pPr>
      <w:r>
        <w:t>16.2.4  University Partner</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(regional Egyptian university business school; named in MoU)</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Coverage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Academic certification track; talent pipeline; case-study co-authoring</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Delivered 2026-09-15; 4 faculty members certified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Monthly operating review; first joint workshop 2026-11-01</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11 archived to Repository (MoU; training cert; workshop materials draft; etc.)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MoU Status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2026-09-10; effective immediately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 material</w:t>
            </w:r>
          </w:p>
        </w:tc>
      </w:tr>
    </w:tbl>
    <w:p>
      <w:pPr>
        <w:pStyle w:val="Heading3"/>
        <w:keepNext/>
        <w:spacing w:before="200"/>
      </w:pPr>
      <w:r>
        <w:t>16.2.5  Industry Association Partner</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Association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(regional industry association for manufacturing Enterprises; named in MoU)</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Coverage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Sector-specific Enterprise access; manufacturing-sector regulatory clarity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Scheduled 2026-11-25 (pre-MoU signing)</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Joint Operating Cadence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 (post-MoU)</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Artefacts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 archived to Repository (dialogue minutes; preliminary pipeline)</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MoU Target</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2026-11-30; constitutional schedule attached</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Risk</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 association board approval required (expected on schedule)</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Strategic Partnership Report — Snapshot 2026-09-15  </w:t>
      </w:r>
      <w:r>
        <w:rPr>
          <w:rFonts w:ascii="Calibri" w:hAnsi="Calibri"/>
          <w:i/>
          <w:sz w:val="22"/>
        </w:rPr>
        <w:t>Strategic Partnership Report status as of 2026-09-15: GREEN overall, AMBER on Banking Partner timeline (medium risk; 30-60 day potential extension). 1 of 5 partners fully signed (University); 4 of 5 in active contracting. Forward look: Law Firm MSA (Oct 30); Accounting MSA (Nov 15); Industry Association MoU (Nov 30); Banking LOI (Dec 1). All partners carry constitutional schedule; all partners' personnel complete constitutional training before joint operations.</w:t>
      </w:r>
    </w:p>
    <w:p>
      <w:pPr>
        <w:pStyle w:val="Heading2"/>
        <w:keepNext/>
        <w:spacing w:before="280"/>
      </w:pPr>
      <w:r>
        <w:t>Section 17 — Regulatory Engagement Report</w:t>
      </w:r>
    </w:p>
    <w:p>
      <w:pPr>
        <w:spacing w:line="312" w:lineRule="auto" w:after="120"/>
        <w:ind w:firstLine="283"/>
        <w:jc w:val="both"/>
      </w:pPr>
      <w:r>
        <w:rPr>
          <w:rFonts w:ascii="Calibri" w:hAnsi="Calibri"/>
          <w:b w:val="0"/>
          <w:i w:val="0"/>
          <w:sz w:val="22"/>
        </w:rPr>
        <w:t>The Regulatory Engagement Report consolidates AURIENTA's engagement with the four Egyptian regulators — the Financial Regulatory Authority (FRA), the General Authority for Capital Participation and Free Zones (GAFI), the Egyptian Tax Authority (ETA), and the Personal Data Protection Centre (PDPC). The report tracks engagement status, briefing pack readiness, no-action letter pursuit, voluntary disclosure cadence, and the Regulatory Engagement Register. The report is owned by the General Counsel and reviewed quarterly by the Founder.</w:t>
      </w:r>
    </w:p>
    <w:p>
      <w:pPr>
        <w:pStyle w:val="Heading3"/>
        <w:keepNext/>
        <w:spacing w:before="200"/>
      </w:pPr>
      <w:r>
        <w:t>17.1  Engagement Status Summary</w:t>
      </w:r>
    </w:p>
    <w:tbl>
      <w:tblPr>
        <w:tblW w:type="auto" w:w="0"/>
        <w:jc w:val="center"/>
        <w:tblLook w:firstColumn="1" w:firstRow="1" w:lastColumn="0" w:lastRow="0" w:noHBand="0" w:noVBand="1" w:val="04A0"/>
        <w:tblLayout w:type="autofit"/>
      </w:tblPr>
      <w:tblGrid>
        <w:gridCol w:w="800"/>
        <w:gridCol w:w="2900"/>
        <w:gridCol w:w="1700"/>
        <w:gridCol w:w="1500"/>
        <w:gridCol w:w="2454"/>
      </w:tblGrid>
      <w:tr>
        <w:trPr>
          <w:tblHeader/>
          <w:cantSplit/>
        </w:trPr>
        <w:tc>
          <w:tcPr>
            <w:tcW w:type="dxa" w:w="1758"/>
            <w:tcW w:type="dxa" w:w="8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Regulator</w:t>
            </w:r>
          </w:p>
        </w:tc>
        <w:tc>
          <w:tcPr>
            <w:tcW w:type="dxa" w:w="1758"/>
            <w:tcW w:type="dxa" w:w="2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Engagement Status</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Briefing Pack</w:t>
            </w:r>
          </w:p>
        </w:tc>
        <w:tc>
          <w:tcPr>
            <w:tcW w:type="dxa" w:w="1758"/>
            <w:tcW w:type="dxa" w:w="1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Submission</w:t>
            </w:r>
          </w:p>
        </w:tc>
        <w:tc>
          <w:tcPr>
            <w:tcW w:type="dxa" w:w="1758"/>
            <w:tcW w:type="dxa" w:w="24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Pursuing No-Action Letter</w:t>
            </w:r>
          </w:p>
        </w:tc>
      </w:tr>
      <w:tr>
        <w:trPr>
          <w:cantSplit/>
        </w:trPr>
        <w:tc>
          <w:tcPr>
            <w:tcW w:type="dxa" w:w="1758"/>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Introductory briefing requested; pre-briefing dialogue scheduled 2026-10-20</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 ready (FRA-BP-v1)</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2026</w:t>
            </w:r>
          </w:p>
        </w:tc>
        <w:tc>
          <w:tcPr>
            <w:tcW w:type="dxa" w:w="1758"/>
            <w:tcW w:type="dxa" w:w="2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(Equity Units structure)</w:t>
            </w:r>
          </w:p>
        </w:tc>
      </w:tr>
      <w:tr>
        <w:trPr>
          <w:cantSplit/>
        </w:trPr>
        <w:tc>
          <w:tcPr>
            <w:tcW w:type="dxa" w:w="1758"/>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GAFI</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pack in draft</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 in draft</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w:t>
            </w:r>
          </w:p>
        </w:tc>
        <w:tc>
          <w:tcPr>
            <w:tcW w:type="dxa" w:w="1758"/>
            <w:tcW w:type="dxa" w:w="2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w:t>
            </w:r>
          </w:p>
        </w:tc>
      </w:tr>
      <w:tr>
        <w:trPr>
          <w:cantSplit/>
        </w:trPr>
        <w:tc>
          <w:tcPr>
            <w:tcW w:type="dxa" w:w="1758"/>
            <w:tcW w:type="dxa" w:w="8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ETA</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Briefing pack in draft</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 in draft</w:t>
            </w:r>
          </w:p>
        </w:tc>
        <w:tc>
          <w:tcPr>
            <w:tcW w:type="dxa" w:w="1758"/>
            <w:tcW w:type="dxa" w:w="1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2026-12-01</w:t>
            </w:r>
          </w:p>
        </w:tc>
        <w:tc>
          <w:tcPr>
            <w:tcW w:type="dxa" w:w="1758"/>
            <w:tcW w:type="dxa" w:w="2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w:t>
            </w:r>
          </w:p>
        </w:tc>
      </w:tr>
      <w:tr>
        <w:trPr>
          <w:cantSplit/>
        </w:trPr>
        <w:tc>
          <w:tcPr>
            <w:tcW w:type="dxa" w:w="1758"/>
            <w:tcW w:type="dxa" w:w="8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PDPC</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Data-flow map complete; briefing pack in draft</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 in draft</w:t>
            </w:r>
          </w:p>
        </w:tc>
        <w:tc>
          <w:tcPr>
            <w:tcW w:type="dxa" w:w="1758"/>
            <w:tcW w:type="dxa" w:w="1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2026-11-30</w:t>
            </w:r>
          </w:p>
        </w:tc>
        <w:tc>
          <w:tcPr>
            <w:tcW w:type="dxa" w:w="1758"/>
            <w:tcW w:type="dxa" w:w="2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(cross-border data flows)</w:t>
            </w:r>
          </w:p>
        </w:tc>
      </w:tr>
    </w:tbl>
    <w:p>
      <w:pPr>
        <w:pStyle w:val="Heading3"/>
        <w:keepNext/>
        <w:spacing w:before="200"/>
      </w:pPr>
      <w:r>
        <w:t>17.2  Regulatory Engagement Register Snapshot</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Register ID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RER-001..007</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Total Engagements Logged</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 (1 with FRA pre-briefing; 2 with PDPC; 1 with GAFI preliminary; 3 internal reviews)</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Regulator-Initiated Queries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Enforcement Actions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No-Action Letters Drafted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(NAL-001 FRA; NAL-002 PDPC)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No-Action Letters Received</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(target Q1 2027)</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Voluntary Disclosures Made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(first quarterly transparency report scheduled 2027-Q1)</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Counsel Engaged</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(Egyptian capital-markets specialist firm)</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Retention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 years (immutable; hash-chain anchored to Ownership Ledger)</w:t>
            </w:r>
          </w:p>
        </w:tc>
      </w:tr>
    </w:tbl>
    <w:p>
      <w:pPr>
        <w:pStyle w:val="Heading3"/>
        <w:keepNext/>
        <w:spacing w:before="200"/>
      </w:pPr>
      <w:r>
        <w:t>17.3  Engagement Posture and Principles</w:t>
      </w:r>
    </w:p>
    <w:p>
      <w:pPr>
        <w:spacing w:line="312" w:lineRule="auto" w:after="120"/>
        <w:ind w:firstLine="283"/>
        <w:jc w:val="both"/>
      </w:pPr>
      <w:r>
        <w:rPr>
          <w:rFonts w:ascii="Calibri" w:hAnsi="Calibri"/>
          <w:b w:val="0"/>
          <w:i w:val="0"/>
          <w:sz w:val="22"/>
        </w:rPr>
        <w:t>AURIENTA's regulatory engagement posture is cooperation first, contestation never. Where a regulator expresses concern about the constitutional model, the Law Firm Client Account flow, or the Equity Unit structure, AURIENTA adjusts the model or the operating procedures rather than litigating. The Founder retains final authority on any engagement that touches a constitutional invariant; the General Counsel owns all other engagement decisions. Every engagement is recorded in the Regulatory Engagement Register with attendees, briefing materials, regulator questions, AURIENTA responses, follow-up actions, and outcome. The Register is the auditable evidence base for Section 18 (Institutional Evidence Report) and a critical input to the SOC 2 / ISO 27001 evidence packages.</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Regulatory Engagement Report — Snapshot 2026-09-15  </w:t>
      </w:r>
      <w:r>
        <w:rPr>
          <w:rFonts w:ascii="Calibri" w:hAnsi="Calibri"/>
          <w:i/>
          <w:sz w:val="22"/>
        </w:rPr>
        <w:t>Regulatory Engagement Report status as of 2026-09-15: AMBER. Engagement with all four regulators (FRA, GAFI, ETA, PDPC) is on the planned trajectory; 0 regulator-initiated queries; 0 enforcement actions. Forward look: FRA pre-briefing (Oct 20); FRA formal briefing (Q4 2026); GAFI briefing (Nov 15); PDPC briefing (Nov 30); ETA briefing (Dec 1); 2 no-action letters drafted (target receipt Q1 2027); first quarterly transparency report (Q1 2027).</w:t>
      </w:r>
    </w:p>
    <w:p>
      <w:pPr>
        <w:pStyle w:val="Heading2"/>
        <w:keepNext/>
        <w:spacing w:before="280"/>
      </w:pPr>
      <w:r>
        <w:t>Section 18 — Institutional Evidence Report</w:t>
      </w:r>
    </w:p>
    <w:p>
      <w:pPr>
        <w:spacing w:line="312" w:lineRule="auto" w:after="120"/>
        <w:ind w:firstLine="283"/>
        <w:jc w:val="both"/>
      </w:pPr>
      <w:r>
        <w:rPr>
          <w:rFonts w:ascii="Calibri" w:hAnsi="Calibri"/>
          <w:b w:val="0"/>
          <w:i w:val="0"/>
          <w:sz w:val="22"/>
        </w:rPr>
        <w:t>The Institutional Evidence Report consolidates the status of the Institutional Evidence Repository (Section 9) and the readiness of the evidence packages required for external audit (SOC 2 Type II; ISO 27001), regulatory submission, partner review, and Enterprise procurement. The report aggregates artefact counts by domain and type, evidence-package completeness, integrity-audit results, and external-reviewer access events. The report is owned by the Compliance Officer and reviewed quarterly with the CISO and the General Counsel.</w:t>
      </w:r>
    </w:p>
    <w:p>
      <w:pPr>
        <w:pStyle w:val="Heading3"/>
        <w:keepNext/>
        <w:spacing w:before="200"/>
      </w:pPr>
      <w:r>
        <w:t>18.1  Repository Snapshot</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Version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IER-ARCH-v1</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Backend</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S3-compatible; encrypted-at-rest; immutable WORM; hash-chain anchored to Ownership Ledger</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Total Artefacts Ingested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187 (target by end of cohort-1: 240+)</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Artefact Domains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7 (Constitutional Integrity; Enterprise Operations; Strategic Partnership; Regulatory Engagement; Security &amp; Compliance; Performance; Customer Success)</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Artefact Types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 (Policy; Procedure; Configuration; Test Result; Audit Log; Decision Record; Case Study; Regulatory Filing; Partner Contract; Pilot Artefact)</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Integrity Violations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(hash-chain verification weekly)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Access Reviews Conducted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 (first review 2026-12-01 scheduled)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External-Reviewer Access Events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0 (first external reviewer access Q1 2027)</w:t>
            </w:r>
          </w:p>
        </w:tc>
      </w:tr>
    </w:tbl>
    <w:p>
      <w:pPr>
        <w:pStyle w:val="Heading3"/>
        <w:keepNext/>
        <w:spacing w:before="200"/>
      </w:pPr>
      <w:r>
        <w:t>18.2  Evidence Package Status</w:t>
      </w:r>
    </w:p>
    <w:tbl>
      <w:tblPr>
        <w:tblW w:type="auto" w:w="0"/>
        <w:jc w:val="center"/>
        <w:tblLook w:firstColumn="1" w:firstRow="1" w:lastColumn="0" w:lastRow="0" w:noHBand="0" w:noVBand="1" w:val="04A0"/>
        <w:tblLayout w:type="autofit"/>
      </w:tblPr>
      <w:tblGrid>
        <w:gridCol w:w="2300"/>
        <w:gridCol w:w="900"/>
        <w:gridCol w:w="900"/>
        <w:gridCol w:w="1900"/>
        <w:gridCol w:w="1900"/>
        <w:gridCol w:w="1454"/>
      </w:tblGrid>
      <w:tr>
        <w:trPr>
          <w:tblHeader/>
          <w:cantSplit/>
        </w:trPr>
        <w:tc>
          <w:tcPr>
            <w:tcW w:type="dxa" w:w="1465"/>
            <w:tcW w:type="dxa" w:w="2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Package</w:t>
            </w:r>
          </w:p>
        </w:tc>
        <w:tc>
          <w:tcPr>
            <w:tcW w:type="dxa" w:w="146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Version</w:t>
            </w:r>
          </w:p>
        </w:tc>
        <w:tc>
          <w:tcPr>
            <w:tcW w:type="dxa" w:w="146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Current Version</w:t>
            </w:r>
          </w:p>
        </w:tc>
        <w:tc>
          <w:tcPr>
            <w:tcW w:type="dxa" w:w="1465"/>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Items Mapped</w:t>
            </w:r>
          </w:p>
        </w:tc>
        <w:tc>
          <w:tcPr>
            <w:tcW w:type="dxa" w:w="1465"/>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Artefacts Cross-Referenced</w:t>
            </w:r>
          </w:p>
        </w:tc>
        <w:tc>
          <w:tcPr>
            <w:tcW w:type="dxa" w:w="1465"/>
            <w:tcW w:type="dxa" w:w="14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 v1.0 Date</w:t>
            </w:r>
          </w:p>
        </w:tc>
      </w:tr>
      <w:tr>
        <w:trPr>
          <w:cantSplit/>
        </w:trPr>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Evidence Package</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64 TSC criteria (all mapped)</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41 of 64 cross-referenced</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2026-12-15</w:t>
            </w:r>
          </w:p>
        </w:tc>
      </w:tr>
      <w:tr>
        <w:trPr>
          <w:cantSplit/>
        </w:trPr>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27001 Evidence Package</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 Annex A controls (all mapped)</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67 of 93 cross-referenced</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2026-12-15</w:t>
            </w:r>
          </w:p>
        </w:tc>
      </w:tr>
      <w:tr>
        <w:trPr>
          <w:cantSplit/>
        </w:trPr>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Regulatory Evidence Package</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v0.9</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 supporting artefacts</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18 of 18 cross-referenced</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2026 (with FRA submission)</w:t>
            </w:r>
          </w:p>
        </w:tc>
      </w:tr>
      <w:tr>
        <w:trPr>
          <w:cantSplit/>
        </w:trPr>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GAFI Regulatory Evidence Package</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v0.5</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draft</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w:t>
            </w:r>
          </w:p>
        </w:tc>
      </w:tr>
      <w:tr>
        <w:trPr>
          <w:cantSplit/>
        </w:trPr>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ETA Regulatory Evidence Package</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v0.5</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draft</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TBD</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2026-12-01</w:t>
            </w:r>
          </w:p>
        </w:tc>
      </w:tr>
      <w:tr>
        <w:trPr>
          <w:cantSplit/>
        </w:trPr>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PDPC Regulatory Evidence Package</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v0.7</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12 supporting artefacts</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 of 12 cross-referenced</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2026-11-30</w:t>
            </w:r>
          </w:p>
        </w:tc>
      </w:tr>
      <w:tr>
        <w:trPr>
          <w:cantSplit/>
        </w:trPr>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Customer Success Evidence Package</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case studies; 6 QBR decks queued; NPS outputs; VoE insights</w:t>
            </w:r>
          </w:p>
        </w:tc>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All cross-referenced</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r>
      <w:tr>
        <w:trPr>
          <w:cantSplit/>
        </w:trPr>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Partner Evidence Package</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v1.0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v0.8</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Per partner artefacts</w:t>
            </w:r>
          </w:p>
        </w:tc>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14 of 18 cross-referenced</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2026-11-30</w:t>
            </w:r>
          </w:p>
        </w:tc>
      </w:tr>
    </w:tbl>
    <w:p>
      <w:pPr>
        <w:pStyle w:val="Heading3"/>
        <w:keepNext/>
        <w:spacing w:before="200"/>
      </w:pPr>
      <w:r>
        <w:t>18.3  Evidence Production Cadence</w:t>
      </w:r>
    </w:p>
    <w:p>
      <w:pPr>
        <w:spacing w:line="312" w:lineRule="auto" w:after="120"/>
        <w:ind w:firstLine="283"/>
        <w:jc w:val="both"/>
      </w:pPr>
      <w:r>
        <w:rPr>
          <w:rFonts w:ascii="Calibri" w:hAnsi="Calibri"/>
          <w:b w:val="0"/>
          <w:i w:val="0"/>
          <w:sz w:val="22"/>
        </w:rPr>
        <w:t>Evidence production is a continuous discipline, not a one-time effort. The Documentation &amp; Evidence Coordinator ingests new artefacts weekly from every workstream owner; the Compliance Officer reviews the ingestion log weekly; the integrity audit (hash-chain verification, completeness check, retention enforcement) is conducted quarterly. External-auditor access is granted through scoped, time-boxed, supervised, and logged sessions per the external-auditor access protocol (WS9-07). The Repository is the operational backbone of AURIENTA's institutional shift from architecture to evidence: every external claim made by AURIENTA traces to a Repository artefact with a verifiable hash.</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Institutional Evidence Report — Snapshot 2026-09-15  </w:t>
      </w:r>
      <w:r>
        <w:rPr>
          <w:rFonts w:ascii="Calibri" w:hAnsi="Calibri"/>
          <w:i/>
          <w:sz w:val="22"/>
        </w:rPr>
        <w:t>Institutional Evidence Report status as of 2026-09-15: GREEN. 187 artefacts ingested; 0 integrity violations; 2 of 8 evidence packages at v1.0 (Customer Success complete; all others on track for v1.0 by 2026-12-15 or with regulator submission). Forward look: SOC 2 evidence package v1.0 (Dec 15); ISO 27001 evidence package v1.0 (Dec 15); FRA regulatory evidence package v1.0 (with FRA submission Q4 2026); first quarterly integrity audit (Dec 15).</w:t>
      </w:r>
    </w:p>
    <w:p>
      <w:pPr>
        <w:pStyle w:val="Heading2"/>
        <w:keepNext/>
        <w:spacing w:before="280"/>
      </w:pPr>
      <w:r>
        <w:t>Section 19 — Lessons Learned Report</w:t>
      </w:r>
    </w:p>
    <w:p>
      <w:pPr>
        <w:spacing w:line="312" w:lineRule="auto" w:after="120"/>
        <w:ind w:firstLine="283"/>
        <w:jc w:val="both"/>
      </w:pPr>
      <w:r>
        <w:rPr>
          <w:rFonts w:ascii="Calibri" w:hAnsi="Calibri"/>
          <w:b w:val="0"/>
          <w:i w:val="0"/>
          <w:sz w:val="22"/>
        </w:rPr>
        <w:t>The Lessons Learned Report consolidates the structured lessons captured through the Feedback &amp; Continuous Improvement workstream (Section 6) and the Pilot Completion Framework (Section 11). The report is the institutional memory of the pilot programme; it is the primary input to the Onboarding Factory v2 (cohort 2), the Improvement Backlog prioritisation, the Roadmap Revision procedure, and the Executive Readiness Assessment (Section 20). The report is owned by the PMO Analyst and reviewed by the COO and the Founder.</w:t>
      </w:r>
    </w:p>
    <w:p>
      <w:pPr>
        <w:pStyle w:val="Heading3"/>
        <w:keepNext/>
        <w:spacing w:before="200"/>
      </w:pPr>
      <w:r>
        <w:t>19.1  Lessons Captured (Running Log)</w:t>
      </w:r>
    </w:p>
    <w:tbl>
      <w:tblPr>
        <w:tblW w:type="auto" w:w="0"/>
        <w:jc w:val="center"/>
        <w:tblLook w:firstColumn="1" w:firstRow="1" w:lastColumn="0" w:lastRow="0" w:noHBand="0" w:noVBand="1" w:val="04A0"/>
        <w:tblLayout w:type="autofit"/>
      </w:tblPr>
      <w:tblGrid>
        <w:gridCol w:w="700"/>
        <w:gridCol w:w="3200"/>
        <w:gridCol w:w="1700"/>
        <w:gridCol w:w="900"/>
        <w:gridCol w:w="2854"/>
      </w:tblGrid>
      <w:tr>
        <w:trPr>
          <w:tblHeader/>
          <w:cantSplit/>
        </w:trPr>
        <w:tc>
          <w:tcPr>
            <w:tcW w:type="dxa" w:w="1758"/>
            <w:tcW w:type="dxa" w:w="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LL ID</w:t>
            </w:r>
          </w:p>
        </w:tc>
        <w:tc>
          <w:tcPr>
            <w:tcW w:type="dxa" w:w="1758"/>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Lesson</w:t>
            </w:r>
          </w:p>
        </w:tc>
        <w:tc>
          <w:tcPr>
            <w:tcW w:type="dxa" w:w="1758"/>
            <w:tcW w:type="dxa" w:w="1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Source</w:t>
            </w:r>
          </w:p>
        </w:tc>
        <w:tc>
          <w:tcPr>
            <w:tcW w:type="dxa" w:w="1758"/>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Severity</w:t>
            </w:r>
          </w:p>
        </w:tc>
        <w:tc>
          <w:tcPr>
            <w:tcW w:type="dxa" w:w="1758"/>
            <w:tcW w:type="dxa" w:w="28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Improvement Applied</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Client Account counterparty technical readiness varies significantly across firms; require pre-onboarding technical due diligence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2 (Day-18)</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added to Onboarding Factory OF-v2 (Day-5)</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sponsor availability shifts mid-pilot more often than anticipated; require named successor at signing</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5 (Day-15)</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added to Pilot Agreement template PA-v2 (successor clause)</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LL-003</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Identity federation configuration surfaces IdP-specific quirks (Azure AD attribute mapping; Google Workspace group sync); add per-IdP configuration guides</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Enterprise 6 (Day-12)</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Identity Provider Configuration Guide IPD-CG-v1 published</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LL-004</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weekly check-in cadence is correct; daily check-in is excessive and strains sponsor goodwill</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CPSM team (Day-10)</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cadence standardised at weekly + monthly sponsor call</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LL-005</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Voice-of-Enterprise insights are most actionable when tagged by Enterprise lifecycle phase; introduce phase tagging</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Lead CPSM (Day-20)</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VoE-LOG schema updated; phase tag required</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LL-006</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Mission Control dashboard mobile view is essential for Founder engagement; desktop-only would have caused review delays</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(Day-12)</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mobile view MC-MOB prioritised and delivered Day-18</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LL-007</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 pre-briefing dialogue is more productive than formal briefing as a first touch; institutionalise pre-briefing for every regulator</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(Day-15)</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Regulatory Engagement Strategy RES-v2 updated</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LL-008</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training for partner personnel is best delivered in a single 4-hour session (not 2 x 2-hour); reduces scheduling friction</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(Day-22)</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partner onboarding protocol POP-v2 updated</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LL-009</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Onboarding cycle-time target of 30 days is achievable but tight; Phase-1 (Discovery &amp; Configuration) benefits from a 12-day window rather than 10</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PMO Director (Day-20)</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Under review — Onboarding Factory OF-v2 will test 12-day Phase-1</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LL-010</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study consent captured at signing must be reaffirmed pre-publication; one Enterprise requested substantive changes pre-publication</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(Day-22)</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consent form CS-CONSENT-v1 updated with reaffirmation step</w:t>
            </w:r>
          </w:p>
        </w:tc>
      </w:tr>
      <w:tr>
        <w:trPr>
          <w:cantSplit/>
        </w:trPr>
        <w:tc>
          <w:tcPr>
            <w:tcW w:type="dxa" w:w="1758"/>
            <w:tcW w:type="dxa" w:w="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LL-011</w:t>
            </w:r>
          </w:p>
        </w:tc>
        <w:tc>
          <w:tcPr>
            <w:tcW w:type="dxa" w:w="1758"/>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Health-score model HSM-v1 weights CRE utilisation too heavily for Enterprises at Phase-2 (pre-first-issuance); adjust weights by phase</w:t>
            </w:r>
          </w:p>
        </w:tc>
        <w:tc>
          <w:tcPr>
            <w:tcW w:type="dxa" w:w="1758"/>
            <w:tcW w:type="dxa" w:w="1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Operations Analyst (Day-18)</w:t>
            </w:r>
          </w:p>
        </w:tc>
        <w:tc>
          <w:tcPr>
            <w:tcW w:type="dxa" w:w="1758"/>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Medium</w:t>
            </w:r>
          </w:p>
        </w:tc>
        <w:tc>
          <w:tcPr>
            <w:tcW w:type="dxa" w:w="1758"/>
            <w:tcW w:type="dxa" w:w="28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Under review — HSM-v2 will introduce phase-aware weighting</w:t>
            </w:r>
          </w:p>
        </w:tc>
      </w:tr>
      <w:tr>
        <w:trPr>
          <w:cantSplit/>
        </w:trPr>
        <w:tc>
          <w:tcPr>
            <w:tcW w:type="dxa" w:w="1758"/>
            <w:tcW w:type="dxa" w:w="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LL-012</w:t>
            </w:r>
          </w:p>
        </w:tc>
        <w:tc>
          <w:tcPr>
            <w:tcW w:type="dxa" w:w="1758"/>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 engagement should commence at briefing-pack drafting, not at briefing-pack review; earlier engagement improves pack quality</w:t>
            </w:r>
          </w:p>
        </w:tc>
        <w:tc>
          <w:tcPr>
            <w:tcW w:type="dxa" w:w="1758"/>
            <w:tcW w:type="dxa" w:w="1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 (Day-20)</w:t>
            </w:r>
          </w:p>
        </w:tc>
        <w:tc>
          <w:tcPr>
            <w:tcW w:type="dxa" w:w="1758"/>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Low</w:t>
            </w:r>
          </w:p>
        </w:tc>
        <w:tc>
          <w:tcPr>
            <w:tcW w:type="dxa" w:w="1758"/>
            <w:tcW w:type="dxa" w:w="28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Yes — engagement protocol updated; counsel engaged at draft for GAFI, ETA, PDPC</w:t>
            </w:r>
          </w:p>
        </w:tc>
      </w:tr>
    </w:tbl>
    <w:p>
      <w:pPr>
        <w:pStyle w:val="Heading3"/>
        <w:keepNext/>
        <w:spacing w:before="200"/>
      </w:pPr>
      <w:r>
        <w:t>19.2  Lessons Theme Analysis</w:t>
      </w:r>
    </w:p>
    <w:p>
      <w:pPr>
        <w:spacing w:line="312" w:lineRule="auto" w:after="120"/>
        <w:ind w:firstLine="283"/>
        <w:jc w:val="both"/>
      </w:pPr>
      <w:r>
        <w:rPr>
          <w:rFonts w:ascii="Calibri" w:hAnsi="Calibri"/>
          <w:b w:val="0"/>
          <w:i w:val="0"/>
          <w:sz w:val="22"/>
        </w:rPr>
        <w:t>Twelve lessons have been captured through Day-22 of the cohort-1 pilot. The dominant themes are: (1) counterparty readiness variability (LL-001, LL-003, LL-008) — addressed through pre-onboarding due diligence and per-counterparty configuration guides; (2) sponsor and personnel engagement discipline (LL-002, LL-004, LL-005) — addressed through cadence standardisation and successor clauses; (3) cycle-time calibration (LL-009, LL-011) — under review for Onboarding Factory v2 and Health-Score Model v2; (4) regulator engagement protocol refinement (LL-007, LL-012) — addressed through earlier counsel engagement and pre-briefing institutionalisation; (5) tooling and consent refinement (LL-006, LL-010) — addressed through mobile view delivery and consent reaffirmation. No lesson identified to date touches a constitutional invariant; the constitutional model remains v1.0.</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Lessons Learned Report — Snapshot 2026-09-15  </w:t>
      </w:r>
      <w:r>
        <w:rPr>
          <w:rFonts w:ascii="Calibri" w:hAnsi="Calibri"/>
          <w:i/>
          <w:sz w:val="22"/>
        </w:rPr>
        <w:t>Lessons Learned Report status as of 2026-09-15: 12 lessons captured; 9 improvements applied; 3 under review (cycle-time calibration, phase-aware health-score weighting). No constitutional-invariant lessons identified. Forward look: continuous lesson capture through cohort-1 completion (2026-12-15); consolidated Lessons Learned Report v1.0 published 2026-12-22; input to Executive Readiness Assessment (Section 20) and Onboarding Factory v2 (cohort 2).</w:t>
      </w:r>
    </w:p>
    <w:p>
      <w:pPr>
        <w:pStyle w:val="Heading2"/>
        <w:keepNext/>
        <w:spacing w:before="280"/>
      </w:pPr>
      <w:r>
        <w:t>Section 20 — Executive Readiness Assessment (Updated Institutional Readiness Score)</w:t>
      </w:r>
    </w:p>
    <w:p>
      <w:pPr>
        <w:spacing w:line="312" w:lineRule="auto" w:after="120"/>
        <w:ind w:firstLine="283"/>
        <w:jc w:val="both"/>
      </w:pPr>
      <w:r>
        <w:rPr>
          <w:rFonts w:ascii="Calibri" w:hAnsi="Calibri"/>
          <w:b w:val="0"/>
          <w:i w:val="0"/>
          <w:sz w:val="22"/>
        </w:rPr>
        <w:t>The Executive Readiness Assessment re-evaluates the AURIENTA Institutional Readiness Score on the basis of pilot evidence rather than internal architecture claims. The assessment is conducted by the Founder, the Chief Operating Officer, the Chief Technology Officer, the Chief Information Security Officer, the General Counsel, and the Compliance Officer, with external review by the University partner academic reviewer, the external regulatory counsel, and one independent reviewer. The assessment uses the six-dimension framework established in Section 12, with every score cross-referenced to an Institutional Evidence Repository artefact.</w:t>
      </w:r>
    </w:p>
    <w:p>
      <w:pPr>
        <w:spacing w:line="312" w:lineRule="auto" w:after="120"/>
        <w:ind w:firstLine="283"/>
        <w:jc w:val="both"/>
      </w:pPr>
      <w:r>
        <w:rPr>
          <w:rFonts w:ascii="Calibri" w:hAnsi="Calibri"/>
          <w:b w:val="0"/>
          <w:i w:val="0"/>
          <w:sz w:val="22"/>
        </w:rPr>
        <w:t>The pre-pilot baseline (91/100 composite, post-PH-ER v1.0) is the reference point. The post-pilot target (95/100 composite) is achieved only when every gap closed by pilot evidence is verified by an external party. The four-point delta is reserved exclusively for items that can only be closed by pilot evidence, regulatory engagement, strategic partnership execution, and external audit. The assessment below is the projected trajectory based on the cohort-1 status as of 2026-09-15; the formal assessment will be conducted at cohort-1 completion (target 2027-01-15).</w:t>
      </w:r>
    </w:p>
    <w:p>
      <w:pPr>
        <w:pStyle w:val="Heading3"/>
        <w:keepNext/>
        <w:spacing w:before="200"/>
      </w:pPr>
      <w:r>
        <w:t>20.1  Updated Institutional Readiness Scorecard</w:t>
      </w:r>
    </w:p>
    <w:tbl>
      <w:tblPr>
        <w:tblW w:type="auto" w:w="0"/>
        <w:jc w:val="center"/>
        <w:tblLook w:firstColumn="1" w:firstRow="1" w:lastColumn="0" w:lastRow="0" w:noHBand="0" w:noVBand="1" w:val="04A0"/>
        <w:tblLayout w:type="autofit"/>
      </w:tblPr>
      <w:tblGrid>
        <w:gridCol w:w="1900"/>
        <w:gridCol w:w="1400"/>
        <w:gridCol w:w="1400"/>
        <w:gridCol w:w="900"/>
        <w:gridCol w:w="2300"/>
        <w:gridCol w:w="1454"/>
      </w:tblGrid>
      <w:tr>
        <w:trPr>
          <w:tblHeader/>
          <w:cantSplit/>
        </w:trPr>
        <w:tc>
          <w:tcPr>
            <w:tcW w:type="dxa" w:w="1465"/>
            <w:tcW w:type="dxa" w:w="1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Dimension</w:t>
            </w:r>
          </w:p>
        </w:tc>
        <w:tc>
          <w:tcPr>
            <w:tcW w:type="dxa" w:w="1465"/>
            <w:tcW w:type="dxa" w:w="1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Pre-Pilot (Baseline)</w:t>
            </w:r>
          </w:p>
        </w:tc>
        <w:tc>
          <w:tcPr>
            <w:tcW w:type="dxa" w:w="1465"/>
            <w:tcW w:type="dxa" w:w="1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Projected Post-Pilot</w:t>
            </w:r>
          </w:p>
        </w:tc>
        <w:tc>
          <w:tcPr>
            <w:tcW w:type="dxa" w:w="1465"/>
            <w:tcW w:type="dxa" w:w="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c>
          <w:tcPr>
            <w:tcW w:type="dxa" w:w="1465"/>
            <w:tcW w:type="dxa" w:w="2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Evidence Source</w:t>
            </w:r>
          </w:p>
        </w:tc>
        <w:tc>
          <w:tcPr>
            <w:tcW w:type="dxa" w:w="1465"/>
            <w:tcW w:type="dxa" w:w="14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External Verifier</w:t>
            </w:r>
          </w:p>
        </w:tc>
      </w:tr>
      <w:tr>
        <w:trPr>
          <w:cantSplit/>
        </w:trPr>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Alignment</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CRE conformance log; Zero-Custody assertion log; ledger hash-chain</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 (FRA briefing outcome)</w:t>
            </w:r>
          </w:p>
        </w:tc>
      </w:tr>
      <w:tr>
        <w:trPr>
          <w:cantSplit/>
        </w:trPr>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Architectural Completeness</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100/100</w:t>
            </w:r>
          </w:p>
        </w:tc>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 architecture changes during pilot; frozen at PH-ER v1.0</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 (Q1 2027)</w:t>
            </w:r>
          </w:p>
        </w:tc>
      </w:tr>
      <w:tr>
        <w:trPr>
          <w:cantSplit/>
        </w:trPr>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Operational Readiness</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92/100</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97/100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97/100</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cycle-time; P1 incident count; onboarding factory retrospective</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 academic reviewer</w:t>
            </w:r>
          </w:p>
        </w:tc>
      </w:tr>
      <w:tr>
        <w:trPr>
          <w:cantSplit/>
        </w:trPr>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Security &amp; Compliance</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89/100</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96/100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96/100</w:t>
            </w:r>
          </w:p>
        </w:tc>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observation underway; ISO 27001 Stage 1 cleared; penetration test</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auditor (SOC 2; ISO 27001)</w:t>
            </w:r>
          </w:p>
        </w:tc>
      </w:tr>
      <w:tr>
        <w:trPr>
          <w:cantSplit/>
        </w:trPr>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Readiness</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86/100</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93/100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93/100</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conversion rate; MSA pipeline; case studies published</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 (Q1 2027)</w:t>
            </w:r>
          </w:p>
        </w:tc>
      </w:tr>
      <w:tr>
        <w:trPr>
          <w:cantSplit/>
        </w:trPr>
        <w:tc>
          <w:tcPr>
            <w:tcW w:type="dxa" w:w="1465"/>
            <w:tcW w:type="dxa" w:w="1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Evidence</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80/100</w:t>
            </w:r>
          </w:p>
        </w:tc>
        <w:tc>
          <w:tcPr>
            <w:tcW w:type="dxa" w:w="1465"/>
            <w:tcW w:type="dxa" w:w="1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94/100</w:t>
            </w:r>
          </w:p>
        </w:tc>
        <w:tc>
          <w:tcPr>
            <w:tcW w:type="dxa" w:w="1465"/>
            <w:tcW w:type="dxa" w:w="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94/100</w:t>
            </w:r>
          </w:p>
        </w:tc>
        <w:tc>
          <w:tcPr>
            <w:tcW w:type="dxa" w:w="1465"/>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completeness; regulator engagement outcomes; partner evidence artefacts</w:t>
            </w:r>
          </w:p>
        </w:tc>
        <w:tc>
          <w:tcPr>
            <w:tcW w:type="dxa" w:w="1465"/>
            <w:tcW w:type="dxa" w:w="14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 + independent reviewer</w:t>
            </w:r>
          </w:p>
        </w:tc>
      </w:tr>
      <w:tr>
        <w:trPr>
          <w:cantSplit/>
        </w:trPr>
        <w:tc>
          <w:tcPr>
            <w:tcW w:type="dxa" w:w="1465"/>
            <w:tcW w:type="dxa" w:w="1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COMPOSITE</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91/100</w:t>
            </w:r>
          </w:p>
        </w:tc>
        <w:tc>
          <w:tcPr>
            <w:tcW w:type="dxa" w:w="1465"/>
            <w:tcW w:type="dxa" w:w="1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95/100</w:t>
            </w:r>
          </w:p>
        </w:tc>
        <w:tc>
          <w:tcPr>
            <w:tcW w:type="dxa" w:w="1465"/>
            <w:tcW w:type="dxa" w:w="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95/100</w:t>
            </w:r>
          </w:p>
        </w:tc>
        <w:tc>
          <w:tcPr>
            <w:tcW w:type="dxa" w:w="1465"/>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Weighted composite; weights reviewed quarterly</w:t>
            </w:r>
          </w:p>
        </w:tc>
        <w:tc>
          <w:tcPr>
            <w:tcW w:type="dxa" w:w="1465"/>
            <w:tcW w:type="dxa" w:w="14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COO sign-off; external reviewer panel concurrence</w:t>
            </w:r>
          </w:p>
        </w:tc>
      </w:tr>
    </w:tbl>
    <w:p>
      <w:pPr>
        <w:pStyle w:val="Heading3"/>
        <w:keepNext/>
        <w:spacing w:before="200"/>
      </w:pPr>
      <w:r>
        <w:t>20.2  Gap Closure Verification</w:t>
      </w:r>
    </w:p>
    <w:tbl>
      <w:tblPr>
        <w:tblW w:type="auto" w:w="0"/>
        <w:jc w:val="center"/>
        <w:tblLook w:firstColumn="1" w:firstRow="1" w:lastColumn="0" w:lastRow="0" w:noHBand="0" w:noVBand="1" w:val="04A0"/>
        <w:tblLayout w:type="autofit"/>
      </w:tblPr>
      <w:tblGrid>
        <w:gridCol w:w="2300"/>
        <w:gridCol w:w="2700"/>
        <w:gridCol w:w="1300"/>
        <w:gridCol w:w="3054"/>
      </w:tblGrid>
      <w:tr>
        <w:trPr>
          <w:tblHeader/>
          <w:cantSplit/>
        </w:trPr>
        <w:tc>
          <w:tcPr>
            <w:tcW w:type="dxa" w:w="2197"/>
            <w:tcW w:type="dxa" w:w="2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Pre-Pilot Gap</w:t>
            </w:r>
          </w:p>
        </w:tc>
        <w:tc>
          <w:tcPr>
            <w:tcW w:type="dxa" w:w="2197"/>
            <w:tcW w:type="dxa" w:w="2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Closure Mechanism</w:t>
            </w:r>
          </w:p>
        </w:tc>
        <w:tc>
          <w:tcPr>
            <w:tcW w:type="dxa" w:w="2197"/>
            <w:tcW w:type="dxa" w:w="1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Status</w:t>
            </w:r>
          </w:p>
        </w:tc>
        <w:tc>
          <w:tcPr>
            <w:tcW w:type="dxa" w:w="2197"/>
            <w:tcW w:type="dxa" w:w="30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External Verification</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Enterprises in production</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1 (6 Enterprises) onboarded; Phase-3 gate target 2026-10-15</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 academic reviewer (Q1 2027)</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Real revenue</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commercial conversion target 2027-Q1 (K8 &gt;= 70%)</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auditor (SOC 2 revenue test)</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report issued</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Observation window 2026-10-01 to 2027-09-30; report Q4 2027</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auditor (SOC 2 auditor)</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ISO 27001 certificate issued</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Stage 1 target 2026-11-15; Stage 2 target 2027-Q1; certificate 2027-Q4</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auditor (ISO 27001 certification body)</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Regional directors hired</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Deferred to commercial rollout phase (Phase 5 of Section 22 Roadmap)</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Deferred</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COO sign-off at Phase 5 gate</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CRM operationalised</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HubSpot Pro live; cadence tracking automated (WS5-08)</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 (Q1 2027)</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concluded</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briefing Q4 2026; no-action letters Q1 2027; quarterly transparency report Q1 2027</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partners signed</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partners (Law Firm; Accounting; Banking; University; Industry Association)</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 + independent reviewer</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studies published</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cohort-1 case studies target 2026-12-15; consent captured</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 Progress</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 (Q1 2027)</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Evidence Repository live</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IER-ARCH-v1 live; 187 artefacts; integrity audit Q4 2026</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Complete</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 (Q1 2027)</w:t>
            </w:r>
          </w:p>
        </w:tc>
      </w:tr>
      <w:tr>
        <w:trPr>
          <w:cantSplit/>
        </w:trPr>
        <w:tc>
          <w:tcPr>
            <w:tcW w:type="dxa" w:w="2197"/>
            <w:tcW w:type="dxa" w:w="2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No-action / interpretive letters received</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 letters drafted (FRA on Equity Units; PDPC on data flows); target receipt Q1 2027</w:t>
            </w:r>
          </w:p>
        </w:tc>
        <w:tc>
          <w:tcPr>
            <w:tcW w:type="dxa" w:w="2197"/>
            <w:tcW w:type="dxa" w:w="1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2197"/>
            <w:tcW w:type="dxa" w:w="30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regulatory counsel</w:t>
            </w:r>
          </w:p>
        </w:tc>
      </w:tr>
      <w:tr>
        <w:trPr>
          <w:cantSplit/>
        </w:trPr>
        <w:tc>
          <w:tcPr>
            <w:tcW w:type="dxa" w:w="2197"/>
            <w:tcW w:type="dxa" w:w="2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certifications obtained</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Q4 2027; ISO 27001 Q4 2027</w:t>
            </w:r>
          </w:p>
        </w:tc>
        <w:tc>
          <w:tcPr>
            <w:tcW w:type="dxa" w:w="2197"/>
            <w:tcW w:type="dxa" w:w="1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Planned</w:t>
            </w:r>
          </w:p>
        </w:tc>
        <w:tc>
          <w:tcPr>
            <w:tcW w:type="dxa" w:w="2197"/>
            <w:tcW w:type="dxa" w:w="30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auditors</w:t>
            </w:r>
          </w:p>
        </w:tc>
      </w:tr>
    </w:tbl>
    <w:p>
      <w:pPr>
        <w:pStyle w:val="Heading3"/>
        <w:keepNext/>
        <w:spacing w:before="200"/>
      </w:pPr>
      <w:r>
        <w:t>20.3  Assessment Cadence and Governance</w:t>
      </w:r>
    </w:p>
    <w:p>
      <w:pPr>
        <w:spacing w:line="312" w:lineRule="auto" w:after="120"/>
        <w:ind w:firstLine="283"/>
        <w:jc w:val="both"/>
      </w:pPr>
      <w:r>
        <w:rPr>
          <w:rFonts w:ascii="Calibri" w:hAnsi="Calibri"/>
          <w:b w:val="0"/>
          <w:i w:val="0"/>
          <w:sz w:val="22"/>
        </w:rPr>
        <w:t>The Executive Readiness Assessment is conducted quarterly during the pilot phase and semi-annually at commercial scale. The first formal assessment is scheduled for 2027-01-15 (post cohort-1 completion). The assessment is governed by the Founder and the Chief Operating Officer; the external reviewer panel concurs with the composite score before it is published. Any regression on any dimension triggers a root-cause investigation and a remediation plan via the Section 6 Improvement Backlog (P2 priority). The assessment output anchors Section 21 (Executive Certification) and the COO Roadmap Forward (Section 22).</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Executive Readiness Assessment — Snapshot 2026-09-15  </w:t>
      </w:r>
      <w:r>
        <w:rPr>
          <w:rFonts w:ascii="Calibri" w:hAnsi="Calibri"/>
          <w:i/>
          <w:sz w:val="22"/>
        </w:rPr>
        <w:t>Executive Readiness Assessment projected trajectory as of 2026-09-15: composite 91/100 (pre-pilot baseline) projected to 95/100 (post-pilot target) on cohort-1 completion. 4 of 12 pre-pilot gaps closed with external verification; 8 in progress. No regression on any dimension. Constitutional invariants preserved at 100/100 throughout. Formal assessment 2027-01-15.</w:t>
      </w:r>
    </w:p>
    <w:p>
      <w:pPr>
        <w:pStyle w:val="Heading2"/>
        <w:keepNext/>
        <w:spacing w:before="280"/>
      </w:pPr>
      <w:r>
        <w:t>Section 21 — Executive Certification (Pilot-to-Commercial Transition Authorisation)</w:t>
      </w:r>
    </w:p>
    <w:p>
      <w:pPr>
        <w:spacing w:line="312" w:lineRule="auto" w:after="120"/>
        <w:ind w:firstLine="283"/>
        <w:jc w:val="both"/>
      </w:pPr>
      <w:r>
        <w:rPr>
          <w:rFonts w:ascii="Calibri" w:hAnsi="Calibri"/>
          <w:b w:val="0"/>
          <w:i w:val="0"/>
          <w:sz w:val="22"/>
        </w:rPr>
        <w:t>The Executive Certification is the binding authorisation that concludes the PE v1.0 programme. It certifies that the pilot programme has produced the evidence required to authorise the transition from pilot deployment to commercial deployment, subject to the closure of the remaining items enumerated in Section 20.2. The certification is signed by the Founder, the Chief Operating Officer, the Chief Technology Officer, the Chief Information Security Officer, the General Counsel, the Compliance Officer, and the Chief Constitutional Partner Officer (interim: CCO). The certification is version-controlled, hash-chain anchored to the Ownership Ledger, and retained for the institutional record (7-year minimum).</w:t>
      </w:r>
    </w:p>
    <w:p>
      <w:pPr>
        <w:spacing w:line="312" w:lineRule="auto" w:after="120"/>
        <w:ind w:firstLine="283"/>
        <w:jc w:val="both"/>
      </w:pPr>
      <w:r>
        <w:rPr>
          <w:rFonts w:ascii="Calibri" w:hAnsi="Calibri"/>
          <w:b w:val="0"/>
          <w:i w:val="0"/>
          <w:sz w:val="22"/>
        </w:rPr>
        <w:t>The certification does not authorise the modification of any constitutional invariant. The Zero-Custody, Fundamental-Pricing, Graduation, Constitutional Policy Enforcement, and Constitutional Runtime Engine single-decisioning-authority invariants remain in force without exception. The certification authorises the commercial deployment of the existing frozen constitutional infrastructure (PH-ER v1.0) against Enterprises that have completed the pilot programme successfully; it does not authorise new architecture, new invariants, or new constitutional-model elements.</w:t>
      </w:r>
    </w:p>
    <w:p>
      <w:pPr>
        <w:pStyle w:val="Heading3"/>
        <w:keepNext/>
        <w:spacing w:before="200"/>
      </w:pPr>
      <w:r>
        <w:t>21.1  Certification Statement</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Executive Certification — Pilot-to-Commercial Transition  </w:t>
      </w:r>
      <w:r>
        <w:rPr>
          <w:rFonts w:ascii="Calibri" w:hAnsi="Calibri"/>
          <w:i/>
          <w:sz w:val="22"/>
        </w:rPr>
        <w:t>AURIENTA Pilot Deployment, Validation &amp; Institutional Evidence v1.0 (PE v1.0) is COMPLETE, EVIDENCE-BACKED, AND CONSTITUTIONALLY ALIGNED. The pilot programme has deployed the constitutional infrastructure against real Enterprises, real strategic partners, real regulators, and real auditors. The evidence produced validates the internal claims made across the seven prior architecture phases. The institutional readiness score moves from 91/100 (pre-pilot) to 95/100 (post-pilot target) on the basis of externally verified evidence. The Executive Certification authorises the transition from pilot deployment to commercial deployment, subject to the closure of the remaining 8 items enumerated in Section 20.2. The constitutional invariants are preserved without exception. No new architecture is authorised.</w:t>
      </w:r>
    </w:p>
    <w:p>
      <w:pPr>
        <w:pStyle w:val="Heading3"/>
        <w:keepNext/>
        <w:spacing w:before="200"/>
      </w:pPr>
      <w:r>
        <w:t>21.2  Certification Verdict</w:t>
      </w:r>
    </w:p>
    <w:tbl>
      <w:tblPr>
        <w:tblW w:type="auto" w:w="0"/>
        <w:jc w:val="center"/>
        <w:tblLook w:firstColumn="1" w:firstRow="1" w:lastColumn="0" w:lastRow="0" w:noHBand="0" w:noVBand="1" w:val="04A0"/>
        <w:tblLayout w:type="autofit"/>
      </w:tblPr>
      <w:tblGrid>
        <w:gridCol w:w="3200"/>
        <w:gridCol w:w="6154"/>
      </w:tblGrid>
      <w:tr>
        <w:trPr>
          <w:tblHeader/>
          <w:cantSplit/>
        </w:trPr>
        <w:tc>
          <w:tcPr>
            <w:tcW w:type="dxa" w:w="4394"/>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Field</w:t>
            </w:r>
          </w:p>
        </w:tc>
        <w:tc>
          <w:tcPr>
            <w:tcW w:type="dxa" w:w="4394"/>
            <w:tcW w:type="dxa" w:w="61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Value</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Certification ID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PE-EXEC-CERT-2027-001</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Effective Date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 (target; cohort-1 completion + 30-day check-in)</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Programme Phase Authorised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Deployment (Phase 5 of Section 22 Roadmap)</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Pre-Pilot Readiness Score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91/100 (post-PH-ER v1.0)</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Post-Pilot Readiness Score</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95/100 (post-cohort-1 completion; externally verified)</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Constitutional Invariants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PRESERVED — Zero Custody, Fundamental Pricing, Graduation, Constitutional Policy Enforcement, CRE single decisioning authority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New Architecture Authorised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NONE — architecture frozen at PH-ER v1.0; execution-only authorisation</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Pilot Cohort Authorised</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1 (6 Enterprises completing 90-day pilot; commercial MSAs ready)</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Strategic Partners Authorised</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 partners (Law Firm; Accounting; Banking; University; Industry Association) per signed MSAs/MoUs</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Status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Proactive; 4 regulators engaged; 2 no-action letters drafted; 0 enforcement actions</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Audit Readiness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observation underway; ISO 27001 Stage 1 cleared; no critical findings</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Repository Status</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IER-ARCH-v1 live; 240+ artefacts (target); 0 integrity violations; quarterly integrity audit</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Conditions</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Closure of 8 remaining items in Section 20.2 (real revenue, SOC 2/ISO certificates, regional directors, etc.)</w:t>
            </w:r>
          </w:p>
        </w:tc>
      </w:tr>
      <w:tr>
        <w:trPr>
          <w:cantSplit/>
        </w:trPr>
        <w:tc>
          <w:tcPr>
            <w:tcW w:type="dxa" w:w="4394"/>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Review Cadence</w:t>
            </w:r>
          </w:p>
        </w:tc>
        <w:tc>
          <w:tcPr>
            <w:tcW w:type="dxa" w:w="4394"/>
            <w:tcW w:type="dxa" w:w="61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Semi-annual at commercial scale; first review 2027-Q3</w:t>
            </w:r>
          </w:p>
        </w:tc>
      </w:tr>
      <w:tr>
        <w:trPr>
          <w:cantSplit/>
        </w:trPr>
        <w:tc>
          <w:tcPr>
            <w:tcW w:type="dxa" w:w="4394"/>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Synchronisation</w:t>
            </w:r>
          </w:p>
        </w:tc>
        <w:tc>
          <w:tcPr>
            <w:tcW w:type="dxa" w:w="4394"/>
            <w:tcW w:type="dxa" w:w="61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VERIFIED — Constitution v1.0, Architecture, Governance v1.0, ERC, AOS v1.0, ACS v1.0, PH-ER v1.0, Brain AI, Terminology</w:t>
            </w:r>
          </w:p>
        </w:tc>
      </w:tr>
    </w:tbl>
    <w:p>
      <w:pPr>
        <w:pStyle w:val="Heading3"/>
        <w:keepNext/>
        <w:spacing w:before="200"/>
      </w:pPr>
      <w:r>
        <w:t>21.3  Certifying Executives</w:t>
      </w:r>
    </w:p>
    <w:tbl>
      <w:tblPr>
        <w:tblW w:type="auto" w:w="0"/>
        <w:jc w:val="center"/>
        <w:tblLook w:firstColumn="1" w:firstRow="1" w:lastColumn="0" w:lastRow="0" w:noHBand="0" w:noVBand="1" w:val="04A0"/>
        <w:tblLayout w:type="autofit"/>
      </w:tblPr>
      <w:tblGrid>
        <w:gridCol w:w="3300"/>
        <w:gridCol w:w="2100"/>
        <w:gridCol w:w="2200"/>
        <w:gridCol w:w="1754"/>
      </w:tblGrid>
      <w:tr>
        <w:trPr>
          <w:tblHeader/>
          <w:cantSplit/>
        </w:trPr>
        <w:tc>
          <w:tcPr>
            <w:tcW w:type="dxa" w:w="2197"/>
            <w:tcW w:type="dxa" w:w="33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Role</w:t>
            </w:r>
          </w:p>
        </w:tc>
        <w:tc>
          <w:tcPr>
            <w:tcW w:type="dxa" w:w="2197"/>
            <w:tcW w:type="dxa" w:w="21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Name</w:t>
            </w:r>
          </w:p>
        </w:tc>
        <w:tc>
          <w:tcPr>
            <w:tcW w:type="dxa" w:w="2197"/>
            <w:tcW w:type="dxa" w:w="2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Signature</w:t>
            </w:r>
          </w:p>
        </w:tc>
        <w:tc>
          <w:tcPr>
            <w:tcW w:type="dxa" w:w="2197"/>
            <w:tcW w:type="dxa" w:w="17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Date</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&amp; Chief Constitutional Architect</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Layla Hassan</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Operating Officer</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Technology Officer</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(CTO)</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Information Security Officer</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(CISO)</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Chief Constitutional Partner Officer (interim)</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Reviewer — Academic</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(University partner)</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Reviewer — Regulatory Counsel</w:t>
            </w:r>
          </w:p>
        </w:tc>
        <w:tc>
          <w:tcPr>
            <w:tcW w:type="dxa" w:w="2197"/>
            <w:tcW w:type="dxa" w:w="21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counsel)</w:t>
            </w:r>
          </w:p>
        </w:tc>
        <w:tc>
          <w:tcPr>
            <w:tcW w:type="dxa" w:w="2197"/>
            <w:tcW w:type="dxa" w:w="2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r>
        <w:trPr>
          <w:cantSplit/>
        </w:trPr>
        <w:tc>
          <w:tcPr>
            <w:tcW w:type="dxa" w:w="2197"/>
            <w:tcW w:type="dxa" w:w="33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External Reviewer — Independent</w:t>
            </w:r>
          </w:p>
        </w:tc>
        <w:tc>
          <w:tcPr>
            <w:tcW w:type="dxa" w:w="2197"/>
            <w:tcW w:type="dxa" w:w="21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(Independent reviewer)</w:t>
            </w:r>
          </w:p>
        </w:tc>
        <w:tc>
          <w:tcPr>
            <w:tcW w:type="dxa" w:w="2197"/>
            <w:tcW w:type="dxa" w:w="2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(signed digitally)</w:t>
            </w:r>
          </w:p>
        </w:tc>
        <w:tc>
          <w:tcPr>
            <w:tcW w:type="dxa" w:w="2197"/>
            <w:tcW w:type="dxa" w:w="17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2027-01-31</w:t>
            </w:r>
          </w:p>
        </w:tc>
      </w:tr>
    </w:tbl>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Phase Transition — Pilot to Commercial  </w:t>
      </w:r>
      <w:r>
        <w:rPr>
          <w:rFonts w:ascii="Calibri" w:hAnsi="Calibri"/>
          <w:i/>
          <w:sz w:val="22"/>
        </w:rPr>
        <w:t>This certification concludes the pilot phase of AURIENTA. The commercial phase begins immediately, governed by the COO Roadmap Forward (Section 22) and bounded by the remaining gaps in Section 20.2. The constitutional infrastructure is no longer permitted to expand internally; it is now operated against real Enterprises, real counterparties, real regulators, and real auditors. The institutional shift from building to proving is complete; the institutional shift from proving to operating begins.</w:t>
      </w:r>
    </w:p>
    <w:p>
      <w:pPr>
        <w:pStyle w:val="Heading2"/>
        <w:keepNext/>
        <w:spacing w:before="280"/>
      </w:pPr>
      <w:r>
        <w:t>Section 22 — COO Roadmap Forward</w:t>
      </w:r>
    </w:p>
    <w:p>
      <w:pPr>
        <w:spacing w:line="312" w:lineRule="auto" w:after="120"/>
        <w:ind w:firstLine="283"/>
        <w:jc w:val="both"/>
      </w:pPr>
      <w:r>
        <w:rPr>
          <w:rFonts w:ascii="Calibri" w:hAnsi="Calibri"/>
          <w:b w:val="0"/>
          <w:i w:val="0"/>
          <w:sz w:val="22"/>
        </w:rPr>
        <w:t>The COO Roadmap Forward operationalises the Executive Certification. It sequences the closure of the remaining Section 20.2 gaps into the commercial-deployment phase, beginning with the recruitment of strategic partners, the securing of regulatory engagement, the onboarding of 5-10 pilot Enterprises (cohort 2), the collection of institutional evidence, the publication of case studies, the pursuit of SOC 2 / ISO 27001 with real evidence, and the commencement of commercial scaling. The Roadmap is owned by the Chief Operating Officer; the Founder retains authority over any change that touches a constitutional invariant.</w:t>
      </w:r>
    </w:p>
    <w:p>
      <w:pPr>
        <w:spacing w:line="312" w:lineRule="auto" w:after="120"/>
        <w:ind w:firstLine="283"/>
        <w:jc w:val="both"/>
      </w:pPr>
      <w:r>
        <w:rPr>
          <w:rFonts w:ascii="Calibri" w:hAnsi="Calibri"/>
          <w:b w:val="0"/>
          <w:i w:val="0"/>
          <w:sz w:val="22"/>
        </w:rPr>
        <w:t>The Roadmap is binding. Any deviation requires a formal Roadmap Revision approved by the Founder and communicated to all stakeholders. The constitutional invariants are non-negotiable across every phase; no commercial pressure may compromise Zero Custody, Fundamental Pricing, Graduation, or Constitutional Policy Enforcement. The Roadmap is reviewed monthly by the Founder and the executive team; variances of more than 30 days against the published milestones trigger a Roadmap Revision.</w:t>
      </w:r>
    </w:p>
    <w:p>
      <w:pPr>
        <w:pStyle w:val="Heading3"/>
        <w:keepNext/>
        <w:spacing w:before="200"/>
      </w:pPr>
      <w:r>
        <w:t>22.1  Roadmap Phases</w:t>
      </w:r>
    </w:p>
    <w:tbl>
      <w:tblPr>
        <w:tblW w:type="auto" w:w="0"/>
        <w:jc w:val="center"/>
        <w:tblLook w:firstColumn="1" w:firstRow="1" w:lastColumn="0" w:lastRow="0" w:noHBand="0" w:noVBand="1" w:val="04A0"/>
        <w:tblLayout w:type="autofit"/>
      </w:tblPr>
      <w:tblGrid>
        <w:gridCol w:w="500"/>
        <w:gridCol w:w="2900"/>
        <w:gridCol w:w="2000"/>
        <w:gridCol w:w="2400"/>
        <w:gridCol w:w="1554"/>
      </w:tblGrid>
      <w:tr>
        <w:trPr>
          <w:tblHeader/>
          <w:cantSplit/>
        </w:trPr>
        <w:tc>
          <w:tcPr>
            <w:tcW w:type="dxa" w:w="1758"/>
            <w:tcW w:type="dxa" w:w="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1758"/>
            <w:tcW w:type="dxa" w:w="29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Milestone</w:t>
            </w:r>
          </w:p>
        </w:tc>
        <w:tc>
          <w:tcPr>
            <w:tcW w:type="dxa" w:w="1758"/>
            <w:tcW w:type="dxa" w:w="20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Owner</w:t>
            </w:r>
          </w:p>
        </w:tc>
        <w:tc>
          <w:tcPr>
            <w:tcW w:type="dxa" w:w="1758"/>
            <w:tcW w:type="dxa" w:w="24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Trigger</w:t>
            </w:r>
          </w:p>
        </w:tc>
        <w:tc>
          <w:tcPr>
            <w:tcW w:type="dxa" w:w="1758"/>
            <w:tcW w:type="dxa" w:w="15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r>
      <w:tr>
        <w:trPr>
          <w:cantSplit/>
        </w:trPr>
        <w:tc>
          <w:tcPr>
            <w:tcW w:type="dxa" w:w="1758"/>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R1</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Recruit Law Firm partner (Law Firm Client Account role)</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 v1.0 freeze (2026-09-15)</w:t>
            </w:r>
          </w:p>
        </w:tc>
        <w:tc>
          <w:tcPr>
            <w:tcW w:type="dxa" w:w="1758"/>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signed 2026-10-30</w:t>
            </w:r>
          </w:p>
        </w:tc>
      </w:tr>
      <w:tr>
        <w:trPr>
          <w:cantSplit/>
        </w:trPr>
        <w:tc>
          <w:tcPr>
            <w:tcW w:type="dxa" w:w="1758"/>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R2</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Recruit Accounting partner (Big-Four-aligned)</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CFO (interim)</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 v1.0 freeze (2026-09-15)</w:t>
            </w:r>
          </w:p>
        </w:tc>
        <w:tc>
          <w:tcPr>
            <w:tcW w:type="dxa" w:w="1758"/>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signed 2026-11-15</w:t>
            </w:r>
          </w:p>
        </w:tc>
      </w:tr>
      <w:tr>
        <w:trPr>
          <w:cantSplit/>
        </w:trPr>
        <w:tc>
          <w:tcPr>
            <w:tcW w:type="dxa" w:w="1758"/>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R3</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Recruit Banking partner (regulatory liaison)</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COO + General Counsel</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 v1.0 freeze (2026-09-15)</w:t>
            </w:r>
          </w:p>
        </w:tc>
        <w:tc>
          <w:tcPr>
            <w:tcW w:type="dxa" w:w="1758"/>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LOI signed 2026-12-01; MSA Q1 2027</w:t>
            </w:r>
          </w:p>
        </w:tc>
      </w:tr>
      <w:tr>
        <w:trPr>
          <w:cantSplit/>
        </w:trPr>
        <w:tc>
          <w:tcPr>
            <w:tcW w:type="dxa" w:w="1758"/>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R4</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Secure regulatory engagement (FRA, GAFI, ETA, PDPC)</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General Counsel</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PE v1.0 freeze (2026-09-15)</w:t>
            </w:r>
          </w:p>
        </w:tc>
        <w:tc>
          <w:tcPr>
            <w:tcW w:type="dxa" w:w="1758"/>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FRA briefing Q4 2026; no-action letters Q1 2027; quarterly transparency report Q1 2027</w:t>
            </w:r>
          </w:p>
        </w:tc>
      </w:tr>
      <w:tr>
        <w:trPr>
          <w:cantSplit/>
        </w:trPr>
        <w:tc>
          <w:tcPr>
            <w:tcW w:type="dxa" w:w="1758"/>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R5</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Onboard 5-10 pilot Enterprises (cohort 2)</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PMO</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Phase-3 gate (2026-10-15)</w:t>
            </w:r>
          </w:p>
        </w:tc>
        <w:tc>
          <w:tcPr>
            <w:tcW w:type="dxa" w:w="1758"/>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2 signed 2026-12-01; Phase-3 gate 2027-02-15; completion 2027-04-15</w:t>
            </w:r>
          </w:p>
        </w:tc>
      </w:tr>
      <w:tr>
        <w:trPr>
          <w:cantSplit/>
        </w:trPr>
        <w:tc>
          <w:tcPr>
            <w:tcW w:type="dxa" w:w="1758"/>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R6</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Collect institutional evidence (continuous)</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Continuous from PE v1.0 freeze</w:t>
            </w:r>
          </w:p>
        </w:tc>
        <w:tc>
          <w:tcPr>
            <w:tcW w:type="dxa" w:w="1758"/>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240+ artefacts by cohort-1 completion; 500+ by cohort-2 completion</w:t>
            </w:r>
          </w:p>
        </w:tc>
      </w:tr>
      <w:tr>
        <w:trPr>
          <w:cantSplit/>
        </w:trPr>
        <w:tc>
          <w:tcPr>
            <w:tcW w:type="dxa" w:w="1758"/>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R7</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Publish case studies (cohort 1 + cohort 2)</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General Counsel</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Cohort-1 completion (2026-12-15)</w:t>
            </w:r>
          </w:p>
        </w:tc>
        <w:tc>
          <w:tcPr>
            <w:tcW w:type="dxa" w:w="1758"/>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cohort-1 case studies by 2026-12-22; 10 cohort-2 case studies by 2027-04-22</w:t>
            </w:r>
          </w:p>
        </w:tc>
      </w:tr>
      <w:tr>
        <w:trPr>
          <w:cantSplit/>
        </w:trPr>
        <w:tc>
          <w:tcPr>
            <w:tcW w:type="dxa" w:w="1758"/>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R8</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Pursue SOC 2 Type II + ISO 27001 with real evidence</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Compliance Officer + CISO</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Evidence packages v1.0 (2026-12-15)</w:t>
            </w:r>
          </w:p>
        </w:tc>
        <w:tc>
          <w:tcPr>
            <w:tcW w:type="dxa" w:w="1758"/>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Type II report Q4 2027; ISO 27001 certificate Q4 2027</w:t>
            </w:r>
          </w:p>
        </w:tc>
      </w:tr>
      <w:tr>
        <w:trPr>
          <w:cantSplit/>
        </w:trPr>
        <w:tc>
          <w:tcPr>
            <w:tcW w:type="dxa" w:w="1758"/>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R9</w:t>
            </w:r>
          </w:p>
        </w:tc>
        <w:tc>
          <w:tcPr>
            <w:tcW w:type="dxa" w:w="1758"/>
            <w:tcW w:type="dxa" w:w="29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Begin commercial scaling</w:t>
            </w:r>
          </w:p>
        </w:tc>
        <w:tc>
          <w:tcPr>
            <w:tcW w:type="dxa" w:w="1758"/>
            <w:tcW w:type="dxa" w:w="20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CCO (interim) + CTO</w:t>
            </w:r>
          </w:p>
        </w:tc>
        <w:tc>
          <w:tcPr>
            <w:tcW w:type="dxa" w:w="1758"/>
            <w:tcW w:type="dxa" w:w="24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Executive Certification (2027-01-31)</w:t>
            </w:r>
          </w:p>
        </w:tc>
        <w:tc>
          <w:tcPr>
            <w:tcW w:type="dxa" w:w="1758"/>
            <w:tcW w:type="dxa" w:w="15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 Enterprises in production by Q3 2027; 300 by Q3 2028</w:t>
            </w:r>
          </w:p>
        </w:tc>
      </w:tr>
      <w:tr>
        <w:trPr>
          <w:cantSplit/>
        </w:trPr>
        <w:tc>
          <w:tcPr>
            <w:tcW w:type="dxa" w:w="1758"/>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R10</w:t>
            </w:r>
          </w:p>
        </w:tc>
        <w:tc>
          <w:tcPr>
            <w:tcW w:type="dxa" w:w="1758"/>
            <w:tcW w:type="dxa" w:w="29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International expansion (per ACS v1.0 Part 9)</w:t>
            </w:r>
          </w:p>
        </w:tc>
        <w:tc>
          <w:tcPr>
            <w:tcW w:type="dxa" w:w="1758"/>
            <w:tcW w:type="dxa" w:w="20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Founder + CCO (interim)</w:t>
            </w:r>
          </w:p>
        </w:tc>
        <w:tc>
          <w:tcPr>
            <w:tcW w:type="dxa" w:w="1758"/>
            <w:tcW w:type="dxa" w:w="24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 Enterprises in production</w:t>
            </w:r>
          </w:p>
        </w:tc>
        <w:tc>
          <w:tcPr>
            <w:tcW w:type="dxa" w:w="1758"/>
            <w:tcW w:type="dxa" w:w="15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30,000+ Enterprises across 6 regions by Q4 2031</w:t>
            </w:r>
          </w:p>
        </w:tc>
      </w:tr>
    </w:tbl>
    <w:p>
      <w:pPr>
        <w:pStyle w:val="Heading3"/>
        <w:keepNext/>
        <w:spacing w:before="200"/>
      </w:pPr>
      <w:r>
        <w:t>22.2  Phase Detail</w:t>
      </w:r>
    </w:p>
    <w:p>
      <w:pPr>
        <w:pStyle w:val="Heading3"/>
        <w:keepNext/>
        <w:spacing w:before="200"/>
      </w:pPr>
      <w:r>
        <w:t>R1 — Recruit Law Firm Partner (Law Firm Client Account role)</w:t>
      </w:r>
    </w:p>
    <w:p>
      <w:pPr>
        <w:spacing w:line="312" w:lineRule="auto" w:after="120"/>
        <w:ind w:firstLine="283"/>
        <w:jc w:val="both"/>
      </w:pPr>
      <w:r>
        <w:rPr>
          <w:rFonts w:ascii="Calibri" w:hAnsi="Calibri"/>
          <w:b w:val="0"/>
          <w:i w:val="0"/>
          <w:sz w:val="22"/>
        </w:rPr>
        <w:t>Sign the Master Services Agreement with the selected regional Egyptian law firm. The firm assumes the Law Firm Client Account role for cohort-1 and cohort-2 Enterprises, with constitutional training completed and joint operating cadence established. The MSA includes the constitutional schedule restating the Zero-Custody, Fundamental-Pricing, and Constitutional-Policy-Enforcement invariants; the firm personnel complete constitutional training before any joint operation.</w:t>
      </w:r>
    </w:p>
    <w:p>
      <w:pPr>
        <w:pStyle w:val="Heading3"/>
        <w:keepNext/>
        <w:spacing w:before="200"/>
      </w:pPr>
      <w:r>
        <w:t>R2 — Recruit Accounting Partner (Big-Four-aligned)</w:t>
      </w:r>
    </w:p>
    <w:p>
      <w:pPr>
        <w:spacing w:line="312" w:lineRule="auto" w:after="120"/>
        <w:ind w:firstLine="283"/>
        <w:jc w:val="both"/>
      </w:pPr>
      <w:r>
        <w:rPr>
          <w:rFonts w:ascii="Calibri" w:hAnsi="Calibri"/>
          <w:b w:val="0"/>
          <w:i w:val="0"/>
          <w:sz w:val="22"/>
        </w:rPr>
        <w:t>Sign the Master Services Agreement with the shortlisted Big-Four regional practice. The firm assumes the audit-grade capital-participation reporting role, with constitutional training completed and joint operating cadence established. The partnership also provides SOC 2 readiness advisory, accelerating the SOC 2 Type II observation window.</w:t>
      </w:r>
    </w:p>
    <w:p>
      <w:pPr>
        <w:pStyle w:val="Heading3"/>
        <w:keepNext/>
        <w:spacing w:before="200"/>
      </w:pPr>
      <w:r>
        <w:t>R3 — Recruit Banking Partner (Regulatory Liaison)</w:t>
      </w:r>
    </w:p>
    <w:p>
      <w:pPr>
        <w:spacing w:line="312" w:lineRule="auto" w:after="120"/>
        <w:ind w:firstLine="283"/>
        <w:jc w:val="both"/>
      </w:pPr>
      <w:r>
        <w:rPr>
          <w:rFonts w:ascii="Calibri" w:hAnsi="Calibri"/>
          <w:b w:val="0"/>
          <w:i w:val="0"/>
          <w:sz w:val="22"/>
        </w:rPr>
        <w:t>Sign the Letter of Intent with the shortlisted Egyptian commercial bank, followed by the full Master Services Agreement in Q1 2027. The bank provides regulatory liaison with the Central Bank of Egypt and FRA, payment-rail familiarity, and additional credibility for the regulatory engagement workstream (Section 8).</w:t>
      </w:r>
    </w:p>
    <w:p>
      <w:pPr>
        <w:pStyle w:val="Heading3"/>
        <w:keepNext/>
        <w:spacing w:before="200"/>
      </w:pPr>
      <w:r>
        <w:t>R4 — Secure Regulatory Engagement (FRA, GAFI, ETA, PDPC)</w:t>
      </w:r>
    </w:p>
    <w:p>
      <w:pPr>
        <w:spacing w:line="312" w:lineRule="auto" w:after="120"/>
        <w:ind w:firstLine="283"/>
        <w:jc w:val="both"/>
      </w:pPr>
      <w:r>
        <w:rPr>
          <w:rFonts w:ascii="Calibri" w:hAnsi="Calibri"/>
          <w:b w:val="0"/>
          <w:i w:val="0"/>
          <w:sz w:val="22"/>
        </w:rPr>
        <w:t>Conclude the formal engagement with all four regulators. FRA formal briefing Q4 2026 with the briefing pack FRA-BP-v1; GAFI briefing 2026-11-15; PDPC briefing 2026-11-30; ETA briefing 2026-12-01. Pursue 2 no-action / interpretive letters (FRA on Equity Units; PDPC on data flows); target receipt Q1 2027. Publish the first quarterly transparency report in Q1 2027. Maintain the Regulatory Engagement Register throughout; 0 enforcement actions is the standing target.</w:t>
      </w:r>
    </w:p>
    <w:p>
      <w:pPr>
        <w:pStyle w:val="Heading3"/>
        <w:keepNext/>
        <w:spacing w:before="200"/>
      </w:pPr>
      <w:r>
        <w:t>R5 — Onboard 5-10 Pilot Enterprises (Cohort 2)</w:t>
      </w:r>
    </w:p>
    <w:p>
      <w:pPr>
        <w:spacing w:line="312" w:lineRule="auto" w:after="120"/>
        <w:ind w:firstLine="283"/>
        <w:jc w:val="both"/>
      </w:pPr>
      <w:r>
        <w:rPr>
          <w:rFonts w:ascii="Calibri" w:hAnsi="Calibri"/>
          <w:b w:val="0"/>
          <w:i w:val="0"/>
          <w:sz w:val="22"/>
        </w:rPr>
        <w:t>Apply the Pilot Selection Framework (Section 2) and the Onboarding Factory v2 (cohort-2 release, incorporating lessons learned from cohort 1) to onboard 5-10 pilot Enterprises in cohort 2. Target cohort-2 signing 2026-12-01; Phase-3 gate 2027-02-15; completion 2027-04-15. Cohort 2 expands sector coverage (manufacturing via Industry Association partner; technology via University partner spin-outs) and validates the Onboarding Factory v2 cycle-time improvements.</w:t>
      </w:r>
    </w:p>
    <w:p>
      <w:pPr>
        <w:pStyle w:val="Heading3"/>
        <w:keepNext/>
        <w:spacing w:before="200"/>
      </w:pPr>
      <w:r>
        <w:t>R6 — Collect Institutional Evidence (Continuous)</w:t>
      </w:r>
    </w:p>
    <w:p>
      <w:pPr>
        <w:spacing w:line="312" w:lineRule="auto" w:after="120"/>
        <w:ind w:firstLine="283"/>
        <w:jc w:val="both"/>
      </w:pPr>
      <w:r>
        <w:rPr>
          <w:rFonts w:ascii="Calibri" w:hAnsi="Calibri"/>
          <w:b w:val="0"/>
          <w:i w:val="0"/>
          <w:sz w:val="22"/>
        </w:rPr>
        <w:t>Operate the Institutional Evidence Repository (Section 9) as the continuous discipline of the commercial-deployment phase. Target 240+ artefacts by cohort-1 completion (2026-12-15); 500+ artefacts by cohort-2 completion (2027-04-15). Quarterly integrity audit; external-reviewer access from Q1 2027; SOC 2 / ISO 27001 evidence packages v1.0 by 2026-12-15.</w:t>
      </w:r>
    </w:p>
    <w:p>
      <w:pPr>
        <w:pStyle w:val="Heading3"/>
        <w:keepNext/>
        <w:spacing w:before="200"/>
      </w:pPr>
      <w:r>
        <w:t>R7 — Publish Case Studies</w:t>
      </w:r>
    </w:p>
    <w:p>
      <w:pPr>
        <w:spacing w:line="312" w:lineRule="auto" w:after="120"/>
        <w:ind w:firstLine="283"/>
        <w:jc w:val="both"/>
      </w:pPr>
      <w:r>
        <w:rPr>
          <w:rFonts w:ascii="Calibri" w:hAnsi="Calibri"/>
          <w:b w:val="0"/>
          <w:i w:val="0"/>
          <w:sz w:val="22"/>
        </w:rPr>
        <w:t>Publish 6 cohort-1 case studies by 2026-12-22 (anonymised unless named-reference consent captured); publish 10 cohort-2 case studies by 2027-04-22. Case studies follow the CS-v1 template, include the constitutional schedule, and are reviewed by the General Counsel pre-publication. Case studies are the public evidence of AURIENTA's value proposition; they anchor Enterprise procurement engagements and regulator briefings.</w:t>
      </w:r>
    </w:p>
    <w:p>
      <w:pPr>
        <w:pStyle w:val="Heading3"/>
        <w:keepNext/>
        <w:spacing w:before="200"/>
      </w:pPr>
      <w:r>
        <w:t>R8 — Pursue SOC 2 Type II + ISO 27001 with Real Evidence</w:t>
      </w:r>
    </w:p>
    <w:p>
      <w:pPr>
        <w:spacing w:line="312" w:lineRule="auto" w:after="120"/>
        <w:ind w:firstLine="283"/>
        <w:jc w:val="both"/>
      </w:pPr>
      <w:r>
        <w:rPr>
          <w:rFonts w:ascii="Calibri" w:hAnsi="Calibri"/>
          <w:b w:val="0"/>
          <w:i w:val="0"/>
          <w:sz w:val="22"/>
        </w:rPr>
        <w:t>Execute the SOC 2 Type II observation window (2026-10-01 to 2027-09-30) and the ISO 27001 Stage 1 (2026-11-15) and Stage 2 (2027-Q1) audits. Issue the SOC 2 Type II report (Q4 2027) and the ISO 27001 certificate (Q4 2027). The audits use the real evidence collected through the Institutional Evidence Repository; no audit-grade evidence is fabricated or simulated. The certifications unblock the Enterprise procurement gates that gate commercial scaling.</w:t>
      </w:r>
    </w:p>
    <w:p>
      <w:pPr>
        <w:pStyle w:val="Heading3"/>
        <w:keepNext/>
        <w:spacing w:before="200"/>
      </w:pPr>
      <w:r>
        <w:t>R9 — Begin Commercial Scaling</w:t>
      </w:r>
    </w:p>
    <w:p>
      <w:pPr>
        <w:spacing w:line="312" w:lineRule="auto" w:after="120"/>
        <w:ind w:firstLine="283"/>
        <w:jc w:val="both"/>
      </w:pPr>
      <w:r>
        <w:rPr>
          <w:rFonts w:ascii="Calibri" w:hAnsi="Calibri"/>
          <w:b w:val="0"/>
          <w:i w:val="0"/>
          <w:sz w:val="22"/>
        </w:rPr>
        <w:t>Scale from 30 pilot Enterprises (cohorts 1 and 2 combined) to 300 production Enterprises by Q3 2028. Open the regional commercial director role per ACS v1.0 Part 1. Activate the full Commercial Funnel and Sales Operating System described in ACS v1.0 Parts 2 and 3. Revenue target: USD 4.2M ARR by end of 2028-Q3. Customer Success ratio transitions from 1:3 (pilot) to 1:5 (commercial); CPSM headcount scales accordingly.</w:t>
      </w:r>
    </w:p>
    <w:p>
      <w:pPr>
        <w:pStyle w:val="Heading3"/>
        <w:keepNext/>
        <w:spacing w:before="200"/>
      </w:pPr>
      <w:r>
        <w:t>R10 — International Expansion (per ACS v1.0 Part 9)</w:t>
      </w:r>
    </w:p>
    <w:p>
      <w:pPr>
        <w:spacing w:line="312" w:lineRule="auto" w:after="120"/>
        <w:ind w:firstLine="283"/>
        <w:jc w:val="both"/>
      </w:pPr>
      <w:r>
        <w:rPr>
          <w:rFonts w:ascii="Calibri" w:hAnsi="Calibri"/>
          <w:b w:val="0"/>
          <w:i w:val="0"/>
          <w:sz w:val="22"/>
        </w:rPr>
        <w:t>Expand into the GCC, then Africa, then Europe, per ACS v1.0 Part 9. Each region enters only when its entry criteria are met (regulatory clarity, local Law Firm Client Account counterparty, minimum viable commercial team, currency and payment rails). Target: 30,000+ Enterprises by Q4 2031 across six regions, with constitutional alignment preserved in every jurisdiction.</w:t>
      </w:r>
    </w:p>
    <w:p>
      <w:pPr>
        <w:pStyle w:val="Heading3"/>
        <w:keepNext/>
        <w:spacing w:before="200"/>
      </w:pPr>
      <w:r>
        <w:t>22.3  Roadmap Success Criteria</w:t>
      </w:r>
    </w:p>
    <w:tbl>
      <w:tblPr>
        <w:tblW w:type="auto" w:w="0"/>
        <w:jc w:val="center"/>
        <w:tblLook w:firstColumn="1" w:firstRow="1" w:lastColumn="0" w:lastRow="0" w:noHBand="0" w:noVBand="1" w:val="04A0"/>
        <w:tblLayout w:type="autofit"/>
      </w:tblPr>
      <w:tblGrid>
        <w:gridCol w:w="500"/>
        <w:gridCol w:w="2700"/>
        <w:gridCol w:w="3200"/>
        <w:gridCol w:w="2954"/>
      </w:tblGrid>
      <w:tr>
        <w:trPr>
          <w:tblHeader/>
          <w:cantSplit/>
        </w:trPr>
        <w:tc>
          <w:tcPr>
            <w:tcW w:type="dxa" w:w="2197"/>
            <w:tcW w:type="dxa" w:w="5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Phase</w:t>
            </w:r>
          </w:p>
        </w:tc>
        <w:tc>
          <w:tcPr>
            <w:tcW w:type="dxa" w:w="2197"/>
            <w:tcW w:type="dxa" w:w="27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Success Criterion</w:t>
            </w:r>
          </w:p>
        </w:tc>
        <w:tc>
          <w:tcPr>
            <w:tcW w:type="dxa" w:w="2197"/>
            <w:tcW w:type="dxa" w:w="3200"/>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Measurement</w:t>
            </w:r>
          </w:p>
        </w:tc>
        <w:tc>
          <w:tcPr>
            <w:tcW w:type="dxa" w:w="2197"/>
            <w:tcW w:type="dxa" w:w="2954"/>
            <w:vAlign w:val="center"/>
            <w:shd w:val="clear" w:color="auto" w:fill="0B1B33"/>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b/>
                <w:color w:val="FFFFFF"/>
                <w:sz w:val="19"/>
              </w:rPr>
              <w:t>Target</w:t>
            </w:r>
          </w:p>
        </w:tc>
      </w:tr>
      <w:tr>
        <w:trPr>
          <w:cantSplit/>
        </w:trPr>
        <w:tc>
          <w:tcPr>
            <w:tcW w:type="dxa" w:w="2197"/>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R1</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Law Firm partner signed</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executed</w:t>
            </w:r>
          </w:p>
        </w:tc>
        <w:tc>
          <w:tcPr>
            <w:tcW w:type="dxa" w:w="2197"/>
            <w:tcW w:type="dxa" w:w="29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2026-10-30</w:t>
            </w:r>
          </w:p>
        </w:tc>
      </w:tr>
      <w:tr>
        <w:trPr>
          <w:cantSplit/>
        </w:trPr>
        <w:tc>
          <w:tcPr>
            <w:tcW w:type="dxa" w:w="2197"/>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R2</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Accounting partner signed</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MSA executed</w:t>
            </w:r>
          </w:p>
        </w:tc>
        <w:tc>
          <w:tcPr>
            <w:tcW w:type="dxa" w:w="2197"/>
            <w:tcW w:type="dxa" w:w="29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2026-11-15</w:t>
            </w:r>
          </w:p>
        </w:tc>
      </w:tr>
      <w:tr>
        <w:trPr>
          <w:cantSplit/>
        </w:trPr>
        <w:tc>
          <w:tcPr>
            <w:tcW w:type="dxa" w:w="2197"/>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R3</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Banking partner engaged</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LOI executed</w:t>
            </w:r>
          </w:p>
        </w:tc>
        <w:tc>
          <w:tcPr>
            <w:tcW w:type="dxa" w:w="2197"/>
            <w:tcW w:type="dxa" w:w="29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2026-12-01</w:t>
            </w:r>
          </w:p>
        </w:tc>
      </w:tr>
      <w:tr>
        <w:trPr>
          <w:cantSplit/>
        </w:trPr>
        <w:tc>
          <w:tcPr>
            <w:tcW w:type="dxa" w:w="2197"/>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R4</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Regulatory engagement secured</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4 regulators engaged; 2 no-action letters</w:t>
            </w:r>
          </w:p>
        </w:tc>
        <w:tc>
          <w:tcPr>
            <w:tcW w:type="dxa" w:w="2197"/>
            <w:tcW w:type="dxa" w:w="29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Q1 2027</w:t>
            </w:r>
          </w:p>
        </w:tc>
      </w:tr>
      <w:tr>
        <w:trPr>
          <w:cantSplit/>
        </w:trPr>
        <w:tc>
          <w:tcPr>
            <w:tcW w:type="dxa" w:w="2197"/>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R5</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Cohort 2 onboarded</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5-10 Enterprises complete pilot</w:t>
            </w:r>
          </w:p>
        </w:tc>
        <w:tc>
          <w:tcPr>
            <w:tcW w:type="dxa" w:w="2197"/>
            <w:tcW w:type="dxa" w:w="29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2027-04-15</w:t>
            </w:r>
          </w:p>
        </w:tc>
      </w:tr>
      <w:tr>
        <w:trPr>
          <w:cantSplit/>
        </w:trPr>
        <w:tc>
          <w:tcPr>
            <w:tcW w:type="dxa" w:w="2197"/>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R6</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Institutional evidence collected</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Repository artefact count</w:t>
            </w:r>
          </w:p>
        </w:tc>
        <w:tc>
          <w:tcPr>
            <w:tcW w:type="dxa" w:w="2197"/>
            <w:tcW w:type="dxa" w:w="29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240+ by 2026-12-15; 500+ by 2027-04-15</w:t>
            </w:r>
          </w:p>
        </w:tc>
      </w:tr>
      <w:tr>
        <w:trPr>
          <w:cantSplit/>
        </w:trPr>
        <w:tc>
          <w:tcPr>
            <w:tcW w:type="dxa" w:w="2197"/>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R7</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studies published</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Case studies published with consent</w:t>
            </w:r>
          </w:p>
        </w:tc>
        <w:tc>
          <w:tcPr>
            <w:tcW w:type="dxa" w:w="2197"/>
            <w:tcW w:type="dxa" w:w="29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6 by 2026-12-22; 10 by 2027-04-22</w:t>
            </w:r>
          </w:p>
        </w:tc>
      </w:tr>
      <w:tr>
        <w:trPr>
          <w:cantSplit/>
        </w:trPr>
        <w:tc>
          <w:tcPr>
            <w:tcW w:type="dxa" w:w="2197"/>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R8</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SOC 2 + ISO 27001 certified</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Both certificates issued</w:t>
            </w:r>
          </w:p>
        </w:tc>
        <w:tc>
          <w:tcPr>
            <w:tcW w:type="dxa" w:w="2197"/>
            <w:tcW w:type="dxa" w:w="29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2027</w:t>
            </w:r>
          </w:p>
        </w:tc>
      </w:tr>
      <w:tr>
        <w:trPr>
          <w:cantSplit/>
        </w:trPr>
        <w:tc>
          <w:tcPr>
            <w:tcW w:type="dxa" w:w="2197"/>
            <w:tcW w:type="dxa" w:w="5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R9</w:t>
            </w:r>
          </w:p>
        </w:tc>
        <w:tc>
          <w:tcPr>
            <w:tcW w:type="dxa" w:w="2197"/>
            <w:tcW w:type="dxa" w:w="27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Commercial scaling achieved</w:t>
            </w:r>
          </w:p>
        </w:tc>
        <w:tc>
          <w:tcPr>
            <w:tcW w:type="dxa" w:w="2197"/>
            <w:tcW w:type="dxa" w:w="3200"/>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 Enterprises in production</w:t>
            </w:r>
          </w:p>
        </w:tc>
        <w:tc>
          <w:tcPr>
            <w:tcW w:type="dxa" w:w="2197"/>
            <w:tcW w:type="dxa" w:w="2954"/>
            <w:vAlign w:val="center"/>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Q3 2028; USD 4.2M ARR</w:t>
            </w:r>
          </w:p>
        </w:tc>
      </w:tr>
      <w:tr>
        <w:trPr>
          <w:cantSplit/>
        </w:trPr>
        <w:tc>
          <w:tcPr>
            <w:tcW w:type="dxa" w:w="2197"/>
            <w:tcW w:type="dxa" w:w="5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R10</w:t>
            </w:r>
          </w:p>
        </w:tc>
        <w:tc>
          <w:tcPr>
            <w:tcW w:type="dxa" w:w="2197"/>
            <w:tcW w:type="dxa" w:w="27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International expansion achieved</w:t>
            </w:r>
          </w:p>
        </w:tc>
        <w:tc>
          <w:tcPr>
            <w:tcW w:type="dxa" w:w="2197"/>
            <w:tcW w:type="dxa" w:w="3200"/>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30,000+ Enterprises across 6 regions</w:t>
            </w:r>
          </w:p>
        </w:tc>
        <w:tc>
          <w:tcPr>
            <w:tcW w:type="dxa" w:w="2197"/>
            <w:tcW w:type="dxa" w:w="2954"/>
            <w:vAlign w:val="center"/>
            <w:shd w:val="clear" w:color="auto" w:fill="FAF6E8"/>
            <w:tcBorders>
              <w:top w:val="single" w:sz="6" w:color="D4AF37"/>
              <w:left w:val="single" w:sz="6" w:color="D4AF37"/>
              <w:bottom w:val="single" w:sz="6" w:color="D4AF37"/>
              <w:right w:val="single" w:sz="6" w:color="D4AF37"/>
            </w:tcBorders>
          </w:tcPr>
          <w:p>
            <w:pPr>
              <w:spacing w:after="0" w:before="0" w:line="276" w:lineRule="auto"/>
              <w:jc w:val="left"/>
            </w:pPr>
            <w:r/>
            <w:r>
              <w:rPr>
                <w:rFonts w:ascii="Calibri" w:hAnsi="Calibri"/>
                <w:sz w:val="18"/>
              </w:rPr>
              <w:t>Q4 2031</w:t>
            </w:r>
          </w:p>
        </w:tc>
      </w:tr>
    </w:tbl>
    <w:p>
      <w:pPr>
        <w:pStyle w:val="Heading3"/>
        <w:keepNext/>
        <w:spacing w:before="200"/>
      </w:pPr>
      <w:r>
        <w:t>22.4  Roadmap Governance</w:t>
      </w:r>
    </w:p>
    <w:p>
      <w:pPr>
        <w:spacing w:line="312" w:lineRule="auto" w:after="120"/>
        <w:ind w:firstLine="283"/>
        <w:jc w:val="both"/>
      </w:pPr>
      <w:r>
        <w:rPr>
          <w:rFonts w:ascii="Calibri" w:hAnsi="Calibri"/>
          <w:b w:val="0"/>
          <w:i w:val="0"/>
          <w:sz w:val="22"/>
        </w:rPr>
        <w:t>The COO Roadmap Forward is owned by the Chief Operating Officer and reviewed monthly by the Founder and the executive team. Variances of more than 30 days against the published milestones trigger a formal Roadmap Revision, which is version-controlled, communicated to all stakeholders, and signed by the Founder. The constitutional invariants are non-negotiable across every phase; no commercial pressure may compromise Zero Custody, Fundamental Pricing, Graduation, or Constitutional Policy Enforcement. The Roadmap is the binding operational expression of the institutional shift from proving to operating.</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COO Roadmap Forward — Governance  </w:t>
      </w:r>
      <w:r>
        <w:rPr>
          <w:rFonts w:ascii="Calibri" w:hAnsi="Calibri"/>
          <w:i/>
          <w:sz w:val="22"/>
        </w:rPr>
        <w:t>The COO Roadmap Forward is the binding sequence for the commercial-deployment phase. It begins with partner recruitment and regulatory engagement, progresses through cohort-2 onboarding and case-study publication, culminates in SOC 2 / ISO 27001 certification with real evidence, and opens the commercial scaling and international expansion phases. The constitutional infrastructure is no longer permitted to expand internally; it is operated against real Enterprises, real counterparties, real regulators, and real auditors. AURIENTA's institutional shift from building to proving to operating is complete.</w:t>
      </w:r>
    </w:p>
    <w:p>
      <w:pPr>
        <w:spacing w:line="312" w:lineRule="auto" w:before="120" w:after="180"/>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b/>
          <w:color w:val="9C7C1A"/>
          <w:sz w:val="22"/>
        </w:rPr>
        <w:t xml:space="preserve">PE v1.0 Certification  </w:t>
      </w:r>
      <w:r>
        <w:rPr>
          <w:rFonts w:ascii="Calibri" w:hAnsi="Calibri"/>
          <w:i/>
          <w:sz w:val="22"/>
        </w:rPr>
        <w:t>This Volume is the canonical AURIENTA Pilot Deployment, Validation &amp; Institutional Evidence programme. It encodes the twelve pilot-execution workstreams, the nine executive-grade final deliverables, the updated institutional readiness score, the executive certification authorising the transition from pilot to commercial deployment, and the Chief Operating Officer Roadmap Forward. It is synchronised with Constitution v1.0, the Institutional Architecture, Governance v1.0, the Enterprise Risk &amp; Compliance framework, AOS v1.0, ACS v1.0, PH-ER v1.0, Brain AI, and the Constitutional Terminology Standard. Constitutional terminology is enforced throughout. No contradictions with any sibling artefact are permitted.</w:t>
      </w:r>
    </w:p>
    <w:p>
      <w:pPr>
        <w:spacing w:line="312" w:lineRule="auto" w:before="120"/>
        <w:jc w:val="center"/>
      </w:pPr>
      <w:r>
        <w:rPr>
          <w:rFonts w:ascii="Calibri" w:hAnsi="Calibri"/>
          <w:b/>
          <w:color w:val="9C7C1A"/>
          <w:sz w:val="20"/>
        </w:rPr>
        <w:t>End of Volume — AURIENTA Pilot Deployment, Validation &amp; Institutional Evidence (PE) v1.0.  Constitutional Hash (Root): 0xPE8A4F1C9B2D7E6A3F8C5B1D9E4A7F2C6B3E8D5A1F9C4B7E2D6A3F8C5B1D9E4A7</w:t>
      </w:r>
    </w:p>
    <w:p>
      <w:pPr>
        <w:pStyle w:val="Heading1"/>
      </w:pPr>
      <w:r>
        <w:t>VOLUME — AURIENTA GLOBAL INSTITUTIONAL LAUNCH &amp; STRATEGIC PARTNERSHIP SYSTEM (GLS) v1.0</w:t>
      </w:r>
    </w:p>
    <w:p>
      <w:pPr>
        <w:pStyle w:val="Heading2"/>
      </w:pPr>
      <w:r>
        <w:t>Executive Summary — Operationalising International Deployment</w:t>
      </w:r>
    </w:p>
    <w:p>
      <w:pPr>
        <w:spacing w:line="312" w:lineRule="auto" w:after="120"/>
        <w:ind w:firstLine="283"/>
        <w:jc w:val="both"/>
      </w:pPr>
      <w:r>
        <w:rPr>
          <w:rFonts w:ascii="Calibri" w:hAnsi="Calibri" w:cs="Calibri"/>
          <w:b w:val="0"/>
          <w:i w:val="0"/>
          <w:sz w:val="22"/>
          <w:szCs w:val="22"/>
        </w:rPr>
        <w:t xml:space="preserve">The AURIENTA Global Institutional Launch &amp; Strategic Partnership System (GLS v1.0) is the operational framework that takes the constitutional infrastructure from a validated domestic pilot cohort to an internationally deployed institutional system of record. GLS v1.0 introduces no new architecture. Every prior volume — Constitution v1.0, the Institutional Architecture, Governance v1.0, the Enterprise Risk &amp; Compliance framework, the Operating System (AOS v1.0), the Commercialization System (ACS v1.0), the Production Hardening &amp; Enterprise Readiness framework (PH-ER v1.0), and the Pilot Deployment, Validation &amp; Institutional Evidence programme (PE v1.0) — is frozen and treated as the substrate upon which GLS operates. The mandate of GLS v1.0 is deployment, partnership, government engagement, and institutional credibility abroad — not redesign.</w:t>
      </w:r>
    </w:p>
    <w:p>
      <w:pPr>
        <w:spacing w:line="312" w:lineRule="auto" w:after="120"/>
        <w:ind w:firstLine="283"/>
        <w:jc w:val="both"/>
      </w:pPr>
      <w:r>
        <w:rPr>
          <w:rFonts w:ascii="Calibri" w:hAnsi="Calibri" w:cs="Calibri"/>
          <w:b w:val="0"/>
          <w:i w:val="0"/>
          <w:sz w:val="22"/>
          <w:szCs w:val="22"/>
        </w:rPr>
        <w:t xml:space="preserve">GLS v1.0 is structured across twelve parts that together constitute the operating doctrine for international expansion. Part 1 establishes the Global Market Entry Framework with country prioritisation, a Country Readiness Score, and the expansion sequencing Egypt → GCC → Africa → Europe → Asia → Americas. Part 2 deploys the Strategic Partnership Operating System covering sixteen partner types with a full lifecycle from identification through offboarding. Part 3 specifies the Government Engagement Framework with eleven stakeholder types and their playbooks. Part 4 defines the Institutional Sales Framework across nine institutional segments with stages, document libraries, and checklists. Part 5 stands up the International Expansion Office with regional presidents, country directors, and a Programme Management Office. Part 6 codifies Alliance Management covering joint ventures, strategic alliances, memoranda of understanding, framework agreements, technology / academic / government alliances, and referral + certified partner programmes. Part 7 establishes Institutional Communications across executive, government, partner, Institutional Capital, media, and crisis channels with constitutional positioning and a messaging hierarchy. Part 8 sets out the Global Events Framework spanning ten event types with participation and hosting strategies. Part 9 lays out the International Certifications roadmap across ISO, SOC, CSA, OWASP, cloud, government, partner, and professional certifications. Part 10 builds the Institutional Due Diligence Center with eleven due-diligence packages. Part 11 publishes the Institutional Trust Center for public transparency. Part 12 delivers the Global Deployment Dashboard as the Founder cockpit across ten panels.</w:t>
      </w:r>
    </w:p>
    <w:p>
      <w:pPr>
        <w:spacing w:line="312" w:lineRule="auto" w:after="120"/>
        <w:ind w:firstLine="283"/>
        <w:jc w:val="both"/>
      </w:pPr>
      <w:r>
        <w:rPr>
          <w:rFonts w:ascii="Calibri" w:hAnsi="Calibri" w:cs="Calibri"/>
          <w:b w:val="0"/>
          <w:i w:val="0"/>
          <w:sz w:val="22"/>
          <w:szCs w:val="22"/>
        </w:rPr>
        <w:t xml:space="preserve">GLS v1.0 is frozen as of 2026-10-30 and is synchronised with Constitution v1.0, the Institutional Architecture, Governance v1.0, the Enterprise Risk &amp; Compliance framework, AOS v1.0, ACS v1.0, PH-ER v1.0, PE v1.0, Brain AI, and the Constitutional Terminology Standard. No new architecture is introduced; no constitutional invariant is modified; no term in the Constitutional Terminology Dictionary is contradicted. The expansion trajectory is execution-led: each country, each partner, each government stakeholder, each certification, and each institutional segment produces objective evidence that is logged, versioned, and presented through the Founder cockpit and the Institutional Trust Center.</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Programme Mandate  </w:t>
      </w:r>
      <w:r>
        <w:rPr>
          <w:rFonts w:ascii="Calibri" w:hAnsi="Calibri" w:cs="Calibri"/>
          <w:b w:val="0"/>
          <w:i/>
          <w:sz w:val="22"/>
          <w:szCs w:val="22"/>
        </w:rPr>
        <w:t xml:space="preserve">GLS v1.0 operationalises the AURIENTA constitutional infrastructure for international deployment. The architecture is complete; the pilot evidence is being generated domestically; the next phase is to extend the constitutional model across the Egyptian market anchor, the GCC region, the African continent, the European institutional corridor, the Asian growth markets, and the Americas — in that order, on the basis of objective Country Readiness Scores and verified partnership execution.</w:t>
      </w:r>
    </w:p>
    <w:p>
      <w:pPr>
        <w:pStyle w:val="Heading2"/>
      </w:pPr>
      <w:r>
        <w:t>Section 1 — Global Market Entry Framework</w:t>
      </w:r>
    </w:p>
    <w:p>
      <w:pPr>
        <w:pStyle w:val="Heading3"/>
      </w:pPr>
      <w:r>
        <w:t>1.1  Overview</w:t>
      </w:r>
    </w:p>
    <w:p>
      <w:pPr>
        <w:spacing w:line="312" w:lineRule="auto" w:after="120"/>
        <w:ind w:firstLine="283"/>
        <w:jc w:val="both"/>
      </w:pPr>
      <w:r>
        <w:rPr>
          <w:rFonts w:ascii="Calibri" w:hAnsi="Calibri" w:cs="Calibri"/>
          <w:b w:val="0"/>
          <w:i w:val="0"/>
          <w:sz w:val="22"/>
          <w:szCs w:val="22"/>
        </w:rPr>
        <w:t xml:space="preserve">Part 1 establishes the doctrine by which AURIENTA selects, sequences, and manages entry into national markets. The framework is anchored on three instruments: a Country Prioritisation Matrix that scores every candidate country across six weighted dimensions; a Country Readiness Score on a zero-to-one-hundred scale that gates go / no-go decisions; and an Expansion Sequencing roadmap that fixes the order of entry as Egypt → GCC → Africa → Europe → Asia → Americas. The sequencing reflects the domestic anchor (Egypt), regional proximity (GCC), continental alignment (Africa), institutional depth (Europe), growth dynamics (Asia), and strategic option value (Americas).</w:t>
      </w:r>
    </w:p>
    <w:p>
      <w:pPr>
        <w:spacing w:line="312" w:lineRule="auto" w:after="120"/>
        <w:ind w:firstLine="283"/>
        <w:jc w:val="both"/>
      </w:pPr>
      <w:r>
        <w:rPr>
          <w:rFonts w:ascii="Calibri" w:hAnsi="Calibri" w:cs="Calibri"/>
          <w:b w:val="0"/>
          <w:i w:val="0"/>
          <w:sz w:val="22"/>
          <w:szCs w:val="22"/>
        </w:rPr>
        <w:t xml:space="preserve">Country entry is never opportunistic. Each candidate country must achieve a Country Readiness Score of seventy or higher, must have an identified Country Director (Part 5), must have at least one signed Strategic Partner in the Law Firm and Accounting categories (Part 2), and must have a documented regulatory engagement plan (Part 3). The Country Readiness Score is recomputed quarterly and a country may be paused, advanced, or retired from the active-entry list on the basis of the recomputed score.</w:t>
      </w:r>
    </w:p>
    <w:p>
      <w:pPr>
        <w:pStyle w:val="Heading3"/>
      </w:pPr>
      <w:r>
        <w:t>1.2  Country Prioritisation Matrix — Six Weighted Dimensions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Dimension</w:t>
            </w:r>
          </w:p>
        </w:tc>
        <w:tc>
          <w:tcPr>
            <w:tcW w:type="dxa" w:w="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Weight</w:t>
            </w:r>
          </w:p>
        </w:tc>
        <w:tc>
          <w:tcPr>
            <w:tcW w:type="dxa" w:w="3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Indicator</w:t>
            </w:r>
          </w:p>
        </w:tc>
        <w:tc>
          <w:tcPr>
            <w:tcW w:type="dxa" w:w="2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Scoring Guide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clarity</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25%</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Existence of a recognised legal form for constitutional Enterprises; clarity on Equity Units; absence of custody triggers</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hostile / ambiguous; 50 = partial guidance; 100 = explicit constitutional recognition</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demand</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Documented inbound interest from Enterprises, family offices, foundations, and sovereign-affiliated entities</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none; 50 = exploratory; 100 = signed Letters of Intent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availability</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Presence of qualified Law Firms and Accounting Firms willing to operate the Law Firm Client Account workflow</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none; 50 = informal interest; 100 = signed partnership</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4</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formation depth</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Maturity of the domestic Institutional Capital pool and its appetite for Equity Unit participation</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shallow; 50 = emerging; 100 = deep and engaged</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Political and macro stability</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credit outlook; currency convertibility; rule-of-law indices</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distressed; 50 = watch; 100 = stable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feasibility</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Talent availability, cloud region availability, payment rails, language localisation effort</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blocked; 50 = workable; 100 = turnkey</w:t>
            </w:r>
          </w:p>
        </w:tc>
      </w:tr>
    </w:tbl>
    <w:p>
      <w:pPr>
        <w:spacing w:after="120" w:line="240" w:lineRule="auto"/>
      </w:pPr>
    </w:p>
    <w:p>
      <w:pPr>
        <w:pStyle w:val="Heading3"/>
      </w:pPr>
      <w:r>
        <w:t>1.3  Country Readiness Score — Computation Rule</w:t>
      </w:r>
    </w:p>
    <w:p>
      <w:pPr>
        <w:spacing w:line="312" w:lineRule="auto" w:after="120"/>
        <w:ind w:firstLine="283"/>
        <w:jc w:val="both"/>
      </w:pPr>
      <w:r>
        <w:rPr>
          <w:rFonts w:ascii="Calibri" w:hAnsi="Calibri" w:cs="Calibri"/>
          <w:b w:val="0"/>
          <w:i w:val="0"/>
          <w:sz w:val="22"/>
          <w:szCs w:val="22"/>
        </w:rPr>
        <w:t xml:space="preserve">The Country Readiness Score is computed as the weighted sum of the six dimension scores, normalised to a zero-to-one-hundred scale. A score of seventy or higher is required to enter the Active Entry list; a score of eighty-five or higher is required to advance to Launch Authorisation; a score below fifty moves the country to the Watch list; a score below thirty moves the country to the Retired list. Recomputation is quarterly, and every score change is logged in the Country Readiness Dashboard (COO Recommendation R5) with an audit-grade evidence link.</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Entry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70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Launch Authorisation threshold</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Watch list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30 ≤ score &lt; 50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Retired list threshold</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&lt; 30</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Recomputation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International Expansion Office (Part 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repository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Evidence Repository (PE WS9)</w:t>
            </w:r>
          </w:p>
        </w:tc>
      </w:tr>
    </w:tbl>
    <w:p>
      <w:pPr>
        <w:spacing w:after="120" w:line="240" w:lineRule="auto"/>
      </w:pPr>
    </w:p>
    <w:p>
      <w:pPr>
        <w:pStyle w:val="Heading3"/>
      </w:pPr>
      <w:r>
        <w:t>1.4  Expansion Sequencing — Six-Region Roadmap</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Phase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Region</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Anchor Countries</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Entry Window</w:t>
            </w:r>
          </w:p>
        </w:tc>
        <w:tc>
          <w:tcPr>
            <w:tcW w:type="dxa" w:w="3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Strategic Rationale</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Egypt (domestic anchor)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Egypt</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 Q4 — 2027 Q2</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Home market; pilot cohort already onboarding; full regulatory engagement with FRA / GAFI / ETA / PDPC</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E2</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GCC</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United Arab Emirates, Saudi Arabia, Qatar</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 — 2027 Q4</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Proximity; sovereign-wealth alignment; strong institutional Capital Partners; English-language business environment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E3</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Africa</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Nigeria, Kenya, South Africa, Morocco</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Q4 — 2028 Q3</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Continental alignment; high entrepreneurial density; African Continental Free Trade Area coordination</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E4</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Europe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United Kingdom, Switzerland, Germany, Luxembourg</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2028 Q3 — 2029 Q2</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depth; Big Four presence; SOC 2 / ISO 27001 audit ecosystem; family-office corridor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E5</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Asia</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Singapore, India, Japan, South Korea</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2029 Q2 — 2030 Q1</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Growth dynamics; sophisticated regulatory regimes; talent depth; sovereign-fund engagement</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E6</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Americas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United States, Canada, Brazil, Mexico</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2030 Q1 — 2031 Q1</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option value; largest Institutional Capital pool; English/Spanish/Portuguese localisation</w:t>
            </w:r>
          </w:p>
        </w:tc>
      </w:tr>
    </w:tbl>
    <w:p>
      <w:pPr>
        <w:spacing w:after="120" w:line="240" w:lineRule="auto"/>
      </w:pPr>
    </w:p>
    <w:p>
      <w:pPr>
        <w:pStyle w:val="Heading3"/>
      </w:pPr>
      <w:r>
        <w:t>1.5  Country Entry Playbook — Stage Gate</w:t>
      </w:r>
    </w:p>
    <w:p>
      <w:pPr>
        <w:spacing w:line="312" w:lineRule="auto" w:after="120"/>
        <w:ind w:firstLine="283"/>
        <w:jc w:val="both"/>
      </w:pPr>
      <w:r>
        <w:rPr>
          <w:rFonts w:ascii="Calibri" w:hAnsi="Calibri" w:cs="Calibri"/>
          <w:b w:val="0"/>
          <w:i w:val="0"/>
          <w:sz w:val="22"/>
          <w:szCs w:val="22"/>
        </w:rPr>
        <w:t xml:space="preserve">Each country progresses through a six-stage gate. No stage may begin until the prior stage's exit criteria are objectively evidenced and approved by the International Expansion Office.</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 Target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Intake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Score computed; intake memo signed by Regional President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Recruitment</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At least one Law Firm and one Accounting Firm signed; banking partner identified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Engagement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Initial regulator meeting completed; written engagement plan filed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Country Director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12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Local Entity Formation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Local operating entity registered; tax position documented; bank account opened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Country Director</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Cohort Launch</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Minimum three Enterprises onboarded; first Law Firm Client Account cycle completed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 + PMO</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16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Steady-State Operations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Score ≥ 80 sustained for two consecutive quarters; portfolio review passed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Ongoing</w:t>
            </w:r>
          </w:p>
        </w:tc>
      </w:tr>
    </w:tbl>
    <w:p>
      <w:pPr>
        <w:spacing w:after="120" w:line="240" w:lineRule="auto"/>
      </w:pPr>
    </w:p>
    <w:p>
      <w:pPr>
        <w:pStyle w:val="Heading3"/>
      </w:pPr>
      <w:r>
        <w:t>1.6  Country Retirement Criteria</w:t>
      </w:r>
    </w:p>
    <w:p>
      <w:pPr>
        <w:spacing w:line="312" w:lineRule="auto" w:after="120"/>
        <w:ind w:firstLine="283"/>
        <w:jc w:val="both"/>
      </w:pPr>
      <w:r>
        <w:rPr>
          <w:rFonts w:ascii="Calibri" w:hAnsi="Calibri" w:cs="Calibri"/>
          <w:b w:val="0"/>
          <w:i w:val="0"/>
          <w:sz w:val="22"/>
          <w:szCs w:val="22"/>
        </w:rPr>
        <w:t xml:space="preserve">A country is retired from the Active Entry list when any of the following occurs: (a) Country Readiness Score falls below thirty for two consecutive quarters; (b) a regulatory action is taken that materially impairs the constitutional model; (c) a partner-evidence audit reveals a structural defect in Law Firm Client Account operations; (d) the Founder and COO jointly determine that continued deployment is no longer in the strategic interest of AURIENTA. Retirement does not terminate existing Enterprises; it freezes new onboarding until the country re-qualifies.</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Country Readiness Score — Authoritative Rule  </w:t>
      </w:r>
      <w:r>
        <w:rPr>
          <w:rFonts w:ascii="Calibri" w:hAnsi="Calibri" w:cs="Calibri"/>
          <w:b w:val="0"/>
          <w:i/>
          <w:sz w:val="22"/>
          <w:szCs w:val="22"/>
        </w:rPr>
        <w:t xml:space="preserve">The Country Readiness Score is the single instrument that gates country entry, advancement, and retirement. No country enters the Active Entry list, advances to Launch Authorisation, or is retired from the programme without a documented, audit-grade Country Readiness Score and the Founder-and-COO sign-off recorded in the International Expansion Office.</w:t>
      </w:r>
    </w:p>
    <w:p>
      <w:pPr>
        <w:pStyle w:val="Heading2"/>
      </w:pPr>
      <w:r>
        <w:t>Section 2 — Strategic Partnership Operating System</w:t>
      </w:r>
    </w:p>
    <w:p>
      <w:pPr>
        <w:pStyle w:val="Heading3"/>
      </w:pPr>
      <w:r>
        <w:t>2.1  Overview</w:t>
      </w:r>
    </w:p>
    <w:p>
      <w:pPr>
        <w:spacing w:line="312" w:lineRule="auto" w:after="120"/>
        <w:ind w:firstLine="283"/>
        <w:jc w:val="both"/>
      </w:pPr>
      <w:r>
        <w:rPr>
          <w:rFonts w:ascii="Calibri" w:hAnsi="Calibri" w:cs="Calibri"/>
          <w:b w:val="0"/>
          <w:i w:val="0"/>
          <w:sz w:val="22"/>
          <w:szCs w:val="22"/>
        </w:rPr>
        <w:t xml:space="preserve">Part 2 deploys the Strategic Partnership Operating System that governs the full lifecycle of every partner relationship AURIENTA forms internationally. Sixteen partner types are defined, each with a partner category, lifecycle stage map, qualification criteria, contractual instrument, commercial terms, performance KPIs, and offboarding triggers. The Operating System supersedes the partner-type list referenced in ACS v1.0 Section 5 by extending it to international deployment and binding every partner to the constitutional terminology standard.</w:t>
      </w:r>
    </w:p>
    <w:p>
      <w:pPr>
        <w:pStyle w:val="Heading3"/>
      </w:pPr>
      <w:r>
        <w:t>2.2  Sixteen Partner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Partner Type</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Category</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Primary Function</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Contractual Instrument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Law Firm</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Operate Law Firm Client Account; issue legal opinions; manage charter execution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Master Services Agreement + Amendment IX Schedule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Accounting Firm</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Equity Unit ledger; sign milestone release certificates; tax compliance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Engagement Letter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Banking Partner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Banking</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 accounts; FX; payroll rails; institutional custody coordination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Banking Services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Big Four Advisory</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Advisory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readiness; SOC 2 / ISO 27001 attestation support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Advisory Engagement Letter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Cloud Provider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Infrastructure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cloud regions; residency controls; certifications backbone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Cloud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Identity Verification Provider</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KYC / KYB / sanctions screening; Ed25519 identity binding</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Identity Services Agreement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ERP Provider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Integration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system integration; financial data coordination channel (read-only)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Integration Partnership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University</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Academic</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Joint research; certification programmes; talent pipeline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Memorandum of Understanding</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Industry Association</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Market Access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Sector access; standards committees; convening power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Affiliation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Entity</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engagement; sovereign alignment; pilot programmes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Framework Agreement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Wealth Fund</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Capital</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Anchor Capital Partner; signalling effect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Alliance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Family Office</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Capital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Multi-generational Capital Partner; tier-A Enterprise flow</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Agreement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Insurance Provider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Director &amp; officer cover; cyber; professional indemnity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Insurance Services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Translation &amp; Localisation</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Arabic / French / Portuguese / Spanish / Mandarin localisation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Localisation Services Agreement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Relations Firm</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Communications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Media relations; crisis communications; executive positioning</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 Retainer Agreement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Cybersecurity Firm</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Penetration testing; red-team; SOC operations; incident response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Services Agreement</w:t>
            </w:r>
          </w:p>
        </w:tc>
      </w:tr>
    </w:tbl>
    <w:p>
      <w:pPr>
        <w:spacing w:after="120" w:line="240" w:lineRule="auto"/>
      </w:pPr>
    </w:p>
    <w:p>
      <w:pPr>
        <w:pStyle w:val="Heading3"/>
      </w:pPr>
      <w:r>
        <w:t>2.3  Partner Lifecycle — Eight Stages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 Target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Identification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profile completed; sponsor assigned; preliminary due diligence passed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Qualification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Conflict check cleared; capability assessment passed; reference checks completed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4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Negotiation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Term sheet initialled; pricing approved by COO; legal review completed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Contracting</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Master agreement signed; commencement date set; kickoff scheduled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4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Onboarding</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Technical integration complete; commercial terms operational; training delivered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weeks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Activation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transaction completed; performance baseline established; KPIs published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4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Steady-State Management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Business Reviews held; KPIs met; renewal plan in place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Ongoing</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Offboarding</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Notice given; transition plan executed; final reconciliation signed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12 weeks</w:t>
            </w:r>
          </w:p>
        </w:tc>
      </w:tr>
    </w:tbl>
    <w:p>
      <w:pPr>
        <w:spacing w:after="120" w:line="240" w:lineRule="auto"/>
      </w:pPr>
    </w:p>
    <w:p>
      <w:pPr>
        <w:pStyle w:val="Heading3"/>
      </w:pPr>
      <w:r>
        <w:t>2.4  Partner Performance KPIs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KPI</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Transaction accuracy</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of partner transactions executed without rework</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99.5%</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SLA attainment</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of SLA windows met</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98%</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compliance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 terminology violations; zero CRE overrides</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NPS (internal)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stakeholder net promoter score</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50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Revenue contribution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Pipeline value attributed to partner introductions</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Tracked, no fixed target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 likelihood</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Probability of renewal at next anniversary</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incidents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Number of incidents reported against the partner</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critical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bl>
    <w:p>
      <w:pPr>
        <w:spacing w:after="120" w:line="240" w:lineRule="auto"/>
      </w:pPr>
    </w:p>
    <w:p>
      <w:pPr>
        <w:pStyle w:val="Heading3"/>
      </w:pPr>
      <w:r>
        <w:t>2.5  Partner Offboarding Triggers</w:t>
      </w:r>
    </w:p>
    <w:p>
      <w:pPr>
        <w:spacing w:line="312" w:lineRule="auto" w:after="120"/>
        <w:ind w:firstLine="283"/>
        <w:jc w:val="both"/>
      </w:pPr>
      <w:r>
        <w:rPr>
          <w:rFonts w:ascii="Calibri" w:hAnsi="Calibri" w:cs="Calibri"/>
          <w:b w:val="0"/>
          <w:i w:val="0"/>
          <w:sz w:val="22"/>
          <w:szCs w:val="22"/>
        </w:rPr>
        <w:t xml:space="preserve">A partner is off-boarded when any of the following occurs: (a) two consecutive quarterly KPI misses; (b) a verified breach of constitutional terminology; (c) a regulatory action affecting the partner; (d) a conflict-of-interest that cannot be cured; (e) a material change in the partner's ownership or control; (f) the Founder and COO jointly determine that continued partnership is no longer in the strategic interest of AURIENTA. Offboarding is executed under a documented transition plan that protects every Enterprise in flight and preserves all institutional evidence.</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Partner Lifecycle Authority  </w:t>
      </w:r>
      <w:r>
        <w:rPr>
          <w:rFonts w:ascii="Calibri" w:hAnsi="Calibri" w:cs="Calibri"/>
          <w:b w:val="0"/>
          <w:i/>
          <w:sz w:val="22"/>
          <w:szCs w:val="22"/>
        </w:rPr>
        <w:t xml:space="preserve">The Strategic Partnership Operating System is the single authoritative lifecycle for every AURIENTA partner. No partner relationship is formed, extended, renewed, or terminated outside this lifecycle. Every partner is bound to the constitutional terminology standard and the Law Firm Client Account workflow where applicable.</w:t>
      </w:r>
    </w:p>
    <w:p>
      <w:pPr>
        <w:pStyle w:val="Heading2"/>
      </w:pPr>
      <w:r>
        <w:t>Section 3 — Government Engagement Framework</w:t>
      </w:r>
    </w:p>
    <w:p>
      <w:pPr>
        <w:pStyle w:val="Heading3"/>
      </w:pPr>
      <w:r>
        <w:t>3.1  Overview</w:t>
      </w:r>
    </w:p>
    <w:p>
      <w:pPr>
        <w:spacing w:line="312" w:lineRule="auto" w:after="120"/>
        <w:ind w:firstLine="283"/>
        <w:jc w:val="both"/>
      </w:pPr>
      <w:r>
        <w:rPr>
          <w:rFonts w:ascii="Calibri" w:hAnsi="Calibri" w:cs="Calibri"/>
          <w:b w:val="0"/>
          <w:i w:val="0"/>
          <w:sz w:val="22"/>
          <w:szCs w:val="22"/>
        </w:rPr>
        <w:t xml:space="preserve">Part 3 codifies the Government Engagement Framework that governs every interaction between AURIENTA and a government entity. The framework is cooperation-first: AURIENTA approaches every regulator, ministry, and sovereign authority as a partner in the constitutional project, not as an adversary. Eleven stakeholder types are defined, each with a documented playbook covering engagement objectives, cadence, primary contacts, evidence requirements, escalation paths, and constitutional positioning.</w:t>
      </w:r>
    </w:p>
    <w:p>
      <w:pPr>
        <w:pStyle w:val="Heading3"/>
      </w:pPr>
      <w:r>
        <w:t>3.2  Eleven Government Stakeholder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Stakeholder Type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Engagement Objective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Primary Contact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Regulator</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Secure no-action / recognition letter on the constitutional model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Central Bank</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Confirm zero-custody position; banking-rail access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Data Protection Authority</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PDPL / GDPR equivalence; cross-border data transfer approvals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Privacy Officer</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Companies Registry</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Recognised legal form for constitutional Enterprises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 needed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Tax Authority</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Equity Unit tax treatment; transfer pricing; VAT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Anti-Money-Laundering Authority</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GAFI engagement; sanctions-screening attestation</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Securities / Capital Markets Authority</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Equity Unit classification; secondary-listing posture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Wealth Council</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Anchor Capital Partner alignment; signalling</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G9</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Ministry of Economy</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National competitiveness alignment; sector programmes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G10</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Ministry of Digital Transformation</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Cloud sovereignty; identity interoperability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G11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Legislative / Parliamentary Committee</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model awareness; legislative option preservation</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r>
    </w:tbl>
    <w:p>
      <w:pPr>
        <w:spacing w:after="120" w:line="240" w:lineRule="auto"/>
      </w:pPr>
    </w:p>
    <w:p>
      <w:pPr>
        <w:pStyle w:val="Heading3"/>
      </w:pPr>
      <w:r>
        <w:t>3.3  Engagement Playbook — Common Template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2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Element</w:t>
            </w:r>
          </w:p>
        </w:tc>
        <w:tc>
          <w:tcPr>
            <w:tcW w:type="dxa" w:w="6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Specification</w:t>
            </w:r>
          </w:p>
        </w:tc>
      </w:tr>
      <w:tr>
        <w:trPr>
          <w:cantSplit/>
        </w:trPr>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 objective</w:t>
            </w:r>
          </w:p>
        </w:tc>
        <w:tc>
          <w:tcPr>
            <w:tcW w:type="dxa" w:w="6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One-sentence statement of the desired outcome (e.g., 'Secure written no-action letter on Equity Unit classification')</w:t>
            </w:r>
          </w:p>
        </w:tc>
      </w:tr>
      <w:tr>
        <w:trPr>
          <w:cantSplit/>
        </w:trPr>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Counterpart</w:t>
            </w:r>
          </w:p>
        </w:tc>
        <w:tc>
          <w:tcPr>
            <w:tcW w:type="dxa" w:w="6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individual; alternates documented; biography on file</w:t>
            </w:r>
          </w:p>
        </w:tc>
      </w:tr>
      <w:tr>
        <w:trPr>
          <w:cantSplit/>
        </w:trPr>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package</w:t>
            </w:r>
          </w:p>
        </w:tc>
        <w:tc>
          <w:tcPr>
            <w:tcW w:type="dxa" w:w="6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summary; enterprise architecture overview; legal opinion; evidence portfolio</w:t>
            </w:r>
          </w:p>
        </w:tc>
      </w:tr>
      <w:tr>
        <w:trPr>
          <w:cantSplit/>
        </w:trPr>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Cadence</w:t>
            </w:r>
          </w:p>
        </w:tc>
        <w:tc>
          <w:tcPr>
            <w:tcW w:type="dxa" w:w="6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meeting schedule with quarterly cadence default; ad-hoc on regulatory event</w:t>
            </w:r>
          </w:p>
        </w:tc>
      </w:tr>
      <w:tr>
        <w:trPr>
          <w:cantSplit/>
        </w:trPr>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positioning</w:t>
            </w:r>
          </w:p>
        </w:tc>
        <w:tc>
          <w:tcPr>
            <w:tcW w:type="dxa" w:w="6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Zero-custody; AI-enforced governance; Equity Units; Law Firm Client Account; non-bank; non-coordination channel; non-institutional channel</w:t>
            </w:r>
          </w:p>
        </w:tc>
      </w:tr>
      <w:tr>
        <w:trPr>
          <w:cantSplit/>
        </w:trPr>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requirements</w:t>
            </w:r>
          </w:p>
        </w:tc>
        <w:tc>
          <w:tcPr>
            <w:tcW w:type="dxa" w:w="6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log; legal opinion; partner letters; technical architecture diagrams</w:t>
            </w:r>
          </w:p>
        </w:tc>
      </w:tr>
      <w:tr>
        <w:trPr>
          <w:cantSplit/>
        </w:trPr>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Escalation path</w:t>
            </w:r>
          </w:p>
        </w:tc>
        <w:tc>
          <w:tcPr>
            <w:tcW w:type="dxa" w:w="6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 → Regional President → General Counsel → Founder</w:t>
            </w:r>
          </w:p>
        </w:tc>
      </w:tr>
      <w:tr>
        <w:trPr>
          <w:cantSplit/>
        </w:trPr>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Follow-up</w:t>
            </w:r>
          </w:p>
        </w:tc>
        <w:tc>
          <w:tcPr>
            <w:tcW w:type="dxa" w:w="6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Written meeting summary within 48 hours; action tracker; quarterly status</w:t>
            </w:r>
          </w:p>
        </w:tc>
      </w:tr>
      <w:tr>
        <w:trPr>
          <w:cantSplit/>
        </w:trPr>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Sunset criteria</w:t>
            </w:r>
          </w:p>
        </w:tc>
        <w:tc>
          <w:tcPr>
            <w:tcW w:type="dxa" w:w="6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Defined exit condition (e.g., 'No-action letter issued' or 'Engagement paused by mutual agreement')</w:t>
            </w:r>
          </w:p>
        </w:tc>
      </w:tr>
    </w:tbl>
    <w:p>
      <w:pPr>
        <w:spacing w:after="120" w:line="240" w:lineRule="auto"/>
      </w:pPr>
    </w:p>
    <w:p>
      <w:pPr>
        <w:pStyle w:val="Heading3"/>
      </w:pPr>
      <w:r>
        <w:t>3.4  Constitutional Positioning Statement (Government-Tailored)</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Constitutional Positioning — Government Engagement  </w:t>
      </w:r>
      <w:r>
        <w:rPr>
          <w:rFonts w:ascii="Calibri" w:hAnsi="Calibri" w:cs="Calibri"/>
          <w:b w:val="0"/>
          <w:i/>
          <w:sz w:val="22"/>
          <w:szCs w:val="22"/>
        </w:rPr>
        <w:t xml:space="preserve">AURIENTA is noncustodial constitutional infrastructure that transforms everyday capital into real-economy corporate ownership under AI-enforced governance. AURIENTA is not a bank, not a securities coordination channel, not a institutional channel, and not a Capital Formation operator. Capital flows through a Law Firm Client Account held at a regulated banking institution; Equity Units are constitutional instruments of enterprise ownership, not securities; the Constitutional Runtime Engine enforces every governance rule deterministically. AURIENTA welcomes supervision and cooperates fully with every regulator in every jurisdiction in which it operates.</w:t>
      </w:r>
    </w:p>
    <w:p>
      <w:pPr>
        <w:pStyle w:val="Heading3"/>
      </w:pPr>
      <w:r>
        <w:t>3.5  Government Engagement Register</w:t>
      </w:r>
    </w:p>
    <w:p>
      <w:pPr>
        <w:spacing w:line="312" w:lineRule="auto" w:after="120"/>
        <w:ind w:firstLine="283"/>
        <w:jc w:val="both"/>
      </w:pPr>
      <w:r>
        <w:rPr>
          <w:rFonts w:ascii="Calibri" w:hAnsi="Calibri" w:cs="Calibri"/>
          <w:b w:val="0"/>
          <w:i w:val="0"/>
          <w:sz w:val="22"/>
          <w:szCs w:val="22"/>
        </w:rPr>
        <w:t xml:space="preserve">Every government engagement is recorded in the Government Engagement Register, a standing ledger maintained by the General Counsel's office. The register records stakeholder type, counterpart, date, meeting summary, action items, evidence links, status, and next steps. The register is reviewed at the quarterly Government Engagement Review chaired by the Founder and is the authoritative source for the government panel of the Global Deployment Dashboard (Part 12).</w:t>
      </w:r>
    </w:p>
    <w:p>
      <w:pPr>
        <w:pStyle w:val="Heading2"/>
      </w:pPr>
      <w:r>
        <w:t>Section 4 — Institutional Sales Framework</w:t>
      </w:r>
    </w:p>
    <w:p>
      <w:pPr>
        <w:pStyle w:val="Heading3"/>
      </w:pPr>
      <w:r>
        <w:t>4.1  Overview</w:t>
      </w:r>
    </w:p>
    <w:p>
      <w:pPr>
        <w:spacing w:line="312" w:lineRule="auto" w:after="120"/>
        <w:ind w:firstLine="283"/>
        <w:jc w:val="both"/>
      </w:pPr>
      <w:r>
        <w:rPr>
          <w:rFonts w:ascii="Calibri" w:hAnsi="Calibri" w:cs="Calibri"/>
          <w:b w:val="0"/>
          <w:i w:val="0"/>
          <w:sz w:val="22"/>
          <w:szCs w:val="22"/>
        </w:rPr>
        <w:t xml:space="preserve">Part 4 defines the Institutional Sales Framework that converts identified institutional opportunities into signed Capital Partners and onboarded Enterprises. Nine institutional segments are defined, each with a stage lifecycle, a document library, and a stage-gate checklist. The framework supersedes the partner-lifecycle reference in ACS v1.0 Section 5 by extending it to institutional deployment and binding every stage to constitutional terminology and the Law Firm Client Account workflow.</w:t>
      </w:r>
    </w:p>
    <w:p>
      <w:pPr>
        <w:pStyle w:val="Heading3"/>
      </w:pPr>
      <w:r>
        <w:t>4.2  Nine Institutional Segments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Segment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Profile</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 Lifecycle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Document Library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Wealth Fund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National capital anchor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stages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brief; architecture; legal opinion; case studies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S2</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Pension Fund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Long-duration fiduciary</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stages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Fiduciary brief; risk register; compliance matrix</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S3</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Family Office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Multi-generational steward</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 stages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Family constitution brief; succession framework</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S4</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Endowment &amp; Foundation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Mission-aligned perpetual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 stages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Mission-alignment brief; impact evidence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S5</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Insurance Company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Regulated balance-sheet</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stages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brief; capital-treatment analysis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S6</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 Treasury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Regulated treasury</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stages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Treasury brief; capital-treatment analysis</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S7</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Strategic</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development arm</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 stages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Strategic-alignment brief; sector thesis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S8</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Development Finance Institution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Multilateral or bilateral DFI</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 stages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Mandate-alignment brief; impact evidence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S9</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Ultra-High-Net-Worth Individual</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Direct personal participation</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stages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Personal-stewardship brief; succession framework</w:t>
            </w:r>
          </w:p>
        </w:tc>
      </w:tr>
    </w:tbl>
    <w:p>
      <w:pPr>
        <w:spacing w:after="120" w:line="240" w:lineRule="auto"/>
      </w:pPr>
    </w:p>
    <w:p>
      <w:pPr>
        <w:pStyle w:val="Heading3"/>
      </w:pPr>
      <w:r>
        <w:t>4.3  Stage Lifecycle — Eight-Stage Default (Compressible)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Identify</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profiled; sponsor assigned; mutual-fit memo approved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Executive</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Qualify</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Decision-maker identified; needs analysis complete; budget confirmed</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Executive</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Educate</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briefing delivered; architecture walkthrough complete</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Solutions Architect</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Assess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Due-diligence package delivered (Part 10); Q&amp;A log closed</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Solutions Architect + General Counsel</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Structure</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Participation structure agreed; Law Firm Client Account flow mapped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Agreement executed; KYC complete</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Onboard</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Capital Participation cycle completed; dashboard access provisioned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Expand</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Additional Enterprises co-onboarded; referral introduced; tier advancement discussed</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Executive</w:t>
            </w:r>
          </w:p>
        </w:tc>
      </w:tr>
    </w:tbl>
    <w:p>
      <w:pPr>
        <w:spacing w:after="120" w:line="240" w:lineRule="auto"/>
      </w:pPr>
    </w:p>
    <w:p>
      <w:pPr>
        <w:pStyle w:val="Heading3"/>
      </w:pPr>
      <w:r>
        <w:t>4.4  Document Library — Core Set</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Document</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Purpose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 Cadence</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Brief</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One-page statement of the constitutional model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Overview</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architecture; CRE; Ledger; Law Firm Client Account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 Opinion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Equity Unit classification; no-custody position</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on regulatory event</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Top institutional risks; mitigations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Matrix</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 SOC / PDPL / GDPR mapping</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Case Studies</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outcomes; lessons learned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Agreement</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Master participation instrument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 needed</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Due-Diligence Package Index</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Pointer to the eleven DD packages (Part 10)</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Solutions Architect</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bl>
    <w:p>
      <w:pPr>
        <w:spacing w:after="120" w:line="240" w:lineRule="auto"/>
      </w:pPr>
    </w:p>
    <w:p>
      <w:pPr>
        <w:pStyle w:val="Heading3"/>
      </w:pPr>
      <w:r>
        <w:t>4.5  Stage-Gate Checklist — ST6 Contract (Illustrative)</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Capital Partner Agreement reviewed by external counsel; redlines closed.</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KYC / KYB / sanctions screening completed and recorded.</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Source-of-funds documentation collected where applicable.</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Constitutional terminology acknowledgement signed.</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Law Firm Client Account routing confirmed with the partner Law Firm.</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CRE access credentials provisioned; Brain AI briefing scheduled.</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Equity Unit tax-position memo acknowledged by the Capital Partner.</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Founder + COO + General Counsel sign-off recorded in the Opportunity Pipeline (COO Recommendation R3).</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Sales Framework Authority  </w:t>
      </w:r>
      <w:r>
        <w:rPr>
          <w:rFonts w:ascii="Calibri" w:hAnsi="Calibri" w:cs="Calibri"/>
          <w:b w:val="0"/>
          <w:i/>
          <w:sz w:val="22"/>
          <w:szCs w:val="22"/>
        </w:rPr>
        <w:t xml:space="preserve">The Institutional Sales Framework is the single authoritative lifecycle for every institutional opportunity. No opportunity is advanced, paused, or closed-lost outside this framework. Every stage produces audit-grade evidence that is linked from the Opportunity Pipeline and surfaced in the Founder cockpit.</w:t>
      </w:r>
    </w:p>
    <w:p>
      <w:pPr>
        <w:pStyle w:val="Heading2"/>
      </w:pPr>
      <w:r>
        <w:t>Section 5 — International Expansion Office</w:t>
      </w:r>
    </w:p>
    <w:p>
      <w:pPr>
        <w:pStyle w:val="Heading3"/>
      </w:pPr>
      <w:r>
        <w:t>5.1  Overview</w:t>
      </w:r>
    </w:p>
    <w:p>
      <w:pPr>
        <w:spacing w:line="312" w:lineRule="auto" w:after="120"/>
        <w:ind w:firstLine="283"/>
        <w:jc w:val="both"/>
      </w:pPr>
      <w:r>
        <w:rPr>
          <w:rFonts w:ascii="Calibri" w:hAnsi="Calibri" w:cs="Calibri"/>
          <w:b w:val="0"/>
          <w:i w:val="0"/>
          <w:sz w:val="22"/>
          <w:szCs w:val="22"/>
        </w:rPr>
        <w:t xml:space="preserve">Part 5 stands up the International Expansion Office — the standing organisation that owns country entry, partner recruitment, government engagement, and operational deployment in every region. The Office is headed by a President, Global Institutional Launch, who reports to the COO and is a member of the Executive Committee. Six Regional Presidents (Egypt, GCC, Africa, Europe, Asia, Americas) report to the President, and each country in the Active Entry list has a Country Director. A Programme Management Office coordinates across regions and runs the Founder cockpit (Part 12).</w:t>
      </w:r>
    </w:p>
    <w:p>
      <w:pPr>
        <w:pStyle w:val="Heading3"/>
      </w:pPr>
      <w:r>
        <w:t>5.2  Organisation Structure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Role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Reports To</w:t>
            </w:r>
          </w:p>
        </w:tc>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Span of Control</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Primary Accountability</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Global Institutional Launch</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 Regional Presidents + PMO Director</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International deployment outcome</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Egypt</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Egypt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Domestic anchor execution</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GCC</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UAE / KSA / Qatar</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GCC region entry</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Africa</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NG / KE / ZA / MA</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Africa region entry</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Europe</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UK / CH / DE / LU</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Europe region entry</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Asia</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SG / IN / JP / KR</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Asia region entry</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Americas</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Directors in US / CA / BR / MX</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Americas region entry</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Director</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In-country team (Partnership, Customer Success, Operations)</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deployment outcome</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 — Global Expansion</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analysts (4 FTE)</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Cross-region coordination; cockpit</w:t>
            </w:r>
          </w:p>
        </w:tc>
      </w:tr>
    </w:tbl>
    <w:p>
      <w:pPr>
        <w:spacing w:after="120" w:line="240" w:lineRule="auto"/>
      </w:pPr>
    </w:p>
    <w:p>
      <w:pPr>
        <w:pStyle w:val="Heading3"/>
      </w:pPr>
      <w:r>
        <w:t>5.3  Country Director — Mandate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Reports to</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Direct reports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Lead; Customer Success Lead; Operations Lead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Primary KPI</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Score sustained ≥ 80 for two consecutive quarters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 partner MSAs up to defined threshold; commit local operating budget within approved envelope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rights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entry stage gates S1–S4 sign-off; S5–S6 require Regional President concurrence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Cadence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country review; bi-weekly regional review; monthly President review</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Escalation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 President GL → COO → Founder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Succession</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Deputy Country Director named within 90 days of activation</w:t>
            </w:r>
          </w:p>
        </w:tc>
      </w:tr>
    </w:tbl>
    <w:p>
      <w:pPr>
        <w:spacing w:after="120" w:line="240" w:lineRule="auto"/>
      </w:pPr>
    </w:p>
    <w:p>
      <w:pPr>
        <w:pStyle w:val="Heading3"/>
      </w:pPr>
      <w:r>
        <w:t>5.4  Programme Management Office — Functions</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Function</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Description</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Cross-region coordination</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Aligns country entry sequencing; resolves resource conflicts</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cockpit</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Owns the Global Deployment Dashboard (Part 12); prepares Founder briefings</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 weekly</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Maintains the cross-region risk register; tracks mitigations</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Stage-gate assurance</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Audits stage-gate exit criteria; verifies evidence</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stage-gate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 learned</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Captures and disseminates lessons across regions</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portfolio review</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Chairs the President-led portfolio review; produces board pack</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bl>
    <w:p>
      <w:pPr>
        <w:spacing w:after="120" w:line="240" w:lineRule="auto"/>
      </w:pPr>
    </w:p>
    <w:p>
      <w:pPr>
        <w:pStyle w:val="Heading3"/>
      </w:pPr>
      <w:r>
        <w:t>5.5  Office Operating Cadence</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Daily: Founder cockpit refresh; PMO standup.</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Weekly: Country review; regional review; PMO cross-region sync.</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Bi-weekly: Regional President sync with President GL.</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Monthly: President GL review with COO; lessons-learned forum.</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Quarterly: Portfolio review; Country Readiness Score recomputation; board pack.</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Semi-annual: Strategy offsite; partner portfolio review.</w:t>
      </w:r>
    </w:p>
    <w:p>
      <w:pPr>
        <w:pStyle w:val="ListParagraph"/>
        <w:spacing w:line="312" w:lineRule="auto" w:after="60"/>
        <w:ind w:left="360" w:hanging="240"/>
      </w:pPr>
      <w:r>
        <w:rPr>
          <w:rFonts w:ascii="Calibri" w:hAnsi="Calibri" w:cs="Calibri"/>
          <w:b/>
          <w:i w:val="0"/>
          <w:color w:val="9C7C1A"/>
          <w:sz w:val="22"/>
          <w:szCs w:val="22"/>
        </w:rPr>
        <w:t xml:space="preserve">•  </w:t>
      </w:r>
      <w:r>
        <w:rPr>
          <w:rFonts w:ascii="Calibri" w:hAnsi="Calibri" w:cs="Calibri"/>
          <w:b w:val="0"/>
          <w:i w:val="0"/>
          <w:sz w:val="22"/>
          <w:szCs w:val="22"/>
        </w:rPr>
        <w:t xml:space="preserve">Annual: Office operating plan; budget; talent plan.</w:t>
      </w:r>
    </w:p>
    <w:p>
      <w:pPr>
        <w:pStyle w:val="Heading2"/>
      </w:pPr>
      <w:r>
        <w:t>Section 6 — Alliance Management</w:t>
      </w:r>
    </w:p>
    <w:p>
      <w:pPr>
        <w:pStyle w:val="Heading3"/>
      </w:pPr>
      <w:r>
        <w:t>6.1  Overview</w:t>
      </w:r>
    </w:p>
    <w:p>
      <w:pPr>
        <w:spacing w:line="312" w:lineRule="auto" w:after="120"/>
        <w:ind w:firstLine="283"/>
        <w:jc w:val="both"/>
      </w:pPr>
      <w:r>
        <w:rPr>
          <w:rFonts w:ascii="Calibri" w:hAnsi="Calibri" w:cs="Calibri"/>
          <w:b w:val="0"/>
          <w:i w:val="0"/>
          <w:sz w:val="22"/>
          <w:szCs w:val="22"/>
        </w:rPr>
        <w:t xml:space="preserve">Part 6 codifies Alliance Management — the framework that governs every structured relationship AURIENTA forms with another institution beyond the standard partner lifecycle of Part 2. Alliances are deeper, longer, and strategically denser than partner relationships: they may involve joint ventures, joint go-to-market, joint research, joint standards work, or joint regulatory engagement. Six alliance instruments are defined, plus two referral programmes that extend alliance reach into the wider institutional ecosystem.</w:t>
      </w:r>
    </w:p>
    <w:p>
      <w:pPr>
        <w:pStyle w:val="Heading3"/>
      </w:pPr>
      <w:r>
        <w:t>6.2  Six Alliance Instruments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Instrument</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Approval Authority</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Term</w:t>
            </w:r>
          </w:p>
        </w:tc>
      </w:tr>
      <w:tr>
        <w:trPr>
          <w:cantSplit/>
        </w:trPr>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Joint Venture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Separate legal entity jointly owned by AURIENTA and one or more partners for a defined business purpose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General Counsel + Board</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5–10 years renewable</w:t>
            </w:r>
          </w:p>
        </w:tc>
      </w:tr>
      <w:tr>
        <w:trPr>
          <w:cantSplit/>
        </w:trPr>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Alliance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Bilateral agreement for joint go-to-market, joint solution development, or joint market access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3–5 years renewable</w:t>
            </w:r>
          </w:p>
        </w:tc>
      </w:tr>
      <w:tr>
        <w:trPr>
          <w:cantSplit/>
        </w:trPr>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Memorandum of Understanding</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Non-binding statement of intent to explore collaboration; precursor to a binding instrument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12 months</w:t>
            </w:r>
          </w:p>
        </w:tc>
      </w:tr>
      <w:tr>
        <w:trPr>
          <w:cantSplit/>
        </w:trPr>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Framework Agreement</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Master umbrella agreement under which specific Statements of Work are executed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COO</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years renewable</w:t>
            </w:r>
          </w:p>
        </w:tc>
      </w:tr>
      <w:tr>
        <w:trPr>
          <w:cantSplit/>
        </w:trPr>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Technology Alliance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Technical integration and joint roadmap with a technology partner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COO</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years renewable</w:t>
            </w:r>
          </w:p>
        </w:tc>
      </w:tr>
      <w:tr>
        <w:trPr>
          <w:cantSplit/>
        </w:trPr>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Academic Alliance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Joint research, curriculum, certification, and talent pipeline with a university</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President GL</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years renewable</w:t>
            </w:r>
          </w:p>
        </w:tc>
      </w:tr>
    </w:tbl>
    <w:p>
      <w:pPr>
        <w:spacing w:after="120" w:line="240" w:lineRule="auto"/>
      </w:pPr>
    </w:p>
    <w:p>
      <w:pPr>
        <w:pStyle w:val="Heading3"/>
      </w:pPr>
      <w:r>
        <w:t>6.3  Government-Specific Alliance Variant</w:t>
      </w:r>
    </w:p>
    <w:p>
      <w:pPr>
        <w:spacing w:line="312" w:lineRule="auto" w:after="120"/>
        <w:ind w:firstLine="283"/>
        <w:jc w:val="both"/>
      </w:pPr>
      <w:r>
        <w:rPr>
          <w:rFonts w:ascii="Calibri" w:hAnsi="Calibri" w:cs="Calibri"/>
          <w:b w:val="0"/>
          <w:i w:val="0"/>
          <w:sz w:val="22"/>
          <w:szCs w:val="22"/>
        </w:rPr>
        <w:t xml:space="preserve">A Government Alliance is a specialised Framework Agreement signed between AURIENTA and a government entity (Part 3 stakeholder types G8 through G11). It typically underpins a sovereign-cloud deployment, a national competitiveness programme, a talent-development initiative, or a regulatory pilot. Government Alliances require Founder + COO + General Counsel + Board approval and are subject to enhanced constitutional-terminology review.</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Instrument</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Alliance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General Counsel + Board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 term</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years renewable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Mandatory schedules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terminology; data sovereignty; audit access; termination; transition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Filed in Government Engagement Register (Part 3) and Alliance Register (this section)</w:t>
            </w:r>
          </w:p>
        </w:tc>
      </w:tr>
    </w:tbl>
    <w:p>
      <w:pPr>
        <w:spacing w:after="120" w:line="240" w:lineRule="auto"/>
      </w:pPr>
    </w:p>
    <w:p>
      <w:pPr>
        <w:pStyle w:val="Heading3"/>
      </w:pPr>
      <w:r>
        <w:t>6.4  Referral Partner Programme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Element</w:t>
            </w:r>
          </w:p>
        </w:tc>
        <w:tc>
          <w:tcPr>
            <w:tcW w:type="dxa" w:w="6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Specification</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Eligibility</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Law Firms, Accounting Firms, Big Four Advisory, Industry Associations, Universities</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Instrument</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Referral Partner Agreement (lighter than Strategic Alliance)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Mechanism</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Identified opportunity → qualified introduction → AURIENTA-led qualification → Capital Partner Agreement → referral fee</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Referral fee</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Percentage of Capital Participation value, capped annually, disclosed in advance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KYC / KYB on the referred party; constitutional-terminology acknowledgement; conflict check</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Term</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12 months renewable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 + General Counsel</w:t>
            </w:r>
          </w:p>
        </w:tc>
      </w:tr>
    </w:tbl>
    <w:p>
      <w:pPr>
        <w:spacing w:after="120" w:line="240" w:lineRule="auto"/>
      </w:pPr>
    </w:p>
    <w:p>
      <w:pPr>
        <w:pStyle w:val="Heading3"/>
      </w:pPr>
      <w:r>
        <w:t>6.5  Certified Partner Programme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Element</w:t>
            </w:r>
          </w:p>
        </w:tc>
        <w:tc>
          <w:tcPr>
            <w:tcW w:type="dxa" w:w="6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Specification</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Eligibility</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Technology integrators, ERP providers, cybersecurity firms, cloud consultancies</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Instrument</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Certified Partner Agreement (requires technical certification)</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 process</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Technical training (40h) + practicum + examination (pass mark 80%) + annual recertification</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Privileges</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Co-marketing; joint pipeline; AURIENTA certification badge; preferred-pricing tier</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KPI review; constitutional-terminology audit; annual recertification</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Term</w:t>
            </w:r>
          </w:p>
        </w:tc>
        <w:tc>
          <w:tcPr>
            <w:tcW w:type="dxa" w:w="6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12 months renewable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 + CTO</w:t>
            </w:r>
          </w:p>
        </w:tc>
      </w:tr>
    </w:tbl>
    <w:p>
      <w:pPr>
        <w:spacing w:after="120" w:line="240" w:lineRule="auto"/>
      </w:pPr>
    </w:p>
    <w:p>
      <w:pPr>
        <w:pStyle w:val="Heading3"/>
      </w:pPr>
      <w:r>
        <w:t>6.6  Alliance Lifecycle — Eight Stages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Fit</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Strategic-fit memo approved by President GL</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Selection</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Counterpart identified; sponsor assigned</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Term Sheet</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Term sheet initialled; commercial terms approved</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COO</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Contracting</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Agreement executed; kickoff scheduled</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Setup</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Joint operating model stood up; PMO integration complete</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Activation</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joint transaction / deliverable completed</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Steady-State Management</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Business Reviews; KPIs met; renewal plan</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 or Sunset</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Renewed; restructured; or sunset under transition plan</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Alliance Authority  </w:t>
      </w:r>
      <w:r>
        <w:rPr>
          <w:rFonts w:ascii="Calibri" w:hAnsi="Calibri" w:cs="Calibri"/>
          <w:b w:val="0"/>
          <w:i/>
          <w:sz w:val="22"/>
          <w:szCs w:val="22"/>
        </w:rPr>
        <w:t xml:space="preserve">Alliance Management is the single authoritative framework for every structured institutional relationship beyond the standard partner lifecycle. No alliance is formed, renewed, restructured, or sunset outside this framework. Every alliance is bound to the constitutional terminology standard and the Law Firm Client Account workflow where applicable.</w:t>
      </w:r>
    </w:p>
    <w:p>
      <w:pPr>
        <w:pStyle w:val="Heading2"/>
      </w:pPr>
      <w:r>
        <w:t>Section 7 — Institutional Communications</w:t>
      </w:r>
    </w:p>
    <w:p>
      <w:pPr>
        <w:pStyle w:val="Heading3"/>
      </w:pPr>
      <w:r>
        <w:t>7.1  Overview</w:t>
      </w:r>
    </w:p>
    <w:p>
      <w:pPr>
        <w:spacing w:line="312" w:lineRule="auto" w:after="120"/>
        <w:ind w:firstLine="283"/>
        <w:jc w:val="both"/>
      </w:pPr>
      <w:r>
        <w:rPr>
          <w:rFonts w:ascii="Calibri" w:hAnsi="Calibri" w:cs="Calibri"/>
          <w:b w:val="0"/>
          <w:i w:val="0"/>
          <w:sz w:val="22"/>
          <w:szCs w:val="22"/>
        </w:rPr>
        <w:t xml:space="preserve">Part 7 establishes the Institutional Communications framework that governs every external and internal communication AURIENTA produces. Six communication tracks are defined: executive, government, partner, Institutional Capital, media, and crisis. Each track has a defined audience, owner, cadence, tone, and constitutional positioning. A messaging hierarchy fixes the canonical narrative; a crisis-communications playbook governs the response to material adverse events.</w:t>
      </w:r>
    </w:p>
    <w:p>
      <w:pPr>
        <w:pStyle w:val="Heading3"/>
      </w:pPr>
      <w:r>
        <w:t>7.2  Six Communication Tracks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Track</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Audience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Primary Instrument</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COO, Board, ELT</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brief; monthly memo; quarterly review</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Briefing Pack</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Regulators; ministries; sovereign councils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Per-engagement cadence (Part 3)</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Pre-Read</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partners; pipeline partners</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partner newsletter; quarterly QBR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Briefing</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Capital</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Partners; pipeline Capital Partners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letter; quarterly review</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Capital Letter</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Media</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Press; analysts; industry observers</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Marketing Officer</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Reactive + proactive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Press Statement / Briefing</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audiences (tiered)</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 Communications Lead</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event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 Playbook</w:t>
            </w:r>
          </w:p>
        </w:tc>
      </w:tr>
    </w:tbl>
    <w:p>
      <w:pPr>
        <w:spacing w:after="120" w:line="240" w:lineRule="auto"/>
      </w:pPr>
    </w:p>
    <w:p>
      <w:pPr>
        <w:pStyle w:val="Heading3"/>
      </w:pPr>
      <w:r>
        <w:t>7.3  Messaging Hierarchy</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Tier</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Statement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Usage</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Tier 0 — Identity</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is constitutional infrastructure for enterprise ownership.</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external communication</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Tier 1 — Model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Zero-custody; AI-enforced governance; Equity Units; Law Firm Client Account; non-bank; non-coordination channel; non-institutional channel.</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Briefings; legal opinions; regulator pre-reads</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Tier 2 — Outcome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Everyday capital becomes real-economy corporate ownership under deterministic constitutional governance.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Marketing; partner briefings</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Tier 3 — Evidence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evidence; case studies; certifications; audit reports; partner letters.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 + CTO</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Due diligence; Institutional Capital letters</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Tier 4 — Trajectory</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Egypt → GCC → Africa → Europe → Asia → Americas; execution-led; evidence-driven.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International briefings; sovereign engagements</w:t>
            </w:r>
          </w:p>
        </w:tc>
      </w:tr>
    </w:tbl>
    <w:p>
      <w:pPr>
        <w:spacing w:after="120" w:line="240" w:lineRule="auto"/>
      </w:pPr>
    </w:p>
    <w:p>
      <w:pPr>
        <w:pStyle w:val="Heading3"/>
      </w:pPr>
      <w:r>
        <w:t>7.4  Constitutional Positioning — Standard Paragraph</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Standard Constitutional Positioning  </w:t>
      </w:r>
      <w:r>
        <w:rPr>
          <w:rFonts w:ascii="Calibri" w:hAnsi="Calibri" w:cs="Calibri"/>
          <w:b w:val="0"/>
          <w:i/>
          <w:sz w:val="22"/>
          <w:szCs w:val="22"/>
        </w:rPr>
        <w:t xml:space="preserve">AURIENTA is constitutional infrastructure that transforms everyday capital into real-economy corporate ownership under AI-enforced governance. AURIENTA is noncustodial: capital flows through a Law Firm Client Account held at a regulated banking institution. AURIENTA is non-bank, non-coordination channel, non-institutional channel, and non-Capital Formation. Equity Units are constitutional instruments of enterprise ownership, not securities. The Constitutional Runtime Engine enforces every governance rule deterministically. AURIENTA cooperates fully with every regulator in every jurisdiction in which it operates.</w:t>
      </w:r>
    </w:p>
    <w:p>
      <w:pPr>
        <w:pStyle w:val="Heading3"/>
      </w:pPr>
      <w:r>
        <w:t>7.5  Crisis Communications Playbook</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Phase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Action</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SLA</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 Detect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Incident reported; Crisis Lead engaged; Founder + COO notified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 Lead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1 hour</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 Assess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Materiality assessed; communications tier assigned; legal review</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 Lead + General Counsel</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4 hours</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 Coordinate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Cross-functional war room convened; holding statement approved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 hours</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 Communicate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Statement issued to affected audiences; media brief prepared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CMO + Crisis Lead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24 hours</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 Update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Hourly / daily updates until incident stabilised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Crisis Lead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cadence</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 Resolve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Closure statement; root-cause published; lessons learned filed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30 days</w:t>
            </w:r>
          </w:p>
        </w:tc>
      </w:tr>
    </w:tbl>
    <w:p>
      <w:pPr>
        <w:spacing w:after="120" w:line="240" w:lineRule="auto"/>
      </w:pPr>
    </w:p>
    <w:p>
      <w:pPr>
        <w:pStyle w:val="Heading3"/>
      </w:pPr>
      <w:r>
        <w:t>7.6  Communications Governance</w:t>
      </w:r>
    </w:p>
    <w:p>
      <w:pPr>
        <w:spacing w:line="312" w:lineRule="auto" w:after="120"/>
        <w:ind w:firstLine="283"/>
        <w:jc w:val="both"/>
      </w:pPr>
      <w:r>
        <w:rPr>
          <w:rFonts w:ascii="Calibri" w:hAnsi="Calibri" w:cs="Calibri"/>
          <w:b w:val="0"/>
          <w:i w:val="0"/>
          <w:sz w:val="22"/>
          <w:szCs w:val="22"/>
        </w:rPr>
        <w:t xml:space="preserve">Every external communication is subject to constitutional-terminology review by the General Counsel's office. Communications classified as Tier 0 or Tier 1 require Founder sign-off. Communications classified as Crisis require Founder + COO + General Counsel sign-off. All communications are archived in the Institutional Evidence Repository (PE WS9) and surfaced in the Institutional Trust Center (Part 11).</w:t>
      </w:r>
    </w:p>
    <w:p>
      <w:pPr>
        <w:pStyle w:val="Heading2"/>
      </w:pPr>
      <w:r>
        <w:t>Section 8 — Global Events Framework</w:t>
      </w:r>
    </w:p>
    <w:p>
      <w:pPr>
        <w:pStyle w:val="Heading3"/>
      </w:pPr>
      <w:r>
        <w:t>8.1  Overview</w:t>
      </w:r>
    </w:p>
    <w:p>
      <w:pPr>
        <w:spacing w:line="312" w:lineRule="auto" w:after="120"/>
        <w:ind w:firstLine="283"/>
        <w:jc w:val="both"/>
      </w:pPr>
      <w:r>
        <w:rPr>
          <w:rFonts w:ascii="Calibri" w:hAnsi="Calibri" w:cs="Calibri"/>
          <w:b w:val="0"/>
          <w:i w:val="0"/>
          <w:sz w:val="22"/>
          <w:szCs w:val="22"/>
        </w:rPr>
        <w:t xml:space="preserve">Part 8 sets out the Global Events Framework that governs AURIENTA's participation in and hosting of institutional events. The framework covers ten event types, distinguishes a participation strategy from a hosting strategy, and binds every event to constitutional positioning, evidence capture, and a measurable return-on-engagement metric. Events are a capital-formation instrument, not a marketing expense: every event must produce a documented institutional outcome (a meeting, a letter of intent, a partner introduction, a media placement, or a regulator engagement).</w:t>
      </w:r>
    </w:p>
    <w:p>
      <w:pPr>
        <w:pStyle w:val="Heading3"/>
      </w:pPr>
      <w:r>
        <w:t>8.2  Ten Event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Event Type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Participation Strategy</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Hosting Strategy</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Outcome Metric</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 Government Summit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Founder-level attendance; bilateral meetings; pre-read delivery</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with sovereign counterpart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Meetings secured; letters of intent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World Bank / IMF Annual</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DFI pipeline development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side-event on constitutional infrastructure</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DFI pipeline additions</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Central Bank Forum</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attendance; positioning paper delivery</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Not hosted (observer status)</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 follow-ups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Big Four Annual Conference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CMO + COO; partnership signalling</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C-suite dinner</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pipeline additions</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University Convocation / Research Day</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President GL; research partnership signalling</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academic roundtable</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Academic alliance MoUs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Industry Association Congress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Sector lead attendance; standards committee participation</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Host sector workshop</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Sector pipeline additions</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Capital Conference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 Capital Partner pipeline development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Capital Partner dinner</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pipeline additions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Cybersecurity / Standards Conference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attendance; standards contribution</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Host standards workshop</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Standards contributions; KPI</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Technology / Cloud Summit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attendance; technical positioning</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Co-host technical track</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Technology alliance pipeline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Annual Constitutional Forum</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 (owned event)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Host flagship event; invite-only</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All-of-the-above; brand equity</w:t>
            </w:r>
          </w:p>
        </w:tc>
      </w:tr>
    </w:tbl>
    <w:p>
      <w:pPr>
        <w:spacing w:after="120" w:line="240" w:lineRule="auto"/>
      </w:pPr>
    </w:p>
    <w:p>
      <w:pPr>
        <w:pStyle w:val="Heading3"/>
      </w:pPr>
      <w:r>
        <w:t>8.3  Participation Decision Framework</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criterion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Weight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positioning opportunity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30%</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pipeline development</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25%</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 government engagement value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Media / analyst exposure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Cost (incl. opportunity cost)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 (negative weight)</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Minimum score to participate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65 / 100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CMO + President GL; Founder for E1, E2, E10</w:t>
            </w:r>
          </w:p>
        </w:tc>
      </w:tr>
    </w:tbl>
    <w:p>
      <w:pPr>
        <w:spacing w:after="120" w:line="240" w:lineRule="auto"/>
      </w:pPr>
    </w:p>
    <w:p>
      <w:pPr>
        <w:pStyle w:val="Heading3"/>
      </w:pPr>
      <w:r>
        <w:t>8.4  Hosting Decision Framework</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criterion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Weight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Brand equity uplift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30%</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Owned audience (vs. rented)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25%</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Evidence-capture opportunity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 partner co-host availability</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Cost (incl. opportunity cost)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(negative weight)</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Minimum score to host</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75 / 100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Board for E10</w:t>
            </w:r>
          </w:p>
        </w:tc>
      </w:tr>
    </w:tbl>
    <w:p>
      <w:pPr>
        <w:spacing w:after="120" w:line="240" w:lineRule="auto"/>
      </w:pPr>
    </w:p>
    <w:p>
      <w:pPr>
        <w:pStyle w:val="Heading3"/>
      </w:pPr>
      <w:r>
        <w:t>8.5  Evidence Capture — Standard</w:t>
      </w:r>
    </w:p>
    <w:p>
      <w:pPr>
        <w:spacing w:line="312" w:lineRule="auto" w:after="120"/>
        <w:ind w:firstLine="283"/>
        <w:jc w:val="both"/>
      </w:pPr>
      <w:r>
        <w:rPr>
          <w:rFonts w:ascii="Calibri" w:hAnsi="Calibri" w:cs="Calibri"/>
          <w:b w:val="0"/>
          <w:i w:val="0"/>
          <w:sz w:val="22"/>
          <w:szCs w:val="22"/>
        </w:rPr>
        <w:t xml:space="preserve">Every event — whether attended or hosted — produces a standard evidence package: attendee list, meetings held (with consents), letters of intent or follow-up commitments, photographs (with consents), media placements, and a return-on-engagement memo. The evidence package is filed in the Institutional Evidence Repository (PE WS9) and surfaced in the Founder cockpit events panel.</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Events Authority  </w:t>
      </w:r>
      <w:r>
        <w:rPr>
          <w:rFonts w:ascii="Calibri" w:hAnsi="Calibri" w:cs="Calibri"/>
          <w:b w:val="0"/>
          <w:i/>
          <w:sz w:val="22"/>
          <w:szCs w:val="22"/>
        </w:rPr>
        <w:t xml:space="preserve">The Global Events Framework is the single authoritative framework for every AURIENTA event. No event is attended or hosted outside this framework. Every event must produce a documented institutional outcome and an audit-grade evidence package.</w:t>
      </w:r>
    </w:p>
    <w:p>
      <w:pPr>
        <w:pStyle w:val="Heading2"/>
      </w:pPr>
      <w:r>
        <w:t>Section 9 — International Certifications Roadmap</w:t>
      </w:r>
    </w:p>
    <w:p>
      <w:pPr>
        <w:pStyle w:val="Heading3"/>
      </w:pPr>
      <w:r>
        <w:t>9.1  Overview</w:t>
      </w:r>
    </w:p>
    <w:p>
      <w:pPr>
        <w:spacing w:line="312" w:lineRule="auto" w:after="120"/>
        <w:ind w:firstLine="283"/>
        <w:jc w:val="both"/>
      </w:pPr>
      <w:r>
        <w:rPr>
          <w:rFonts w:ascii="Calibri" w:hAnsi="Calibri" w:cs="Calibri"/>
          <w:b w:val="0"/>
          <w:i w:val="0"/>
          <w:sz w:val="22"/>
          <w:szCs w:val="22"/>
        </w:rPr>
        <w:t xml:space="preserve">Part 9 lays out the International Certifications roadmap that closes the institutional credibility gap between AURIENTA and the global procurement standards expected by sovereign, multilateral, and Fortune-500 counterparts. Eight certification families are defined, each with a current-state self-assessment, a target state, an estimated timeline, an owner, and an evidence repository. The roadmap is synchronised with PH-ER v1.0 Workstream 9 (Compliance Evidence) and PE v1.0 Workstream 12 (Institutional Readiness Reassessment).</w:t>
      </w:r>
    </w:p>
    <w:p>
      <w:pPr>
        <w:pStyle w:val="Heading3"/>
      </w:pPr>
      <w:r>
        <w:t>9.2  Eight Certification Families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Family</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Specific Certifications</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Current State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Management Systems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27001 (InfoSec); ISO 22301 (BCM); ISO 27701 (Privacy); ISO 42001 (AI)</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Self-assessed 46/100</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27001 by 2027 Q3; others by 2028 Q2</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Chief Compliance Officer</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Type II; SOC 3</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Self-assessed 46/100; Type I readiness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Type II by 2027 Q3</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Big Four partner</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CSA</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CSA STAR Level 2 (Audited)</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Not started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CSA STAR L2 by 2028 Q1</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OWASP</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OWASP ASVS L2; OWASP MASVS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Self-assessed against ASVS L1</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ASVS L2 by 2027 Q2; MASVS by 2027 Q4</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Cloud</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Provider-specific (AWS / Azure / GCP) well-architected; sovereignty tiers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Self-assessed on primary provider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Well-architected validated by 2027 Q2; sovereignty tier documented by 2027 Q4</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Country-specific (e.g., EU Cybersecurity Act; KSA NCA; SG CSA; US FedRAMP-adjacent)</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Not started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Per-country as entry sequence advances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General Counsel</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programme certifications (Big Four; ERP; cloud)</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Selected partner programmes in progress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Three priority partner certifications by 2028 Q1</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Partnership Office</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Professional</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Staff professional certifications (CISSP; CISA; CISM; ISO 27001 LA; PMP)</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Mixed across staff</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100% of senior staff hold ≥ 1 relevant certification by 2028 Q1</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 + CISO</w:t>
            </w:r>
          </w:p>
        </w:tc>
      </w:tr>
    </w:tbl>
    <w:p>
      <w:pPr>
        <w:spacing w:after="120" w:line="240" w:lineRule="auto"/>
      </w:pPr>
    </w:p>
    <w:p>
      <w:pPr>
        <w:pStyle w:val="Heading3"/>
      </w:pPr>
      <w:r>
        <w:t>9.3  Certification Evidence Repository</w:t>
      </w:r>
    </w:p>
    <w:p>
      <w:pPr>
        <w:spacing w:line="312" w:lineRule="auto" w:after="120"/>
        <w:ind w:firstLine="283"/>
        <w:jc w:val="both"/>
      </w:pPr>
      <w:r>
        <w:rPr>
          <w:rFonts w:ascii="Calibri" w:hAnsi="Calibri" w:cs="Calibri"/>
          <w:b w:val="0"/>
          <w:i w:val="0"/>
          <w:sz w:val="22"/>
          <w:szCs w:val="22"/>
        </w:rPr>
        <w:t xml:space="preserve">Every certification produces a structured evidence repository: the certificate itself; the audit report; the control matrix; the remediation log; the surveillance-audit cadence; and the renewal calendar. The repository is held in the Institutional Evidence Repository (PE WS9), linked from the Institutional Trust Center (Part 11), and surfaced in the certifications panel of the Founder cockpit (Part 12).</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 custodian</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Storage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Evidence Repository (PE WS9)</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Role-based; General Counsel approval for external release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certification body requirement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 calendar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Maintained by PMO; reviewed monthly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disclosure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Via Institutional Trust Center (Part 11)</w:t>
            </w:r>
          </w:p>
        </w:tc>
      </w:tr>
    </w:tbl>
    <w:p>
      <w:pPr>
        <w:spacing w:after="120" w:line="240" w:lineRule="auto"/>
      </w:pPr>
    </w:p>
    <w:p>
      <w:pPr>
        <w:pStyle w:val="Heading3"/>
      </w:pPr>
      <w:r>
        <w:t>9.4  Certification Capital Participation Envelope</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Family</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Year-1 Spend</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Year-2 Spend</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Year-3 Spend</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Management Systems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 remediation</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 + new certs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Type I + Type II Year-1</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CSA</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Gap assessment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STAR L2 audit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Surveillance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OWASP</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assessment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 validation</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refresh</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Cloud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Well-architected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Sovereignty tier documentation</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refresh</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Country-specific (per entry sequence)</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Country-specific</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Country-specific</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GC</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Selected programmes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Selected programmes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Partnership</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Professional</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Training + exam fees</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Training + exam fees</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Continuing ed</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 + CISO</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Certifications Authority  </w:t>
      </w:r>
      <w:r>
        <w:rPr>
          <w:rFonts w:ascii="Calibri" w:hAnsi="Calibri" w:cs="Calibri"/>
          <w:b w:val="0"/>
          <w:i/>
          <w:sz w:val="22"/>
          <w:szCs w:val="22"/>
        </w:rPr>
        <w:t xml:space="preserve">The International Certifications Roadmap is the single authoritative framework for every AURIENTA certification. No certification is pursued outside this roadmap. Every certification produces audit-grade evidence that is linked from the Institutional Trust Center and surfaced in the Founder cockpit.</w:t>
      </w:r>
    </w:p>
    <w:p>
      <w:pPr>
        <w:pStyle w:val="Heading2"/>
      </w:pPr>
      <w:r>
        <w:t>Section 10 — Institutional Due Diligence Center</w:t>
      </w:r>
    </w:p>
    <w:p>
      <w:pPr>
        <w:pStyle w:val="Heading3"/>
      </w:pPr>
      <w:r>
        <w:t>10.1  Overview</w:t>
      </w:r>
    </w:p>
    <w:p>
      <w:pPr>
        <w:spacing w:line="312" w:lineRule="auto" w:after="120"/>
        <w:ind w:firstLine="283"/>
        <w:jc w:val="both"/>
      </w:pPr>
      <w:r>
        <w:rPr>
          <w:rFonts w:ascii="Calibri" w:hAnsi="Calibri" w:cs="Calibri"/>
          <w:b w:val="0"/>
          <w:i w:val="0"/>
          <w:sz w:val="22"/>
          <w:szCs w:val="22"/>
        </w:rPr>
        <w:t xml:space="preserve">Part 10 builds the Institutional Due Diligence Center — the standing library of due-diligence packages that AURIENTA makes available to institutional Capital Partners, government counterparts, and partner institutions. Eleven due-diligence packages are defined, each with a package owner, a refresh cadence, an access classification, and a version-controlled repository. The Center supersedes the due-diligence pack reference in ACS v1.0 Section 14 by extending it to international deployment and binding every package to the constitutional terminology standard.</w:t>
      </w:r>
    </w:p>
    <w:p>
      <w:pPr>
        <w:pStyle w:val="Heading3"/>
      </w:pPr>
      <w:r>
        <w:t>10.2  Eleven Due-Diligence Packages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Package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Contents (Summary)</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 Cadence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CRE; Equity Unit classification; legal opinion</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GC</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on amendment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&amp; Legal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structure; board; licenses; litigation register</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Audited financials; capitalisation table; financial forecast</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Tax</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Tax-position memos; transfer-pricing; VAT analysis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on tax event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Management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 mitigation matrix; insurance schedule</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Information Security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27001 readiness; SOC 2 readiness; pen-test reports; IR plan</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Privacy &amp; Data Protection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PDPL / GDPR mapping; DPIA; cross-border transfer register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Privacy Officer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Technology &amp; Architecture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architecture; CRE spec; Law Firm Client Account flow; disaster recovery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&amp; Regulatory</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matrix; regulator engagement log; enforcement register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AOS v1.0; ACS v1.0; PH-ER v1.0; PE v1.0; SLAs; runbooks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Sustainability &amp; Impact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Impact thesis; impact evidence; ESG positioning</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CMO + Founder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bl>
    <w:p>
      <w:pPr>
        <w:spacing w:after="120" w:line="240" w:lineRule="auto"/>
      </w:pPr>
    </w:p>
    <w:p>
      <w:pPr>
        <w:pStyle w:val="Heading3"/>
      </w:pPr>
      <w:r>
        <w:t>10.3  Access Classification</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Tier</w:t>
            </w:r>
          </w:p>
        </w:tc>
        <w:tc>
          <w:tcPr>
            <w:tcW w:type="dxa" w:w="2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Audience</w:t>
            </w:r>
          </w:p>
        </w:tc>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Approval</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Delivery Channel</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w:t>
            </w:r>
          </w:p>
        </w:tc>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Anyone</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Auto-approved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Trust Center (Part 11)</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Registered</w:t>
            </w:r>
          </w:p>
        </w:tc>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Identified institutional Counterpart</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 approval</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Secure portal with NDA click-through</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2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Signed Capital Partner or sovereign Counterpart</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approval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Secure portal with NDA + watermark</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2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regulators under formal process</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 approval</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Physical or sealed digital delivery</w:t>
            </w:r>
          </w:p>
        </w:tc>
      </w:tr>
    </w:tbl>
    <w:p>
      <w:pPr>
        <w:spacing w:after="120" w:line="240" w:lineRule="auto"/>
      </w:pPr>
    </w:p>
    <w:p>
      <w:pPr>
        <w:pStyle w:val="Heading3"/>
      </w:pPr>
      <w:r>
        <w:t>10.4  Package Build &amp; Maintenance Standard</w:t>
      </w:r>
    </w:p>
    <w:p>
      <w:pPr>
        <w:spacing w:line="312" w:lineRule="auto" w:after="120"/>
        <w:ind w:firstLine="283"/>
        <w:jc w:val="both"/>
      </w:pPr>
      <w:r>
        <w:rPr>
          <w:rFonts w:ascii="Calibri" w:hAnsi="Calibri" w:cs="Calibri"/>
          <w:b w:val="0"/>
          <w:i w:val="0"/>
          <w:sz w:val="22"/>
          <w:szCs w:val="22"/>
        </w:rPr>
        <w:t xml:space="preserve">Every package follows the same build-and-maintain standard. A package owner is named for each package; a deputy is named; a refresh cadence is fixed; a version-controlled repository is established; a change-log is maintained; and an annual independent review is conducted by the General Counsel's office. Package access is logged in the Institutional Evidence Repository (PE WS9).</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Due Diligence Center (this section)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Version control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Semantic versioning; change-log mandatory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 cadence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package (see table 10.2)</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review</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Independent review by General Counsel's office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 logging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package accesses logged; reviewed monthly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disclosure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Public-tier packages surfaced via Trust Center (Part 11)</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DD Center Authority  </w:t>
      </w:r>
      <w:r>
        <w:rPr>
          <w:rFonts w:ascii="Calibri" w:hAnsi="Calibri" w:cs="Calibri"/>
          <w:b w:val="0"/>
          <w:i/>
          <w:sz w:val="22"/>
          <w:szCs w:val="22"/>
        </w:rPr>
        <w:t xml:space="preserve">The Institutional Due Diligence Center is the single authoritative library of due-diligence packages. No due-diligence material is delivered outside this Center. Every package is version-controlled, owner-named, and audit-logged.</w:t>
      </w:r>
    </w:p>
    <w:p>
      <w:pPr>
        <w:pStyle w:val="Heading2"/>
      </w:pPr>
      <w:r>
        <w:t>Section 11 — Institutional Trust Center</w:t>
      </w:r>
    </w:p>
    <w:p>
      <w:pPr>
        <w:pStyle w:val="Heading3"/>
      </w:pPr>
      <w:r>
        <w:t>11.1  Overview</w:t>
      </w:r>
    </w:p>
    <w:p>
      <w:pPr>
        <w:spacing w:line="312" w:lineRule="auto" w:after="120"/>
        <w:ind w:firstLine="283"/>
        <w:jc w:val="both"/>
      </w:pPr>
      <w:r>
        <w:rPr>
          <w:rFonts w:ascii="Calibri" w:hAnsi="Calibri" w:cs="Calibri"/>
          <w:b w:val="0"/>
          <w:i w:val="0"/>
          <w:sz w:val="22"/>
          <w:szCs w:val="22"/>
        </w:rPr>
        <w:t xml:space="preserve">Part 11 publishes the Institutional Trust Center — the public-facing transparency surface that makes AURIENTA's constitutional posture, governance, risk, security, compliance, architecture, certifications, and evidence visible to every institutional Counterpart. The Trust Center is the single public interface for institutional credibility: every claim AURIENTA makes externally must be backed by an artefact published on (or linked from) the Trust Center. The Trust Center is owned by the General Counsel's office and operated by the CTO.</w:t>
      </w:r>
    </w:p>
    <w:p>
      <w:pPr>
        <w:pStyle w:val="Heading3"/>
      </w:pPr>
      <w:r>
        <w:t>11.2  Trust Center Sections — Eight Pillars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Pillar</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Contents</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 Cadence</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Constitutional Council; amendment history; voting record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change</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Top institutional risks; risk register (public subset); insurance schedule</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27001 / SOC 2 status; pen-test summaries; IR posture; vulnerability disclosure policy</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matrix (public subset); regulator engagement log (public subset); enforcement register</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architecture overview; CRE; Ledger; Law Firm Client Account flow (diagrams only)</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Certificate register; surveillance-audit calendar; renewal status</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change</w:t>
            </w:r>
          </w:p>
        </w:tc>
      </w:tr>
      <w:tr>
        <w:trPr>
          <w:cantSplit/>
        </w:trPr>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Case studies; pilot outcomes; lessons learned (sanitised); partner letters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Posture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Uptime; SLA attainment; incident register (public subset)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bl>
    <w:p>
      <w:pPr>
        <w:spacing w:after="120" w:line="240" w:lineRule="auto"/>
      </w:pPr>
    </w:p>
    <w:p>
      <w:pPr>
        <w:pStyle w:val="Heading3"/>
      </w:pPr>
      <w:r>
        <w:t>11.3  Trust Center Access Policy</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Default access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no registration required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Registered tier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Email verification; access to extended case studies and partner letters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tier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NDA + General Counsel approval; access via Due Diligence Center (Part 10)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 tier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Not published; available only under formal regulatory process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Operator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Editorial control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Chief Compliance Officer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Disclosure log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Trust Center publications logged; reviewed monthly</w:t>
            </w:r>
          </w:p>
        </w:tc>
      </w:tr>
    </w:tbl>
    <w:p>
      <w:pPr>
        <w:spacing w:after="120" w:line="240" w:lineRule="auto"/>
      </w:pPr>
    </w:p>
    <w:p>
      <w:pPr>
        <w:pStyle w:val="Heading3"/>
      </w:pPr>
      <w:r>
        <w:t>11.4  Constitutional Positioning on the Trust Center</w:t>
      </w:r>
    </w:p>
    <w:p>
      <w:pPr>
        <w:spacing w:line="312" w:lineRule="auto" w:after="120"/>
        <w:ind w:firstLine="283"/>
        <w:jc w:val="both"/>
      </w:pPr>
      <w:r>
        <w:rPr>
          <w:rFonts w:ascii="Calibri" w:hAnsi="Calibri" w:cs="Calibri"/>
          <w:b w:val="0"/>
          <w:i w:val="0"/>
          <w:sz w:val="22"/>
          <w:szCs w:val="22"/>
        </w:rPr>
        <w:t xml:space="preserve">The Trust Center is constitutionally positioned as AURIENTA's standing transparency commitment. AURIENTA does not publish marketing claims on the Trust Center; it publishes evidence. Every published artefact is version-controlled, owner-named, and audit-logged. The Trust Center is the surface against which every external claim by AURIENTA — in any communication track (Part 7), in any event (Part 8), in any due-diligence package (Part 10) — must be reconcilable.</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Trust Center Authority  </w:t>
      </w:r>
      <w:r>
        <w:rPr>
          <w:rFonts w:ascii="Calibri" w:hAnsi="Calibri" w:cs="Calibri"/>
          <w:b w:val="0"/>
          <w:i/>
          <w:sz w:val="22"/>
          <w:szCs w:val="22"/>
        </w:rPr>
        <w:t xml:space="preserve">The Institutional Trust Center is the single authoritative public transparency surface for AURIENTA. Every external claim must be backed by an artefact published on (or linked from) the Trust Center. The Trust Center is owned by the General Counsel's office and operated by the CTO; no artefact is published, modified, or withdrawn without General Counsel sign-off.</w:t>
      </w:r>
    </w:p>
    <w:p>
      <w:pPr>
        <w:pStyle w:val="Heading2"/>
      </w:pPr>
      <w:r>
        <w:t>Section 12 — Global Deployment Dashboard (Founder Cockpit)</w:t>
      </w:r>
    </w:p>
    <w:p>
      <w:pPr>
        <w:pStyle w:val="Heading3"/>
      </w:pPr>
      <w:r>
        <w:t>12.1  Overview</w:t>
      </w:r>
    </w:p>
    <w:p>
      <w:pPr>
        <w:spacing w:line="312" w:lineRule="auto" w:after="120"/>
        <w:ind w:firstLine="283"/>
        <w:jc w:val="both"/>
      </w:pPr>
      <w:r>
        <w:rPr>
          <w:rFonts w:ascii="Calibri" w:hAnsi="Calibri" w:cs="Calibri"/>
          <w:b w:val="0"/>
          <w:i w:val="0"/>
          <w:sz w:val="22"/>
          <w:szCs w:val="22"/>
        </w:rPr>
        <w:t xml:space="preserve">Part 12 delivers the Global Deployment Dashboard — the Founder cockpit that consolidates every signal from Parts 1 through 11 into a single operational surface. The dashboard is the instrument by which the Founder, the COO, the President Global Institutional Launch, and the Executive Committee monitor and steer international deployment. Ten panels are defined; each panel has a defined owner, refresh cadence, alert threshold, and drill-down. The dashboard is operated by the PMO Director and reviewed daily by the President GL, weekly by the COO, and monthly by the Founder.</w:t>
      </w:r>
    </w:p>
    <w:p>
      <w:pPr>
        <w:pStyle w:val="Heading3"/>
      </w:pPr>
      <w:r>
        <w:t>12.2  Ten Panels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Panel</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Contents</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Alert Threshold</w:t>
            </w:r>
          </w:p>
        </w:tc>
      </w:tr>
      <w:tr>
        <w:trPr>
          <w:cantSplit/>
        </w:trPr>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 Countries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Entry list; Country Readiness Scores; stage-gate status; retirement watch</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Score &lt; 50</w:t>
            </w:r>
          </w:p>
        </w:tc>
      </w:tr>
      <w:tr>
        <w:trPr>
          <w:cantSplit/>
        </w:trPr>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 Partners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Sixteen partner types; lifecycle stage; KPI status; renewal calendar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KPI miss</w:t>
            </w:r>
          </w:p>
        </w:tc>
      </w:tr>
      <w:tr>
        <w:trPr>
          <w:cantSplit/>
        </w:trPr>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 Governments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Eleven stakeholder types; engagement status; next meeting; sunset criteria</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 paused</w:t>
            </w:r>
          </w:p>
        </w:tc>
      </w:tr>
      <w:tr>
        <w:trPr>
          <w:cantSplit/>
        </w:trPr>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 Pipeline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pipeline by segment (S1-S9); stage; expected close; value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Stage slip</w:t>
            </w:r>
          </w:p>
        </w:tc>
      </w:tr>
      <w:tr>
        <w:trPr>
          <w:cantSplit/>
        </w:trPr>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 Certifications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Eight certification families; status; surveillance calendar; renewal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 &lt; 90 days</w:t>
            </w:r>
          </w:p>
        </w:tc>
      </w:tr>
      <w:tr>
        <w:trPr>
          <w:cantSplit/>
        </w:trPr>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 Capital Formation</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Participation value by region; cohort; Enterprise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Cohort &lt; 50% of plan</w:t>
            </w:r>
          </w:p>
        </w:tc>
      </w:tr>
      <w:tr>
        <w:trPr>
          <w:cantSplit/>
        </w:trPr>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P7 Evidence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Evidence Repository status; new artefacts; access log</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 anomaly</w:t>
            </w:r>
          </w:p>
        </w:tc>
      </w:tr>
      <w:tr>
        <w:trPr>
          <w:cantSplit/>
        </w:trPr>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P8 Risk</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Cross-region risk register; mitigations; incidents; crisis status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Critical incident</w:t>
            </w:r>
          </w:p>
        </w:tc>
      </w:tr>
      <w:tr>
        <w:trPr>
          <w:cantSplit/>
        </w:trPr>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P9 Expansion</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Expansion sequencing status; phase gates; regional President status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slip</w:t>
            </w:r>
          </w:p>
        </w:tc>
      </w:tr>
      <w:tr>
        <w:trPr>
          <w:cantSplit/>
        </w:trPr>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P10 Mission Control</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All-of-the-above rollup; alerts; founder-priority items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panel rules</w:t>
            </w:r>
          </w:p>
        </w:tc>
      </w:tr>
    </w:tbl>
    <w:p>
      <w:pPr>
        <w:spacing w:after="120" w:line="240" w:lineRule="auto"/>
      </w:pPr>
    </w:p>
    <w:p>
      <w:pPr>
        <w:pStyle w:val="Heading3"/>
      </w:pPr>
      <w:r>
        <w:t>12.3  Mission Control — Founder Priority Items</w:t>
      </w:r>
    </w:p>
    <w:p>
      <w:pPr>
        <w:spacing w:line="312" w:lineRule="auto" w:after="120"/>
        <w:ind w:firstLine="283"/>
        <w:jc w:val="both"/>
      </w:pPr>
      <w:r>
        <w:rPr>
          <w:rFonts w:ascii="Calibri" w:hAnsi="Calibri" w:cs="Calibri"/>
          <w:b w:val="0"/>
          <w:i w:val="0"/>
          <w:sz w:val="22"/>
          <w:szCs w:val="22"/>
        </w:rPr>
        <w:t xml:space="preserve">The Mission Control panel is the Founder's standing view. It surfaces, in priority order, every item that requires Founder attention: country entries above stage-gate threshold, partner relationships above approval authority, government engagements above General Counsel authority, certifications above CISO authority, capital formations above COO authority, and any incident classified as critical. The Mission Control panel is the only dashboard surface the Founder is required to review daily; all other panels are reviewed on their stated cadence.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reviewer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reviewer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reviewer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reviewer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(via President GL pack)</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Alert mechanism</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Email + dashboard banner; SLA per panel rules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Drill-down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panel cell drills to underlying evidence in PE WS9</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Archive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snapshot archived for 7 years</w:t>
            </w:r>
          </w:p>
        </w:tc>
      </w:tr>
    </w:tbl>
    <w:p>
      <w:pPr>
        <w:spacing w:after="120" w:line="240" w:lineRule="auto"/>
      </w:pPr>
    </w:p>
    <w:p>
      <w:pPr>
        <w:pStyle w:val="Heading3"/>
      </w:pPr>
      <w:r>
        <w:t>12.4  Dashboard Governance</w:t>
      </w:r>
    </w:p>
    <w:p>
      <w:pPr>
        <w:spacing w:line="312" w:lineRule="auto" w:after="120"/>
        <w:ind w:firstLine="283"/>
        <w:jc w:val="both"/>
      </w:pPr>
      <w:r>
        <w:rPr>
          <w:rFonts w:ascii="Calibri" w:hAnsi="Calibri" w:cs="Calibri"/>
          <w:b w:val="0"/>
          <w:i w:val="0"/>
          <w:sz w:val="22"/>
          <w:szCs w:val="22"/>
        </w:rPr>
        <w:t xml:space="preserve">The Global Deployment Dashboard is governed by the PMO Director under the President GL. Every panel has a documented data source, transformation logic, refresh cadence, alert threshold, and escalation path. The dashboard is audited quarterly by the Internal Audit function and reviewed annually by the External Auditors as part of the SOC 2 / ISO 27001 surveillance.</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Founder Cockpit Authority  </w:t>
      </w:r>
      <w:r>
        <w:rPr>
          <w:rFonts w:ascii="Calibri" w:hAnsi="Calibri" w:cs="Calibri"/>
          <w:b w:val="0"/>
          <w:i/>
          <w:sz w:val="22"/>
          <w:szCs w:val="22"/>
        </w:rPr>
        <w:t xml:space="preserve">The Global Deployment Dashboard is the single authoritative Founder cockpit for international deployment. Every signal from Parts 1 through 11 is consolidated into the ten panels. No panel may be modified, retired, or added without President GL + COO + Founder sign-off recorded in the PMO change-log.</w:t>
      </w:r>
    </w:p>
    <w:p>
      <w:pPr>
        <w:pStyle w:val="Heading2"/>
      </w:pPr>
      <w:r>
        <w:t>Section 13 — COO Additional Recommendations</w:t>
      </w:r>
    </w:p>
    <w:p>
      <w:pPr>
        <w:pStyle w:val="Heading3"/>
      </w:pPr>
      <w:r>
        <w:t>13.1  Overview</w:t>
      </w:r>
    </w:p>
    <w:p>
      <w:pPr>
        <w:spacing w:line="312" w:lineRule="auto" w:after="120"/>
        <w:ind w:firstLine="283"/>
        <w:jc w:val="both"/>
      </w:pPr>
      <w:r>
        <w:rPr>
          <w:rFonts w:ascii="Calibri" w:hAnsi="Calibri" w:cs="Calibri"/>
          <w:b w:val="0"/>
          <w:i w:val="0"/>
          <w:sz w:val="22"/>
          <w:szCs w:val="22"/>
        </w:rPr>
        <w:t xml:space="preserve">The COO has authorised nine additional recommendations to be operationalised alongside GLS v1.0. These recommendations are not new architecture; they are operational systems and playbooks that activate the doctrine of Parts 1 through 12. Each recommendation is owned by a named executive, has a defined scope, a target completion quarter, and an integration point with the Founder cockpit (Part 12).</w:t>
      </w:r>
    </w:p>
    <w:p>
      <w:pPr>
        <w:pStyle w:val="Heading3"/>
      </w:pPr>
      <w:r>
        <w:t>13.2  Nine Recommendations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Recommendation</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Scope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 Quarter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Cockpit Integration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Global CRM</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Unified relationship system across all sixteen partner types and nine institutional segments; replaces ad-hoc CRMs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P2 + P4</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Stakeholder Registry</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Single authoritative registry of every government, partner, and institutional Counterpart with role, engagement status, and consent log</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P2 + P3</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Opportunity Pipeline</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Unified opportunity pipeline across all nine institutional segments; stage-gated; audit-grade evidence per stage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 P4</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Relationship Graph</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Graph of every AURIENTA relationship with edges for introductions, co-Capital Participations, joint ventures, and referrals; powers Brain AI recommendations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COO</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P2 + P4 (graph view)</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Dashboard</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Live Country Readiness Score computation with drill-down to dimension scores and evidence links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 P1</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Briefing Generator (Brain AI)</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AI-powered generator producing Founder-ready briefings for any country, partner, government, or Capital Partner on demand</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of Staff</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Mission Control panel P10</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Account Management</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account-management function for top-tier Capital Partners and Enterprises; named Strategic Account Managers; quarterly QBRs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P4 + P6</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Knowledge Base</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Single knowledge base integrating Constitution v1.0, AOS, ACS, PH-ER, PE, GLS, and the Institutional Evidence Repository; powers Brain AI</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of Staff</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panels (contextual)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Global Launch Playbooks</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playbooks per country, per partner type, per government stakeholder, per institutional segment; versioned; refreshed quarterly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Director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panels (operational)</w:t>
            </w:r>
          </w:p>
        </w:tc>
      </w:tr>
    </w:tbl>
    <w:p>
      <w:pPr>
        <w:spacing w:after="120" w:line="240" w:lineRule="auto"/>
      </w:pPr>
    </w:p>
    <w:p>
      <w:pPr>
        <w:pStyle w:val="Heading3"/>
      </w:pPr>
      <w:r>
        <w:t>13.3  Recommendation Interdependencies</w:t>
      </w:r>
    </w:p>
    <w:p>
      <w:pPr>
        <w:spacing w:line="312" w:lineRule="auto" w:after="120"/>
        <w:ind w:firstLine="283"/>
        <w:jc w:val="both"/>
      </w:pPr>
      <w:r>
        <w:rPr>
          <w:rFonts w:ascii="Calibri" w:hAnsi="Calibri" w:cs="Calibri"/>
          <w:b w:val="0"/>
          <w:i w:val="0"/>
          <w:sz w:val="22"/>
          <w:szCs w:val="22"/>
        </w:rPr>
        <w:t xml:space="preserve">The nine recommendations are designed to interoperate. R1 (Global CRM) and R2 (Stakeholder Registry) share the Counterpart master record. R3 (Opportunity Pipeline) links to R1 and R2 via the Counterpart master. R4 (Institutional Relationship Graph) is built on top of R1, R2, and R3. R5 (Country Readiness Dashboard) integrates with R2 (government stakeholders) and R3 (country-level pipeline). R6 (Executive Briefing Generator) is powered by Brain AI on top of R8 (Institutional Knowledge Base), drawing from R1 through R5. R7 (Strategic Account Management) operates R1 and R3 for top-tier accounts. R9 (Global Launch Playbooks) is the operational layer that ties R1 through R8 to the country-entry and partner-lifecycle playbooks of Parts 1, 2, and 5.</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COO Recommendations Authority  </w:t>
      </w:r>
      <w:r>
        <w:rPr>
          <w:rFonts w:ascii="Calibri" w:hAnsi="Calibri" w:cs="Calibri"/>
          <w:b w:val="0"/>
          <w:i/>
          <w:sz w:val="22"/>
          <w:szCs w:val="22"/>
        </w:rPr>
        <w:t xml:space="preserve">The nine COO Additional Recommendations are the operational systems and playbooks that activate GLS v1.0. They are not new architecture; they are execution instruments. Each recommendation is owned by a named executive, has a target completion quarter, and integrates directly with the Founder cockpit.</w:t>
      </w:r>
    </w:p>
    <w:p>
      <w:pPr>
        <w:pStyle w:val="Heading2"/>
      </w:pPr>
      <w:r>
        <w:t>Section 14 — Executive Certification (Global Deployability)</w:t>
      </w:r>
    </w:p>
    <w:p>
      <w:pPr>
        <w:spacing w:line="312" w:lineRule="auto" w:after="120"/>
        <w:ind w:firstLine="283"/>
        <w:jc w:val="both"/>
      </w:pPr>
      <w:r>
        <w:rPr>
          <w:rFonts w:ascii="Calibri" w:hAnsi="Calibri" w:cs="Calibri"/>
          <w:b w:val="0"/>
          <w:i w:val="0"/>
          <w:sz w:val="22"/>
          <w:szCs w:val="22"/>
        </w:rPr>
        <w:t xml:space="preserve">GLS v1.0 is certified by the undersigned executives as complete, internally consistent, and synchronised with the frozen AURIENTA constitutional substrate. The certification authorises the operational deployment of GLS v1.0 across the Active Entry list of countries, partners, government stakeholders, institutional segments, alliances, communications, events, certifications, due-diligence packages, transparency surfaces, and the Founder cockpit defined in Parts 1 through 12. The nine COO Additional Recommendations (Section 13) are authorised for execution on the stated target quarters.</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 Dimension</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Verdict</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alignment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 forbidden terms; zero CRE overrides; constitutional terminology enforced throughout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integrity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 new architecture; every prior volume treated as frozen substrate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consistency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Parts 1–12 cross-referenced; no contradictions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completeness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twelve parts + nine COO recommendations scoped, owned, and cadenced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readiness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section binds to PE WS9 Institutional Evidence Repository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PE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evidence feeds GLS deployment; no contradictions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PH-ER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Production-hardening substrate inherited; no contradictions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AOS v1.0 / ACS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Operating-system and commercialisation-system invariants preserved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integration</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 Executive Briefing Generator + R8 Knowledge Base scoped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Founder-cockpit readiness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Ten panels defined with owners, cadences, alert thresholds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Country-readiness gating</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70 Active Entry; ≥ 85 Launch Authorisation; quarterly recomputation</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cooperation posture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Cooperation-first; constitutional positioning fixed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terminology enforcement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Sentinel-pattern enforcer applied; zero forbidden terms in added content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Global deployability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Authorised for operational deployment across Active Entry countries</w:t>
            </w:r>
          </w:p>
        </w:tc>
      </w:tr>
    </w:tbl>
    <w:p>
      <w:pPr>
        <w:spacing w:after="120" w:line="240" w:lineRule="auto"/>
      </w:pPr>
    </w:p>
    <w:p>
      <w:pPr>
        <w:pStyle w:val="Heading3"/>
      </w:pPr>
      <w:r>
        <w:t>14.1  Certifying Executives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Role</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 (Title)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Date</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Layla Hassan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global deployment of GLS v1.0</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Operating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operational execution of GLS v1.0</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Global Institutional Launch</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regional and country execution</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Technology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technical substrate integrity</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Information Security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security and certification roadmap</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constitutional and regulatory posture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compliance matrix and certifications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Risk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risk register and crisis posture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Financial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Capital Formation and tax posture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Human Resources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professional-certification roadmap</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2026-10-30</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Executive Certification — GLS v1.0  </w:t>
      </w:r>
      <w:r>
        <w:rPr>
          <w:rFonts w:ascii="Calibri" w:hAnsi="Calibri" w:cs="Calibri"/>
          <w:b w:val="0"/>
          <w:i/>
          <w:sz w:val="22"/>
          <w:szCs w:val="22"/>
        </w:rPr>
        <w:t xml:space="preserve">AURIENTA Global Institutional Launch &amp; Strategic Partnership System (GLS) v1.0 is hereby certified by the undersigned executives as complete, internally consistent, constitutionally aligned, and operationally deployable across the Active Entry list of countries, partners, government stakeholders, institutional segments, alliances, communications, events, certifications, due-diligence packages, transparency surfaces, and the Founder cockpit. GLS v1.0 introduces no new architecture; every prior volume is treated as the frozen substrate upon which GLS operates. The nine COO Additional Recommendations are authorised for execution on the stated target quarters. Constitutional terminology is enforced throughout; zero forbidden terms appear in the GLS Volume.</w:t>
      </w:r>
    </w:p>
    <w:p>
      <w:pPr>
        <w:pStyle w:val="Heading2"/>
      </w:pPr>
      <w:r>
        <w:t>Section 15 — Synchronization Statement</w:t>
      </w:r>
    </w:p>
    <w:p>
      <w:pPr>
        <w:spacing w:line="312" w:lineRule="auto" w:after="120"/>
        <w:ind w:firstLine="283"/>
        <w:jc w:val="both"/>
      </w:pPr>
      <w:r>
        <w:rPr>
          <w:rFonts w:ascii="Calibri" w:hAnsi="Calibri" w:cs="Calibri"/>
          <w:b w:val="0"/>
          <w:i w:val="0"/>
          <w:sz w:val="22"/>
          <w:szCs w:val="22"/>
        </w:rPr>
        <w:t xml:space="preserve">GLS v1.0 is synchronised with Constitution v1.0, the Institutional Architecture, Governance v1.0, the Enterprise Risk &amp; Compliance framework, the Operating System (AOS v1.0), the Commercialization System (ACS v1.0), the Production Hardening &amp; Enterprise Readiness framework (PH-ER v1.0), the Pilot Deployment, Validation &amp; Institutional Evidence programme (PE v1.0), Brain AI, and the Constitutional Terminology Standard. No contradictions are permitted; any future divergence must be resolved by amendment to the affected volume(s) under the constitutional amendment process.</w:t>
      </w:r>
    </w:p>
    <w:p>
      <w:pPr>
        <w:spacing w:line="312" w:lineRule="auto" w:after="120"/>
        <w:ind w:firstLine="283"/>
        <w:jc w:val="both"/>
      </w:pPr>
      <w:r>
        <w:rPr>
          <w:rFonts w:ascii="Calibri" w:hAnsi="Calibri" w:cs="Calibri"/>
          <w:b w:val="0"/>
          <w:i w:val="0"/>
          <w:sz w:val="22"/>
          <w:szCs w:val="22"/>
        </w:rPr>
        <w:t xml:space="preserve">GLS v1.0 is the operational doctrine for international deployment. It is execution-led: each country, each partner, each government stakeholder, each institutional segment, each alliance, each communication, each event, each certification, each due-diligence package, each Trust Center artefact, and each Founder-cockpit signal produces objective evidence that is logged, versioned, and presented through the Global Deployment Dashboard and the Institutional Trust Center. The architecture is complete; the pilot evidence is being generated domestically; the international deployment is now operationalised.</w:t>
      </w:r>
    </w:p>
    <w:p>
      <w:pPr>
        <w:spacing w:line="312" w:lineRule="auto" w:after="120"/>
        <w:ind w:firstLine="283"/>
        <w:jc w:val="both"/>
      </w:pPr>
      <w:r>
        <w:rPr>
          <w:rFonts w:ascii="Calibri" w:hAnsi="Calibri" w:cs="Calibri"/>
          <w:b w:val="0"/>
          <w:i w:val="0"/>
          <w:sz w:val="22"/>
          <w:szCs w:val="22"/>
        </w:rPr>
        <w:t xml:space="preserve">Per COO directive: no new constitutional infrastructure architecture will be requested. GLS v1.0 is the final blueprint volume. The roadmap forward is execution: country entry (Egypt → GCC → Africa → Europe → Asia → Americas), partner recruitment (sixteen partner types), government engagement (eleven stakeholder types), institutional pipeline (nine segments), alliance formation (six instruments + two programmes), communications (six tracks), events (ten types), certifications (eight families), due-diligence packages (eleven), Trust Center publication (eight pillars), and Founder-cockpit operation (ten panels) — driven by real country, partner, government, and Capital Partner feedback.</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Volume Closure  </w:t>
      </w:r>
      <w:r>
        <w:rPr>
          <w:rFonts w:ascii="Calibri" w:hAnsi="Calibri" w:cs="Calibri"/>
          <w:b w:val="0"/>
          <w:i/>
          <w:sz w:val="22"/>
          <w:szCs w:val="22"/>
        </w:rPr>
        <w:t xml:space="preserve">AURIENTA Global Institutional Launch &amp; Strategic Partnership System (GLS) v1.0 — synchronised with Constitution v1.0, the Institutional Architecture, Governance v1.0, the Enterprise Risk &amp; Compliance framework, AOS v1.0, ACS v1.0, PH-ER v1.0, PE v1.0, Brain AI, and the Constitutional Terminology Standard. The blueprint expands no further; international deployment begins.</w:t>
      </w:r>
    </w:p>
    <w:p>
      <w:pPr>
        <w:pStyle w:val="Heading1"/>
      </w:pPr>
      <w:r>
        <w:t>VOLUME — AURIENTA FOUNDER OFFICE, EXECUTIVE INTELLIGENCE &amp; CORPORATE COMMAND CENTER (FOCC) v1.0</w:t>
      </w:r>
    </w:p>
    <w:p>
      <w:pPr>
        <w:pStyle w:val="Heading2"/>
      </w:pPr>
      <w:r>
        <w:t>Executive Summary — The Executive Nervous System of AURIENTA</w:t>
      </w:r>
    </w:p>
    <w:p>
      <w:pPr>
        <w:spacing w:line="312" w:lineRule="auto" w:after="120"/>
        <w:ind w:firstLine="283"/>
        <w:jc w:val="both"/>
      </w:pPr>
      <w:r>
        <w:rPr>
          <w:rFonts w:ascii="Calibri" w:hAnsi="Calibri" w:cs="Calibri"/>
          <w:b w:val="0"/>
          <w:i w:val="0"/>
          <w:sz w:val="22"/>
          <w:szCs w:val="22"/>
        </w:rPr>
        <w:t xml:space="preserve">The AURIENTA Founder Office, Executive Intelligence &amp; Corporate Command Center (FOCC v1.0) is the executive nervous system that connects every prior volume into a single, always-on cockpit for the Founder, the Chief Operating Officer, the Chief of Staff, and the Executive Committee. FOCC v1.0 introduces no new constitutional architecture. Every prior volume — Constitution v1.0, the Institutional Architecture, Governance v1.0, the Enterprise Risk &amp; Compliance framework, the Operating System (AOS v1.0), the Commercialization System (ACS v1.0), the Production Hardening &amp; Enterprise Readiness framework (PH-ER v1.0), the Pilot Deployment, Validation &amp; Institutional Evidence programme (PE v1.0), and the Global Institutional Launch &amp; Strategic Partnership System (GLS v1.0) — is frozen and treated as the substrate upon which the Founder Office operates. The mandate of FOCC v1.0 is executive command, decision intelligence, and institutional memory — not redesign.</w:t>
      </w:r>
    </w:p>
    <w:p>
      <w:pPr>
        <w:spacing w:line="312" w:lineRule="auto" w:after="120"/>
        <w:ind w:firstLine="283"/>
        <w:jc w:val="both"/>
      </w:pPr>
      <w:r>
        <w:rPr>
          <w:rFonts w:ascii="Calibri" w:hAnsi="Calibri" w:cs="Calibri"/>
          <w:b w:val="0"/>
          <w:i w:val="0"/>
          <w:sz w:val="22"/>
          <w:szCs w:val="22"/>
        </w:rPr>
        <w:t xml:space="preserve">FOCC v1.0 is structured across ten parts that together constitute the operating doctrine for executive command. Part 1 establishes the Founder Office with executive calendar, priorities, decision log, commitments, OKRs, initiatives, follow-up, escalation, board preparation, and constitutional responsibilities. Part 2 deploys the Enterprise Programme Management Office covering initiatives, programmes, projects, milestones, dependencies, RAID logs, change requests, status reporting, portfolio health, resource allocation, and budget tracking. Part 3 specifies the Executive Decision Intelligence engine that tracks every executive decision with owner, context, alternatives, risks, evidence, impacts, the Brain AI recommendation, the final decision, the realised outcome, and the captured lesson. Part 4 delivers Mission Control as the unified Founder cockpit across twenty panels. Part 5 establishes the Executive Briefings system in which Brain AI auto-prepares Daily, Weekly, Monthly, Quarterly, Annual, Country, Partner, Government, Enterprise, Meeting, Board, and Due-Diligence briefings on demand. Part 6 codifies Corporate Intelligence across ten intelligence domains. Part 7 builds the Executive Knowledge Graph as the living relationship graph spanning people, organisations, countries, Enterprises, partners, governments, contracts, risks, decisions, projects, meetings, evidence, and documents. Part 8 sets out the Executive Workflow Automation fabric covering follow-ups, meeting summaries, decision reminders, renewal reminders, risk escalation, KPI alerts, reports, approvals, and certification deadlines. Part 9 establishes Institutional Memory as the permanent, Brain AI-searchable record of every decision, meeting, negotiation, lesson, milestone, incident, audit, success, and failure. Part 10 delivers the CEO Performance Dashboard across seventeen performance dimensions.</w:t>
      </w:r>
    </w:p>
    <w:p>
      <w:pPr>
        <w:spacing w:line="312" w:lineRule="auto" w:after="120"/>
        <w:ind w:firstLine="283"/>
        <w:jc w:val="both"/>
      </w:pPr>
      <w:r>
        <w:rPr>
          <w:rFonts w:ascii="Calibri" w:hAnsi="Calibri" w:cs="Calibri"/>
          <w:b w:val="0"/>
          <w:i w:val="0"/>
          <w:sz w:val="22"/>
          <w:szCs w:val="22"/>
        </w:rPr>
        <w:t xml:space="preserve">FOCC v1.0 is frozen as of 2026-11-15 and is synchronised with Constitution v1.0, the Institutional Architecture, Governance v1.0, the Enterprise Risk &amp; Compliance framework, AOS v1.0, ACS v1.0, PH-ER v1.0, PE v1.0, GLS v1.0, Brain AI, and the Constitutional Terminology Standard. No new architecture is introduced; no constitutional invariant is modified; no term in the Constitutional Terminology Dictionary is contradicted. The FOCC operating doctrine is institutional-memory-led: every executive action, every decision, every commitment, and every outcome is captured, versioned, and presented through the Mission Control cockpit and the Institutional Memory engine for instant Founder and Executive Committee retrieval.</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Programme Mandate  </w:t>
      </w:r>
      <w:r>
        <w:rPr>
          <w:rFonts w:ascii="Calibri" w:hAnsi="Calibri" w:cs="Calibri"/>
          <w:b w:val="0"/>
          <w:i/>
          <w:sz w:val="22"/>
          <w:szCs w:val="22"/>
        </w:rPr>
        <w:t xml:space="preserve">FOCC v1.0 operationalises the AURIENTA executive function as a single institutional nervous system. The architecture is complete; the pilot evidence is being generated domestically; the international deployment is operationalised. The Founder Office is now the command, intelligence, and memory layer that binds every prior volume into one executive cockpit — a Fortune 50-grade Chief of Staff function powered by Brain AI and governed by the constitutional invariants.</w:t>
      </w:r>
    </w:p>
    <w:p>
      <w:pPr>
        <w:pStyle w:val="Heading2"/>
      </w:pPr>
      <w:r>
        <w:t>Section 1 — Founder Office</w:t>
      </w:r>
    </w:p>
    <w:p>
      <w:pPr>
        <w:pStyle w:val="Heading3"/>
      </w:pPr>
      <w:r>
        <w:t>1.1  Overview</w:t>
      </w:r>
    </w:p>
    <w:p>
      <w:pPr>
        <w:spacing w:line="312" w:lineRule="auto" w:after="120"/>
        <w:ind w:firstLine="283"/>
        <w:jc w:val="both"/>
      </w:pPr>
      <w:r>
        <w:rPr>
          <w:rFonts w:ascii="Calibri" w:hAnsi="Calibri" w:cs="Calibri"/>
          <w:b w:val="0"/>
          <w:i w:val="0"/>
          <w:sz w:val="22"/>
          <w:szCs w:val="22"/>
        </w:rPr>
        <w:t xml:space="preserve">Part 1 establishes the Founder Office as the standing executive function that operates the Founder's calendar, priorities, decisions, commitments, OKRs, initiatives, follow-ups, escalations, board preparation, and constitutional responsibilities. The Founder Office is the institutional embodiment of the Chief of Staff function: every executive action is captured, every commitment is tracked to closure, every decision is logged with full context, and every constitutional responsibility is discharged under documented evidence. The Founder Office reports to the Founder and is operated day-to-day by the Chief of Staff with the support of the Executive Committee.</w:t>
      </w:r>
    </w:p>
    <w:p>
      <w:pPr>
        <w:pStyle w:val="Heading3"/>
      </w:pPr>
      <w:r>
        <w:t>1.2  Founder Office Sub-Modules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Module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Purpose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Calendar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Single authoritative calendar for the Founder and Executive Committee; integrates every external commitment, board, government, partner, and Capital Partner engagement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Priorities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Rolling top-twenty Founder priorities with weight, sponsor, dependency, and expected-close date; priorities refreshed weekly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Log</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Founder-level decision recorded with owner, context, alternatives, evidence, AI recommendation, final decision, and outcome link to Part 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decision</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Commitments Register</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commitment made by the Founder or Executive Committee tracked with Counterpart, due date, evidence, and closure status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Objectives and Key Results cascaded from Constitutional Objectives; each KR owned, measurable, and evidence-bound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Cross-functional initiatives tracked from charter through closure; each initiative bound to a Part 2 programme or project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Follow-Up Engine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Open follow-ups from every meeting, decision, and commitment tracked to closure with owner and due date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Escalation Pathway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Documented escalation pathway from any executive, country director, or partner manager to the Founder with severity, SLA, and evidence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escalation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Preparation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board-prep workflow: agenda, pre-reads, motions, minutes archive, and action-item tracking across board meetings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Responsibilities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log of the Founder's constitutional responsibilities under Constitution v1.0 with discharge evidence for each</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r>
    </w:tbl>
    <w:p>
      <w:pPr>
        <w:spacing w:after="120" w:line="240" w:lineRule="auto"/>
      </w:pPr>
    </w:p>
    <w:p>
      <w:pPr>
        <w:pStyle w:val="Heading3"/>
      </w:pPr>
      <w:r>
        <w:t>1.3  Executive Calendar Operating Doctrine</w:t>
      </w:r>
    </w:p>
    <w:p>
      <w:pPr>
        <w:spacing w:line="312" w:lineRule="auto" w:after="120"/>
        <w:ind w:firstLine="283"/>
        <w:jc w:val="both"/>
      </w:pPr>
      <w:r>
        <w:rPr>
          <w:rFonts w:ascii="Calibri" w:hAnsi="Calibri" w:cs="Calibri"/>
          <w:b w:val="0"/>
          <w:i w:val="0"/>
          <w:sz w:val="22"/>
          <w:szCs w:val="22"/>
        </w:rPr>
        <w:t xml:space="preserve">The Executive Calendar is the single authoritative calendar for the Founder and the Executive Committee. No commitment is binding until it is reflected in the Executive Calendar with a named Counterpart, an objective, a duration, and an evidence link. The Calendar integrates every external engagement — board, government, regulator, partner, Capital Partner, Enterprise, university, association, and event — with the internal cadences of OKRs, initiatives, decision reviews, and constitutional responsibilities. Brain AI continuously scans the Calendar and proposes optimisations, conflicts, and preparation briefings (Section 5).</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Calendar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Participants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Executive Committee + 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Integration points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2 PMO · Part 3 Decision Intelligence · Part 4 Mission Control · Part 5 Executive Briefings · Part 9 Institutional Memory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 cadence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 nightly reconciliation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Conflict detection, briefing pre-generation, evidence linking</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repository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Evidence Repository (PE WS9)</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Founder Responsibilities</w:t>
            </w:r>
          </w:p>
        </w:tc>
      </w:tr>
    </w:tbl>
    <w:p>
      <w:pPr>
        <w:spacing w:after="120" w:line="240" w:lineRule="auto"/>
      </w:pPr>
    </w:p>
    <w:p>
      <w:pPr>
        <w:pStyle w:val="Heading3"/>
      </w:pPr>
      <w:r>
        <w:t>1.4  Decision Log Discipline</w:t>
      </w:r>
    </w:p>
    <w:p>
      <w:pPr>
        <w:spacing w:line="312" w:lineRule="auto" w:after="120"/>
        <w:ind w:firstLine="283"/>
        <w:jc w:val="both"/>
      </w:pPr>
      <w:r>
        <w:rPr>
          <w:rFonts w:ascii="Calibri" w:hAnsi="Calibri" w:cs="Calibri"/>
          <w:b w:val="0"/>
          <w:i w:val="0"/>
          <w:sz w:val="22"/>
          <w:szCs w:val="22"/>
        </w:rPr>
        <w:t xml:space="preserve">The Decision Log is the authoritative record of every Founder-level decision. Every entry binds to a full Decision Record in Part 3 and includes the decision owner, the context memo, the alternatives considered, the risks identified, the evidence reviewed, the Brain AI recommendation, the final decision, the implementation owner, the expected outcome, and the realised outcome. No Founder-level decision may be enacted without a Decision Log entry; no Decision Log entry may be marked closed without a realised-outcome post-mortem captured in Institutional Memory (Part 9).</w:t>
      </w:r>
    </w:p>
    <w:p>
      <w:pPr>
        <w:pStyle w:val="Heading3"/>
      </w:pPr>
      <w:r>
        <w:t>1.5  Commitments Register</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Commitment Type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Counterpart</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SLA</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Closure Evidence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partnership commitment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Signed partner (Part 2 GLS)</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agreement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Executed instrument in Institutional Evidence Repository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commitment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stakeholder (Part 3 GLS)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 plan</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minutes + written confirmation</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commitment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 letter</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Signed instrument + Law Firm Client Account confirmation</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commitment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SLA</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amendment + milestone release certificate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commitment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 Country Director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commitment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Closure note in Decision Log + Part 9 Memory entry</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commitment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of Directors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minutes + resolution</w:t>
            </w:r>
          </w:p>
        </w:tc>
      </w:tr>
    </w:tbl>
    <w:p>
      <w:pPr>
        <w:spacing w:after="120" w:line="240" w:lineRule="auto"/>
      </w:pPr>
    </w:p>
    <w:p>
      <w:pPr>
        <w:pStyle w:val="Heading3"/>
      </w:pPr>
      <w:r>
        <w:t>1.6  OKRs — Quarterly Cascade</w:t>
      </w:r>
    </w:p>
    <w:p>
      <w:pPr>
        <w:spacing w:line="312" w:lineRule="auto" w:after="120"/>
        <w:ind w:firstLine="283"/>
        <w:jc w:val="both"/>
      </w:pPr>
      <w:r>
        <w:rPr>
          <w:rFonts w:ascii="Calibri" w:hAnsi="Calibri" w:cs="Calibri"/>
          <w:b w:val="0"/>
          <w:i w:val="0"/>
          <w:sz w:val="22"/>
          <w:szCs w:val="22"/>
        </w:rPr>
        <w:t xml:space="preserve">OKRs are the quarterly cascade mechanism by which the Constitutional Objectives (Constitution v1.0) are operationalised across the Executive Committee and every function. Each Objective is anchored in a Constitutional Objective; each Key Result is owned by a named executive, is measurable, and is bound to evidence in the Institutional Evidence Repository. OKRs are reviewed at the Weekly Executive Committee and graded at the Quarterly Business Review; grades below 0.7 trigger a remedial action plan and a Part 1 Escalation entry.</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 cycle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(Q1 / Q2 / Q3 / Q4)</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Cascade origin</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Objectives (Constitution v1.0 § Article I)</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(cascade) · Chief of Staff (cadence)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Grading scale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0.0 to 1.0; ≥ 0.7 on track; 0.4–0.6 at risk; &lt; 0.4 off track</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Review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Executive Committee + Quarterly Business Review</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Each KR links to ≥ 1 evidence artefact in Institutional Evidence Repository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OKRs may not contradict any constitutional invariant</w:t>
            </w:r>
          </w:p>
        </w:tc>
      </w:tr>
    </w:tbl>
    <w:p>
      <w:pPr>
        <w:spacing w:after="120" w:line="240" w:lineRule="auto"/>
      </w:pPr>
    </w:p>
    <w:p>
      <w:pPr>
        <w:pStyle w:val="Heading3"/>
      </w:pPr>
      <w:r>
        <w:t>1.7  Board Preparation Workflow</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Agenda Drafting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Agenda circulated to board members T-14 days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Assembly</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pack assembled with every motion, report, and evidence link</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Review</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reviews and approves pre-read pack</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Distribution</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pack distributed T-7 days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day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Meeting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meeting held; minutes drafted contemporaneously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Chief of Staff + General Counsel</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day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Minutes Finalisation</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Minutes finalised, approved, and archived in Institutional Memory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Action-Item Tracking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board action item tracked to closure via Part 1 Follow-Up Engine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action</w:t>
            </w:r>
          </w:p>
        </w:tc>
      </w:tr>
    </w:tbl>
    <w:p>
      <w:pPr>
        <w:spacing w:after="120" w:line="240" w:lineRule="auto"/>
      </w:pPr>
    </w:p>
    <w:p>
      <w:pPr>
        <w:pStyle w:val="Heading3"/>
      </w:pPr>
      <w:r>
        <w:t>1.8  Constitutional Responsibilities Log</w:t>
      </w:r>
    </w:p>
    <w:p>
      <w:pPr>
        <w:spacing w:line="312" w:lineRule="auto" w:after="120"/>
        <w:ind w:firstLine="283"/>
        <w:jc w:val="both"/>
      </w:pPr>
      <w:r>
        <w:rPr>
          <w:rFonts w:ascii="Calibri" w:hAnsi="Calibri" w:cs="Calibri"/>
          <w:b w:val="0"/>
          <w:i w:val="0"/>
          <w:sz w:val="22"/>
          <w:szCs w:val="22"/>
        </w:rPr>
        <w:t xml:space="preserve">The Constitutional Responsibilities Log is the standing record of every Founder responsibility under Constitution v1.0 — including the duty to preserve the constitutional invariants, the duty to convene the Constitutional Council, the duty to present the Annual Constitutional Report, the duty to certify the Institutional Evidence Repository, and the duty to amend the Constitution only under the amendment process. Each responsibility is logged with its constitutional citation, its discharge cadence, its evidence artefact, and the Brain AI monitoring rule that flags any non-discharge.</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Founder Office Authority  </w:t>
      </w:r>
      <w:r>
        <w:rPr>
          <w:rFonts w:ascii="Calibri" w:hAnsi="Calibri" w:cs="Calibri"/>
          <w:b w:val="0"/>
          <w:i/>
          <w:sz w:val="22"/>
          <w:szCs w:val="22"/>
        </w:rPr>
        <w:t xml:space="preserve">The Founder Office is the single authoritative executive function for the Founder and the Executive Committee. No Founder-level decision is enacted outside the Decision Log; no Founder-level commitment is made outside the Commitments Register; no constitutional responsibility is discharged without an evidence link in the Constitutional Responsibilities Log. The Founder Office binds every Part 2–10 instrument to the Founder's command authority.</w:t>
      </w:r>
    </w:p>
    <w:p>
      <w:pPr>
        <w:pStyle w:val="Heading2"/>
      </w:pPr>
      <w:r>
        <w:t>Section 2 — Enterprise Programme Management Office (EPMO)</w:t>
      </w:r>
    </w:p>
    <w:p>
      <w:pPr>
        <w:pStyle w:val="Heading3"/>
      </w:pPr>
      <w:r>
        <w:t>2.1  Overview</w:t>
      </w:r>
    </w:p>
    <w:p>
      <w:pPr>
        <w:spacing w:line="312" w:lineRule="auto" w:after="120"/>
        <w:ind w:firstLine="283"/>
        <w:jc w:val="both"/>
      </w:pPr>
      <w:r>
        <w:rPr>
          <w:rFonts w:ascii="Calibri" w:hAnsi="Calibri" w:cs="Calibri"/>
          <w:b w:val="0"/>
          <w:i w:val="0"/>
          <w:sz w:val="22"/>
          <w:szCs w:val="22"/>
        </w:rPr>
        <w:t xml:space="preserve">Part 2 deploys the Enterprise Programme Management Office (EPMO) that governs the full portfolio of initiatives, programmes, and projects across AURIENTA. The EPMO is the institutional backbone of execution: every initiative is chartered, every programme is staged, every project is milestoned, every dependency is mapped, every RAID item is logged, every change request is reviewed, every status is reported, every portfolio-health signal is generated, every resource is allocated, and every budget line is tracked. The EPMO reports to the COO and feeds Mission Control (Part 4) and the CEO Performance Dashboard (Part 10).</w:t>
      </w:r>
    </w:p>
    <w:p>
      <w:pPr>
        <w:pStyle w:val="Heading3"/>
      </w:pPr>
      <w:r>
        <w:t>2.2  EPMO Sub-Modules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Module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Purpose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Cross-functional initiatives chartered with sponsor, objective, scope, success criteria, and exit gate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Programmes aggregating multiple projects under a shared strategic objective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 Director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Discrete projects with charter, plan, milestones, budget, and risk register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Manager</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Milestones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Milestone register with planned vs actual dates, evidence link, and gate-decision owner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milestone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Dependencies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Cross-project and cross-programme dependency map with critical-path alerting</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RAID Log</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Risks, Assumptions, Issues, and Dependencies logged with owner, severity, mitigation, and closure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Requests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Formal change-control workflow for scope, schedule, budget, and resource changes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Control Board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request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Status Reporting</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Standardised status reporting across initiative / programme / project levels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Portfolio Health</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Portfolio health score per initiative with red / amber / green verdict and trend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Resource Allocation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Resource capacity vs demand across functions; bottleneck alerting</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CHRO</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Budget Tracking</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Initiative-level budget vs actual with forecast-to-complete and variance narrative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PMO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Stage-Gate Reviews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Stage-gate review at every programme / project gate with go / no-go decision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gate</w:t>
            </w:r>
          </w:p>
        </w:tc>
      </w:tr>
    </w:tbl>
    <w:p>
      <w:pPr>
        <w:spacing w:after="120" w:line="240" w:lineRule="auto"/>
      </w:pPr>
    </w:p>
    <w:p>
      <w:pPr>
        <w:pStyle w:val="Heading3"/>
      </w:pPr>
      <w:r>
        <w:t>2.3  Portfolio Hierarchy — Initiative → Programme → Project</w:t>
      </w:r>
    </w:p>
    <w:p>
      <w:pPr>
        <w:spacing w:line="312" w:lineRule="auto" w:after="120"/>
        <w:ind w:firstLine="283"/>
        <w:jc w:val="both"/>
      </w:pPr>
      <w:r>
        <w:rPr>
          <w:rFonts w:ascii="Calibri" w:hAnsi="Calibri" w:cs="Calibri"/>
          <w:b w:val="0"/>
          <w:i w:val="0"/>
          <w:sz w:val="22"/>
          <w:szCs w:val="22"/>
        </w:rPr>
        <w:t xml:space="preserve">The EPMO operates a three-tier portfolio hierarchy. An Initiative is the highest-level execution unit, chartered by the COO and bound to an OKR. A Programme aggregates multiple Projects under a shared strategic objective. A Project is a discrete, chartered, milestoned, and budgeted unit of work with a single Project Manager. Every tier has a defined charter, sponsor, scope, success criteria, stage-gate, and exit gate. No work is performed outside this hierarchy; no Initiative, Programme, or Project may be opened without a charter approved by the COO.</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Tier</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Charter Approver</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Stage-Gate Owner</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Reporting Cadence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Closure Authority</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Executive Committee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 Director</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Bi-weekly Programme Review</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 Director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Manager</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Status Report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Programme Director</w:t>
            </w:r>
          </w:p>
        </w:tc>
      </w:tr>
    </w:tbl>
    <w:p>
      <w:pPr>
        <w:spacing w:after="120" w:line="240" w:lineRule="auto"/>
      </w:pPr>
    </w:p>
    <w:p>
      <w:pPr>
        <w:pStyle w:val="Heading3"/>
      </w:pPr>
      <w:r>
        <w:t>2.4  RAID Log Schema</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Type</w:t>
            </w:r>
          </w:p>
        </w:tc>
        <w:tc>
          <w:tcPr>
            <w:tcW w:type="dxa" w:w="2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 Field</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Severity Scale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Closure Rule</w:t>
            </w:r>
          </w:p>
        </w:tc>
      </w:tr>
      <w:tr>
        <w:trPr>
          <w:cantSplit/>
        </w:trPr>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w:t>
            </w:r>
          </w:p>
        </w:tc>
        <w:tc>
          <w:tcPr>
            <w:tcW w:type="dxa" w:w="2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Potential future event with adverse impact</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owner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 / Medium / High / Critical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Mitigation implemented + residual risk accepted by CRO</w:t>
            </w:r>
          </w:p>
        </w:tc>
      </w:tr>
      <w:tr>
        <w:trPr>
          <w:cantSplit/>
        </w:trPr>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Assumption</w:t>
            </w:r>
          </w:p>
        </w:tc>
        <w:tc>
          <w:tcPr>
            <w:tcW w:type="dxa" w:w="2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Stated belief not yet validated</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Assumption owner</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Validated or refuted with evidence</w:t>
            </w:r>
          </w:p>
        </w:tc>
      </w:tr>
      <w:tr>
        <w:trPr>
          <w:cantSplit/>
        </w:trPr>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Issue</w:t>
            </w:r>
          </w:p>
        </w:tc>
        <w:tc>
          <w:tcPr>
            <w:tcW w:type="dxa" w:w="2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Current materialised problem requiring action</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Issue owner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 / Medium / High / Critical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implemented + verified</w:t>
            </w:r>
          </w:p>
        </w:tc>
      </w:tr>
      <w:tr>
        <w:trPr>
          <w:cantSplit/>
        </w:trPr>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Dependency</w:t>
            </w:r>
          </w:p>
        </w:tc>
        <w:tc>
          <w:tcPr>
            <w:tcW w:type="dxa" w:w="2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Reliance on another project / programme / external party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Dependency owner</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Dependency delivered or alternative route adopted</w:t>
            </w:r>
          </w:p>
        </w:tc>
      </w:tr>
    </w:tbl>
    <w:p>
      <w:pPr>
        <w:spacing w:after="120" w:line="240" w:lineRule="auto"/>
      </w:pPr>
    </w:p>
    <w:p>
      <w:pPr>
        <w:pStyle w:val="Heading3"/>
      </w:pPr>
      <w:r>
        <w:t>2.5  Change-Control Workflow</w:t>
      </w:r>
    </w:p>
    <w:p>
      <w:pPr>
        <w:spacing w:line="312" w:lineRule="auto" w:after="120"/>
        <w:ind w:firstLine="283"/>
        <w:jc w:val="both"/>
      </w:pPr>
      <w:r>
        <w:rPr>
          <w:rFonts w:ascii="Calibri" w:hAnsi="Calibri" w:cs="Calibri"/>
          <w:b w:val="0"/>
          <w:i w:val="0"/>
          <w:sz w:val="22"/>
          <w:szCs w:val="22"/>
        </w:rPr>
        <w:t xml:space="preserve">Every change to an Initiative, Programme, or Project — scope, schedule, budget, or resource — is processed through a formal Change-Control workflow. A Change Request is raised with rationale, impact assessment, and proposed disposition. The Change Control Board reviews the request against the constitutional invariants, the portfolio budget, and the resource capacity. Approved changes are reflected in the Initiative / Programme / Project charter and propagated to Mission Control (Part 4).</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 Target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Raise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Request logged with rationale + impact assessment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Requestor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day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Triage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Triage decision: reject / fast-track / full review</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days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Review</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Impact assessment completed; constitutional review by General Counsel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Control Board</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 / approve-with-conditions / reject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(or Founder for constitutional impact)</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days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 change reflected in charter + downstream artefacts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Manager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plan</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Verify</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verified; RAID log updated; Mission Control signal updated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PMO Analyst</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days</w:t>
            </w:r>
          </w:p>
        </w:tc>
      </w:tr>
    </w:tbl>
    <w:p>
      <w:pPr>
        <w:spacing w:after="120" w:line="240" w:lineRule="auto"/>
      </w:pPr>
    </w:p>
    <w:p>
      <w:pPr>
        <w:pStyle w:val="Heading3"/>
      </w:pPr>
      <w:r>
        <w:t>2.6  Portfolio Health Score</w:t>
      </w:r>
    </w:p>
    <w:p>
      <w:pPr>
        <w:spacing w:line="312" w:lineRule="auto" w:after="120"/>
        <w:ind w:firstLine="283"/>
        <w:jc w:val="both"/>
      </w:pPr>
      <w:r>
        <w:rPr>
          <w:rFonts w:ascii="Calibri" w:hAnsi="Calibri" w:cs="Calibri"/>
          <w:b w:val="0"/>
          <w:i w:val="0"/>
          <w:sz w:val="22"/>
          <w:szCs w:val="22"/>
        </w:rPr>
        <w:t xml:space="preserve">Every Initiative carries a Portfolio Health Score computed from schedule, scope, budget, risk, resource, and evidence dimensions. The score is on a zero-to-one-hundred scale: ≥ 80 Green (on track); 60–79 Amber (at risk); &lt; 60 Red (off track). Red Initiatives are escalated to the Founder via the Part 1 Escalation Pathway; Amber Initiatives receive a remedial action plan within five business days.</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Green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Amber threshold</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60–79</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Red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&lt; 60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Recompute cadence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Escalation</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Red Initiatives → Founder via Part 1 Escalation Pathway within 24 hours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Anomaly detection on score components; predictive downgrade alerts</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EPMO Authority  </w:t>
      </w:r>
      <w:r>
        <w:rPr>
          <w:rFonts w:ascii="Calibri" w:hAnsi="Calibri" w:cs="Calibri"/>
          <w:b w:val="0"/>
          <w:i/>
          <w:sz w:val="22"/>
          <w:szCs w:val="22"/>
        </w:rPr>
        <w:t xml:space="preserve">The Enterprise Programme Management Office is the single authoritative execution backbone for AURIENTA. No Initiative, Programme, or Project is opened, changed, or closed outside this framework. Every charter, RAID item, change request, status report, and budget line is audit-grade evidence in the Institutional Evidence Repository and feeds the Mission Control cockpit and the CEO Performance Dashboard.</w:t>
      </w:r>
    </w:p>
    <w:p>
      <w:pPr>
        <w:pStyle w:val="Heading2"/>
      </w:pPr>
      <w:r>
        <w:t>Section 3 — Executive Decision Intelligence</w:t>
      </w:r>
    </w:p>
    <w:p>
      <w:pPr>
        <w:pStyle w:val="Heading3"/>
      </w:pPr>
      <w:r>
        <w:t>3.1  Overview</w:t>
      </w:r>
    </w:p>
    <w:p>
      <w:pPr>
        <w:spacing w:line="312" w:lineRule="auto" w:after="120"/>
        <w:ind w:firstLine="283"/>
        <w:jc w:val="both"/>
      </w:pPr>
      <w:r>
        <w:rPr>
          <w:rFonts w:ascii="Calibri" w:hAnsi="Calibri" w:cs="Calibri"/>
          <w:b w:val="0"/>
          <w:i w:val="0"/>
          <w:sz w:val="22"/>
          <w:szCs w:val="22"/>
        </w:rPr>
        <w:t xml:space="preserve">Part 3 deploys the Executive Decision Intelligence engine — the institutional system of record for every executive decision taken at AURIENTA. The engine captures each decision with its owner, context, alternatives, risks, evidence, impacts, the Brain AI recommendation, the final decision, the realised outcome, and the captured lesson. No executive decision is treated as ephemeral: every decision is a permanent artefact in Institutional Memory (Part 9), searchable by Brain AI, auditable by the Board, and presentable to any regulator or Capital Partner on demand.</w:t>
      </w:r>
    </w:p>
    <w:p>
      <w:pPr>
        <w:pStyle w:val="Heading3"/>
      </w:pPr>
      <w:r>
        <w:t>3.2  Decision Record Schema</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Field</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3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Source /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ID</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Unique identifier; format DEC-YYYY-NNNN</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Intelligence engine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Title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Concise decision title</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Accountable executive (single name)</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or Executive Committee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Context Memo</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Background, trigger, and decision frame</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 + Chief of Staff</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Alternatives Considered</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2 alternatives with pros / cons / costs / risks</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Risks Identified</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Risks per alternative with severity and mitigation</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Decision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Reviewed</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List of evidence artefacts in Institutional Evidence Repository</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Impacts Assessed</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commercial, operational, financial, regulatory, reputational impacts</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Relevant C-suite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D9</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Recommendation</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AI-generated recommendation with confidence score and rationale</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D10</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Final Decision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The decision taken, with explicit rationale</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Owner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accountable for execution</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 designates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Expected Outcome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Measurable expected outcome with target date</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Realised Outcome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Actual outcome at the target date, with variance narrative</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Owner</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 Captured</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 logged in Institutional Memory (Part 9)</w:t>
            </w:r>
          </w:p>
        </w:tc>
        <w:tc>
          <w:tcPr>
            <w:tcW w:type="dxa" w:w="3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Decision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Review</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review of constitutional alignment</w:t>
            </w:r>
          </w:p>
        </w:tc>
        <w:tc>
          <w:tcPr>
            <w:tcW w:type="dxa" w:w="3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bl>
    <w:p>
      <w:pPr>
        <w:spacing w:after="120" w:line="240" w:lineRule="auto"/>
      </w:pPr>
    </w:p>
    <w:p>
      <w:pPr>
        <w:pStyle w:val="Heading3"/>
      </w:pPr>
      <w:r>
        <w:t>3.3  Decision Lifecycle</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Exit Criteria</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 Target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Frame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frame drafted; context memo signed by Decision Owner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Analyse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Alternatives + risks + evidence + impacts assembled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 + C-suite</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Recommend</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recommendation issued with confidence + rationale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day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Decide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Final decision recorded with explicit rationale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Owner</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day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plan executed; milestone updates captured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Owner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plan</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Realise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Realised outcome measured at target date; variance logged</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Implementation Owner</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plan</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DL7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Learn</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 captured in Institutional Memory; decision record closed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Decision Owner</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days</w:t>
            </w:r>
          </w:p>
        </w:tc>
      </w:tr>
    </w:tbl>
    <w:p>
      <w:pPr>
        <w:spacing w:after="120" w:line="240" w:lineRule="auto"/>
      </w:pPr>
    </w:p>
    <w:p>
      <w:pPr>
        <w:pStyle w:val="Heading3"/>
      </w:pPr>
      <w:r>
        <w:t>3.4  Decision Quality Dimensions</w:t>
      </w:r>
    </w:p>
    <w:p>
      <w:pPr>
        <w:spacing w:line="312" w:lineRule="auto" w:after="120"/>
        <w:ind w:firstLine="283"/>
        <w:jc w:val="both"/>
      </w:pPr>
      <w:r>
        <w:rPr>
          <w:rFonts w:ascii="Calibri" w:hAnsi="Calibri" w:cs="Calibri"/>
          <w:b w:val="0"/>
          <w:i w:val="0"/>
          <w:sz w:val="22"/>
          <w:szCs w:val="22"/>
        </w:rPr>
        <w:t xml:space="preserve">Every decision is scored across six quality dimensions to produce a Decision Quality Score (COO Recommendation R2 in Section 11). The dimensions are: (1) Framing Quality — was the decision frame explicit and complete? (2) Alternatives Quality — were ≥ 2 genuine alternatives considered? (3) Evidence Quality — was the decision bound to audit-grade evidence? (4) Reasoning Quality — was the rationale documented and constitutional-review-passed? (5) Outcome Realisation — did the realised outcome match the expected outcome? (6) Lesson Capture — was a lesson logged in Institutional Memory? Each dimension is scored 0–5; the Decision Quality Score is the sum across the six dimensions on a 0–30 scale.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Dimension</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Score Range</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Scoring Guide</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Q1</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Framing Quality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 frame; 5 = explicit, complete, constitutionally-aligned frame</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Q2</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Alternatives Quality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single option; 5 = ≥ 2 genuine alternatives with full analysis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Q3</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Quality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none; 5 = audit-grade evidence from Institutional Evidence Repository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Q4</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Reasoning Quality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undocumented; 5 = documented rationale + General Counsel sign-off</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Q5</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Outcome Realisation</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 measurement; 5 = realised outcome matched or exceeded expected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Q6</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 Capture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0–5</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 no lesson; 5 = lesson logged + cross-referenced in Institutional Memory</w:t>
            </w:r>
          </w:p>
        </w:tc>
      </w:tr>
    </w:tbl>
    <w:p>
      <w:pPr>
        <w:spacing w:after="120" w:line="240" w:lineRule="auto"/>
      </w:pP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Quality Score scale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0–30 (sum of six 0–5 dimensions)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Excellent threshold</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25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Acceptable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18–24</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Needs-improvement threshold</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10–17</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Deficient threshold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&lt; 10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Rolling 30-day aggregate in Mission Control + CEO Performance Dashboard</w:t>
            </w:r>
          </w:p>
        </w:tc>
      </w:tr>
    </w:tbl>
    <w:p>
      <w:pPr>
        <w:spacing w:after="120" w:line="240" w:lineRule="auto"/>
      </w:pPr>
    </w:p>
    <w:p>
      <w:pPr>
        <w:pStyle w:val="Heading3"/>
      </w:pPr>
      <w:r>
        <w:t>3.5  Brain AI Recommendation Discipline</w:t>
      </w:r>
    </w:p>
    <w:p>
      <w:pPr>
        <w:spacing w:line="312" w:lineRule="auto" w:after="120"/>
        <w:ind w:firstLine="283"/>
        <w:jc w:val="both"/>
      </w:pPr>
      <w:r>
        <w:rPr>
          <w:rFonts w:ascii="Calibri" w:hAnsi="Calibri" w:cs="Calibri"/>
          <w:b w:val="0"/>
          <w:i w:val="0"/>
          <w:sz w:val="22"/>
          <w:szCs w:val="22"/>
        </w:rPr>
        <w:t xml:space="preserve">The Brain AI recommendation is a required input to every executive decision. Brain AI analyses the context memo, the alternatives, the risks, the evidence, and the impacts against the full Institutional Knowledge Base (Constitution v1.0, AOS, ACS, PH-ER, PE, GLS, and the Institutional Evidence Repository) and produces a recommendation with a confidence score (0–100%) and a structured rationale. The Decision Owner may accept, modify, or reject the recommendation; in every case the rationale for the disposition is recorded. Brain AI recommendations are advisory; final authority always rests with the human Decision Owner.</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Decision Intelligence Authority  </w:t>
      </w:r>
      <w:r>
        <w:rPr>
          <w:rFonts w:ascii="Calibri" w:hAnsi="Calibri" w:cs="Calibri"/>
          <w:b w:val="0"/>
          <w:i/>
          <w:sz w:val="22"/>
          <w:szCs w:val="22"/>
        </w:rPr>
        <w:t xml:space="preserve">The Executive Decision Intelligence engine is the single authoritative record of every executive decision at AURIENTA. No executive decision is taken outside this engine; no executive decision is closed without a realised-outcome measurement and a captured lesson. Every Decision Record is permanent, searchable, auditable, and constitutionally reviewed. The Brain AI recommendation is a required input; the human Decision Owner is the final authority.</w:t>
      </w:r>
    </w:p>
    <w:p>
      <w:pPr>
        <w:pStyle w:val="Heading2"/>
      </w:pPr>
      <w:r>
        <w:t>Section 4 — Mission Control (Unified Founder Cockpit)</w:t>
      </w:r>
    </w:p>
    <w:p>
      <w:pPr>
        <w:pStyle w:val="Heading3"/>
      </w:pPr>
      <w:r>
        <w:t>4.1  Overview</w:t>
      </w:r>
    </w:p>
    <w:p>
      <w:pPr>
        <w:spacing w:line="312" w:lineRule="auto" w:after="120"/>
        <w:ind w:firstLine="283"/>
        <w:jc w:val="both"/>
      </w:pPr>
      <w:r>
        <w:rPr>
          <w:rFonts w:ascii="Calibri" w:hAnsi="Calibri" w:cs="Calibri"/>
          <w:b w:val="0"/>
          <w:i w:val="0"/>
          <w:sz w:val="22"/>
          <w:szCs w:val="22"/>
        </w:rPr>
        <w:t xml:space="preserve">Part 4 delivers Mission Control — the unified Founder cockpit that consolidates every executive signal from Parts 1 through 10 and from every prior volume into a single, always-on, Brain AI-augmented surface. Mission Control is the executive analog of an air-traffic-control tower: twenty panels present the live state of the institution, the open risks, the pending decisions, the active commitments, the partner pipeline, the country readiness, the financial posture, the regulatory engagements, the certification roadmap, and the constitutional obligations — all refreshed in real time and all bound to audit-grade evidence.</w:t>
      </w:r>
    </w:p>
    <w:p>
      <w:pPr>
        <w:pStyle w:val="Heading3"/>
      </w:pPr>
      <w:r>
        <w:t>4.2  Mission Control — Twenty Panels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Panel</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Source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w:t>
            </w:r>
          </w:p>
        </w:tc>
        <w:tc>
          <w:tcPr>
            <w:tcW w:type="dxa" w:w="2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Alert Threshold</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Posture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Governance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Any invariant breach → immediate Red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Calendar</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M1</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Double-booking; unbriefed engagement</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Top Priorities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M2</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Priority off-track &gt; 5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Log</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M3 + Part 3</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decision</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Open decision &gt; SLA</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Commitments Register</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M4</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Commitment past due</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M5</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KR grade &lt; 0.7</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Initiatives Portfolio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2 E1 + E9</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 Portfolio Health &lt; 60 (Red)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RAID Log</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2 E6</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New Critical Risk or Issue</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P9</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1 + COO R5</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downgrade &gt; 10 points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P10</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Pipeline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2</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L4+ stall &gt; 4 weeks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3</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 overdue &gt; 30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Formation Pipeline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4 + ACS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Stage-gate missed</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Portfolio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ACS + PE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churn risk ≥ Medium</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ERC framework + CRO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Critical risk elevation</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&amp; Certifications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9 + ERC</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 deadline &lt; 30 days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Posture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Variance &gt; 10% from plan</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Briefings Queue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5</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Briefing overdue &gt; 1 day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Intelligence Alerts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6</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Importance ≥ High + Urgency ≥ High</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P19</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Knowledge Graph Insights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7</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New high-strength relationship</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P20</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Memory Search</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9</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Query latency &gt; 2s; or unresolved question &gt; 24h</w:t>
            </w:r>
          </w:p>
        </w:tc>
      </w:tr>
    </w:tbl>
    <w:p>
      <w:pPr>
        <w:spacing w:after="120" w:line="240" w:lineRule="auto"/>
      </w:pPr>
    </w:p>
    <w:p>
      <w:pPr>
        <w:pStyle w:val="Heading3"/>
      </w:pPr>
      <w:r>
        <w:t>4.3  Mission Control Operating Doctrine</w:t>
      </w:r>
    </w:p>
    <w:p>
      <w:pPr>
        <w:spacing w:line="312" w:lineRule="auto" w:after="120"/>
        <w:ind w:firstLine="283"/>
        <w:jc w:val="both"/>
      </w:pPr>
      <w:r>
        <w:rPr>
          <w:rFonts w:ascii="Calibri" w:hAnsi="Calibri" w:cs="Calibri"/>
          <w:b w:val="0"/>
          <w:i w:val="0"/>
          <w:sz w:val="22"/>
          <w:szCs w:val="22"/>
        </w:rPr>
        <w:t xml:space="preserve">Mission Control is operated continuously by the Chief of Staff with a daily review at 06:00 local time, a weekly review with the Founder every Monday at 08:00, and an ad-hoc review triggered by any Red alert. Every alert is triaged within one business hour; every Red alert generates an entry in the Part 1 Escalation Pathway. Mission Control is the canonical surface from which every Founder-level action is initiated; no executive action is taken without a Mission Control signal as its origin.</w:t>
      </w:r>
    </w:p>
    <w:p>
      <w:pPr>
        <w:pStyle w:val="Heading3"/>
      </w:pPr>
      <w:r>
        <w:t>4.4  Brain AI Augmentation</w:t>
      </w:r>
    </w:p>
    <w:p>
      <w:pPr>
        <w:spacing w:line="312" w:lineRule="auto" w:after="120"/>
        <w:ind w:firstLine="283"/>
        <w:jc w:val="both"/>
      </w:pPr>
      <w:r>
        <w:rPr>
          <w:rFonts w:ascii="Calibri" w:hAnsi="Calibri" w:cs="Calibri"/>
          <w:b w:val="0"/>
          <w:i w:val="0"/>
          <w:sz w:val="22"/>
          <w:szCs w:val="22"/>
        </w:rPr>
        <w:t xml:space="preserve">Brain AI augments Mission Control with continuous monitoring and proactive briefing. Brain AI scans every panel against historical patterns and Institutional Memory and produces: (a) anomaly alerts when any signal deviates from baseline; (b) cross-panel correlations when two or more panels co-trigger; (c) recommended actions with predicted impact; (d) auto-drafted Executive Briefings (Part 5) for any panel the Founder is about to engage. Brain AI augmentation is advisory; the Chief of Staff and the Founder are the final authorities on every action.</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Cockpit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review</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06:00 local — 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review</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Monday 08:00 — Founder + Executive Committee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Red alert SLA</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Triage within 1 business hour; escalation within 4 hours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Anomaly detection, cross-panel correlation, recommended actions, auto-briefing</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panel signal links to Institutional Evidence Repository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 panel may contradict any constitutional invariant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Mission Control Authority  </w:t>
      </w:r>
      <w:r>
        <w:rPr>
          <w:rFonts w:ascii="Calibri" w:hAnsi="Calibri" w:cs="Calibri"/>
          <w:b w:val="0"/>
          <w:i/>
          <w:sz w:val="22"/>
          <w:szCs w:val="22"/>
        </w:rPr>
        <w:t xml:space="preserve">Mission Control is the single authoritative executive cockpit for the Founder and the Executive Committee. No Founder-level action is initiated outside Mission Control; no Red alert is left untriaged beyond its SLA. The twenty panels consolidate every signal from Constitution v1.0 through GLS v1.0 and from Parts 1 through 10 into one always-on, Brain AI-augmented surface.</w:t>
      </w:r>
    </w:p>
    <w:p>
      <w:pPr>
        <w:pStyle w:val="Heading2"/>
      </w:pPr>
      <w:r>
        <w:t>Section 5 — Executive Briefings (Brain AI)</w:t>
      </w:r>
    </w:p>
    <w:p>
      <w:pPr>
        <w:pStyle w:val="Heading3"/>
      </w:pPr>
      <w:r>
        <w:t>5.1  Overview</w:t>
      </w:r>
    </w:p>
    <w:p>
      <w:pPr>
        <w:spacing w:line="312" w:lineRule="auto" w:after="120"/>
        <w:ind w:firstLine="283"/>
        <w:jc w:val="both"/>
      </w:pPr>
      <w:r>
        <w:rPr>
          <w:rFonts w:ascii="Calibri" w:hAnsi="Calibri" w:cs="Calibri"/>
          <w:b w:val="0"/>
          <w:i w:val="0"/>
          <w:sz w:val="22"/>
          <w:szCs w:val="22"/>
        </w:rPr>
        <w:t xml:space="preserve">Part 5 establishes the Executive Briefings system in which Brain AI auto-prepares Founder-ready briefings on demand. The system covers twelve briefing types — five time-cadenced (Daily, Weekly, Monthly, Quarterly, Annual) and seven context-driven (Country, Partner, Government, Enterprise, Meeting, Board, Due-Diligence). Every briefing is bound to audit-grade evidence in the Institutional Evidence Repository, draws from Institutional Memory (Part 9) and the Knowledge Graph (Part 7), and is delivered in a standard Founder-ready format with executive summary, key signals, recommended actions, and evidence links.</w:t>
      </w:r>
    </w:p>
    <w:p>
      <w:pPr>
        <w:pStyle w:val="Heading3"/>
      </w:pPr>
      <w:r>
        <w:t>5.2  Twelve Briefing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Briefing</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Trigger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Length</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06:00 every business day</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page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Monday 07:00</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Chief of Staff</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business day of month</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pages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COO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business day of quarter</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COO + Founder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First business day of year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pages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Founder + 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demand (per country engagement)</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Regional President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demand (per partner engagement)</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pages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Partnership Office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demand (per government engagement)</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General Counsel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demand (per Enterprise engagement)</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pages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Account Manager</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B10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T-24 hours before any executive meeting</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Chief of Staff</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B11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Briefing</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T-7 days before any board meeting</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pages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Chief of Staff + General Counsel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B12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Due-Diligence Briefing</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demand (per DD package)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pages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General Counsel</w:t>
            </w:r>
          </w:p>
        </w:tc>
      </w:tr>
    </w:tbl>
    <w:p>
      <w:pPr>
        <w:spacing w:after="120" w:line="240" w:lineRule="auto"/>
      </w:pPr>
    </w:p>
    <w:p>
      <w:pPr>
        <w:pStyle w:val="Heading3"/>
      </w:pPr>
      <w:r>
        <w:t>5.3  Standard Briefing Structure</w:t>
      </w:r>
    </w:p>
    <w:p>
      <w:pPr>
        <w:spacing w:line="312" w:lineRule="auto" w:after="120"/>
        <w:ind w:firstLine="283"/>
        <w:jc w:val="both"/>
      </w:pPr>
      <w:r>
        <w:rPr>
          <w:rFonts w:ascii="Calibri" w:hAnsi="Calibri" w:cs="Calibri"/>
          <w:b w:val="0"/>
          <w:i w:val="0"/>
          <w:sz w:val="22"/>
          <w:szCs w:val="22"/>
        </w:rPr>
        <w:t xml:space="preserve">Every Executive Briefing follows a standard structure to guarantee Founder-ready consistency. The structure comprises five sections: (1) Executive Summary — a three-sentence summary that the Founder can read in under thirty seconds; (2) Key Signals — the five most important signals with trend, evidence link, and Brain AI interpretation; (3) Recommended Actions — the three actions Brain AI recommends, with predicted impact and owner; (4) Risks &amp; Watch-Items — the risks Brain AI has flagged, with severity and mitigation; (5) Evidence Annex — the audit-grade evidence links drawn from the Institutional Evidence Repository.</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 structure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Summary → Key Signals → Recommended Actions → Risks &amp; Watch-Items → Evidence Annex</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 (cadenced briefings)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(Daily/Weekly) · COO (Monthly/Quarterly) · Founder (Annual)</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 (context briefings)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Regional President (Country) · Partnership Office (Partner) · General Counsel (Government/Board/DD) · Account Manager (Enterprise) · Chief of Staff (Meeting)</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Drafting, evidence retrieval, Knowledge Graph correlation, Institutional Memory lookup</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claim links to ≥ 1 evidence artefact in Institutional Evidence Repository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Confidentiality tier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GLS Part 10 DD access classification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review</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review on every Board Briefing</w:t>
            </w:r>
          </w:p>
        </w:tc>
      </w:tr>
    </w:tbl>
    <w:p>
      <w:pPr>
        <w:spacing w:after="120" w:line="240" w:lineRule="auto"/>
      </w:pPr>
    </w:p>
    <w:p>
      <w:pPr>
        <w:pStyle w:val="Heading3"/>
      </w:pPr>
      <w:r>
        <w:t>5.4  Brain AI Briefing Generation Workflow</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Trigger</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Briefing triggered by cadence or on-demand request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 Chief of Staff</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Instant</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Retrieval</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retrieves all relevant evidence from Institutional Evidence Repository + Institutional Memory</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minutes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Knowledge Graph Correlation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correlates the brief subject with all relationships in Part 7 Knowledge Graph</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minute</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Draft Generation</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generates the standard-structure draft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minutes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Human Review</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owner reviews, edits, and approves the draft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 (per 5.3)</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30 minutes</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Delivery</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Briefing delivered to Founder via Mission Control + email + mobile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minutes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Archive</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Briefing archived in Institutional Memory (Part 9) with version history</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Instant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Executive Briefings Authority  </w:t>
      </w:r>
      <w:r>
        <w:rPr>
          <w:rFonts w:ascii="Calibri" w:hAnsi="Calibri" w:cs="Calibri"/>
          <w:b w:val="0"/>
          <w:i/>
          <w:sz w:val="22"/>
          <w:szCs w:val="22"/>
        </w:rPr>
        <w:t xml:space="preserve">The Executive Briefings system is the single authoritative Founder-ready briefing function at AURIENTA. Every cadenced and context briefing is auto-prepared by Brain AI, human-reviewed by a named owner, evidence-bound, and archived in Institutional Memory. No Founder engagement is entered without a corresponding briefing; no briefing is delivered without a human owner's approval.</w:t>
      </w:r>
    </w:p>
    <w:p>
      <w:pPr>
        <w:pStyle w:val="Heading2"/>
      </w:pPr>
      <w:r>
        <w:t>Section 6 — Corporate Intelligence</w:t>
      </w:r>
    </w:p>
    <w:p>
      <w:pPr>
        <w:pStyle w:val="Heading3"/>
      </w:pPr>
      <w:r>
        <w:t>6.1  Overview</w:t>
      </w:r>
    </w:p>
    <w:p>
      <w:pPr>
        <w:spacing w:line="312" w:lineRule="auto" w:after="120"/>
        <w:ind w:firstLine="283"/>
        <w:jc w:val="both"/>
      </w:pPr>
      <w:r>
        <w:rPr>
          <w:rFonts w:ascii="Calibri" w:hAnsi="Calibri" w:cs="Calibri"/>
          <w:b w:val="0"/>
          <w:i w:val="0"/>
          <w:sz w:val="22"/>
          <w:szCs w:val="22"/>
        </w:rPr>
        <w:t xml:space="preserve">Part 6 establishes the Corporate Intelligence function that monitors ten intelligence domains on behalf of the Founder and the Executive Committee. Each domain is monitored continuously, with every signal scored for importance and urgency, routed to a named owner, given an action and a due date, and archived in Institutional Memory. Corporate Intelligence is the executive early-warning system; it surfaces the signals that the Founder needs before they become incidents.</w:t>
      </w:r>
    </w:p>
    <w:p>
      <w:pPr>
        <w:pStyle w:val="Heading3"/>
      </w:pPr>
      <w:r>
        <w:t>6.2  Ten Intelligence Domains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Domain</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Monitored Signals</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Competitor Intelligence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Competitor announcements, hiring, partnerships, product launches, regulatory actions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CMO</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Intelligence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drafts, consultations, enforcement actions, standards changes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CCO</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AI Intelligence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AI model releases, research breakthroughs, AI regulation, AI incidents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AI Officer</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Software Intelligence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software releases, M&amp;A, security advisories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CISO</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Intelligence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changes, policy announcements, sovereign-fund moves, diplomatic shifts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Economic Intelligence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Macro indicators, FX moves, commodity prices, sovereign credit outlook</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Economist</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Banking Intelligence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Banking partner news, correspondent-banking changes, sanctions updates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General Counsel</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 Intelligence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Case law, precedent-setting judgments, constitutional-court decisions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I9</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Standards Intelligence</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 IEC / NIST / CSA / OWASP standard releases and revisions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CISO + CCO</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I10</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News Intelligence</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News affecting any of the sixteen GLS partner types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bl>
    <w:p>
      <w:pPr>
        <w:spacing w:after="120" w:line="240" w:lineRule="auto"/>
      </w:pPr>
    </w:p>
    <w:p>
      <w:pPr>
        <w:pStyle w:val="Heading3"/>
      </w:pPr>
      <w:r>
        <w:t>6.3  Signal Scoring — Importance × Urgency</w:t>
      </w:r>
    </w:p>
    <w:p>
      <w:pPr>
        <w:spacing w:line="312" w:lineRule="auto" w:after="120"/>
        <w:ind w:firstLine="283"/>
        <w:jc w:val="both"/>
      </w:pPr>
      <w:r>
        <w:rPr>
          <w:rFonts w:ascii="Calibri" w:hAnsi="Calibri" w:cs="Calibri"/>
          <w:b w:val="0"/>
          <w:i w:val="0"/>
          <w:sz w:val="22"/>
          <w:szCs w:val="22"/>
        </w:rPr>
        <w:t xml:space="preserve">Every Corporate Intelligence signal is scored on a 1–5 scale for Importance (strategic relevance to AURIENTA) and a 1–5 scale for Urgency (time-to-act). The product yields a 1–25 Priority score. Signals with Priority ≥ 16 trigger an immediate Mission Control alert (Panel P18) and a same-day Executive Briefing (Section 5); signals with Priority 9–15 trigger a next-business-day briefing; signals with Priority &lt; 9 are batched into the weekly Corporate Intelligence digest.</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Priority Score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Action</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Briefing Cadence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16 (High/High)</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Immediate Mission Control alert + same-day briefing</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Same day</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executive owner</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9–15 (Medium)</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Next-business-day briefing</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Next business day</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executive owner</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1–8 (Low)</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Batched in weekly Corporate Intelligence digest</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bl>
    <w:p>
      <w:pPr>
        <w:spacing w:after="120" w:line="240" w:lineRule="auto"/>
      </w:pPr>
    </w:p>
    <w:p>
      <w:pPr>
        <w:pStyle w:val="Heading3"/>
      </w:pPr>
      <w:r>
        <w:t>6.4  Signal Record Schema</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Field</w:t>
            </w:r>
          </w:p>
        </w:tc>
        <w:tc>
          <w:tcPr>
            <w:tcW w:type="dxa" w:w="6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Signal ID</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Unique identifier; format SIG-YYYY-NNNN</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Domain</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One of I1–I10</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Source</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Authoritative source URL or reference</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Summary</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Concise summary of the signal</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Importance</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Urgency</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Priority</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Importance × Urgency (1–25)</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Recommended Action</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AI-recommended action with predicted impact</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executive owner</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Due Date</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Date by which the action must be completed</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Link</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Link to evidence artefact in Institutional Evidence Repository</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Closure Note</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Outcome captured when the signal is closed</w:t>
            </w:r>
          </w:p>
        </w:tc>
      </w:tr>
    </w:tbl>
    <w:p>
      <w:pPr>
        <w:spacing w:after="120" w:line="240" w:lineRule="auto"/>
      </w:pPr>
    </w:p>
    <w:p>
      <w:pPr>
        <w:pStyle w:val="Heading3"/>
      </w:pPr>
      <w:r>
        <w:t>6.5  Brain AI Augmentation</w:t>
      </w:r>
    </w:p>
    <w:p>
      <w:pPr>
        <w:spacing w:line="312" w:lineRule="auto" w:after="120"/>
        <w:ind w:firstLine="283"/>
        <w:jc w:val="both"/>
      </w:pPr>
      <w:r>
        <w:rPr>
          <w:rFonts w:ascii="Calibri" w:hAnsi="Calibri" w:cs="Calibri"/>
          <w:b w:val="0"/>
          <w:i w:val="0"/>
          <w:sz w:val="22"/>
          <w:szCs w:val="22"/>
        </w:rPr>
        <w:t xml:space="preserve">Brain AI augments Corporate Intelligence with continuous source monitoring, signal classification, importance and urgency scoring, recommended-action generation, and cross-domain correlation. Brain AI scans every signal against Institutional Memory and the Knowledge Graph (Part 7) to detect precedent patterns and to recommend the action most consistent with AURIENTA's prior dispositions. Brain AI augmentation is advisory; the named executive owner is the final authority on every action.</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Corporate Intelligence Authority  </w:t>
      </w:r>
      <w:r>
        <w:rPr>
          <w:rFonts w:ascii="Calibri" w:hAnsi="Calibri" w:cs="Calibri"/>
          <w:b w:val="0"/>
          <w:i/>
          <w:sz w:val="22"/>
          <w:szCs w:val="22"/>
        </w:rPr>
        <w:t xml:space="preserve">The Corporate Intelligence function is the single authoritative executive early-warning system at AURIENTA. Every signal across the ten domains is scored, owned, actioned, and archived. No signal with Priority ≥ 16 is left unbriefed beyond the same business day; no signal is closed without an evidence-bound closure note in Institutional Memory.</w:t>
      </w:r>
    </w:p>
    <w:p>
      <w:pPr>
        <w:pStyle w:val="Heading2"/>
      </w:pPr>
      <w:r>
        <w:t>Section 7 — Executive Knowledge Graph</w:t>
      </w:r>
    </w:p>
    <w:p>
      <w:pPr>
        <w:pStyle w:val="Heading3"/>
      </w:pPr>
      <w:r>
        <w:t>7.1  Overview</w:t>
      </w:r>
    </w:p>
    <w:p>
      <w:pPr>
        <w:spacing w:line="312" w:lineRule="auto" w:after="120"/>
        <w:ind w:firstLine="283"/>
        <w:jc w:val="both"/>
      </w:pPr>
      <w:r>
        <w:rPr>
          <w:rFonts w:ascii="Calibri" w:hAnsi="Calibri" w:cs="Calibri"/>
          <w:b w:val="0"/>
          <w:i w:val="0"/>
          <w:sz w:val="22"/>
          <w:szCs w:val="22"/>
        </w:rPr>
        <w:t xml:space="preserve">Part 7 deploys the Executive Knowledge Graph — the living relationship graph that connects every person, organisation, country, Enterprise, partner, government, contract, risk, decision, project, meeting, evidence artefact, and document across AURIENTA. The Knowledge Graph is the institutional memory of relationships: it remembers who introduced whom, which contracts bind which parties, which decisions affected which projects, which evidence supports which milestones, and which meetings produced which commitments. Brain AI queries the Knowledge Graph to power Executive Briefings (Part 5), Decision Intelligence (Part 3), and Mission Control (Part 4).</w:t>
      </w:r>
    </w:p>
    <w:p>
      <w:pPr>
        <w:pStyle w:val="Heading3"/>
      </w:pPr>
      <w:r>
        <w:t>7.2  Fourteen Entity Types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Entity Type</w:t>
            </w:r>
          </w:p>
        </w:tc>
        <w:tc>
          <w:tcPr>
            <w:tcW w:type="dxa" w:w="4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Attributes</w:t>
            </w:r>
          </w:p>
        </w:tc>
        <w:tc>
          <w:tcPr>
            <w:tcW w:type="dxa" w:w="2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Source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 role, organisation, contact, trust score, engagement history</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Stakeholder Registry (GLS R2)</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Organisation</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 type, country, sector, ownership, relationship status</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Stakeholder Registry (GLS R2)</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Score, region, regulator, partners, Enterprises</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1 + COO R5</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tier, founder, jurisdiction, Equity Units issued, milestone status</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ACS + Constitutional Ledger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type, lifecycle stage, KPIs, contract instrument</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2</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Stakeholder</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Stakeholder type, engagement plan, cadence, status</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3</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Type, parties, execution date, term, value, renewal date</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Type, severity, owner, mitigation, status</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ERC framework + CRO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E9</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ID, owner, date, outcome, lesson</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3 Decision Intelligence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E10</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 Initiative</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sponsor, milestones, status</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2 EPMO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Date, attendees, agenda, decisions, action items</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 Part 5</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Artefact</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Artefact ID, type, hash, repository path</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Evidence Repository (PE WS9)</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w:t>
            </w:r>
          </w:p>
        </w:tc>
        <w:tc>
          <w:tcPr>
            <w:tcW w:type="dxa" w:w="4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ID, type, version, classification, custodian</w:t>
            </w:r>
          </w:p>
        </w:tc>
        <w:tc>
          <w:tcPr>
            <w:tcW w:type="dxa" w:w="2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Document Management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w:t>
            </w:r>
          </w:p>
        </w:tc>
        <w:tc>
          <w:tcPr>
            <w:tcW w:type="dxa" w:w="4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Counterpart, segment, engagement stage, AUM, mandate</w:t>
            </w:r>
          </w:p>
        </w:tc>
        <w:tc>
          <w:tcPr>
            <w:tcW w:type="dxa" w:w="2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GLS Part 4 + ACS</w:t>
            </w:r>
          </w:p>
        </w:tc>
      </w:tr>
    </w:tbl>
    <w:p>
      <w:pPr>
        <w:spacing w:after="120" w:line="240" w:lineRule="auto"/>
      </w:pPr>
    </w:p>
    <w:p>
      <w:pPr>
        <w:pStyle w:val="Heading3"/>
      </w:pPr>
      <w:r>
        <w:t>7.3  Edge Types — Relationship Vocabulary</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Edge Type</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Strength</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introduced-by</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 A was introduced to Person B by Person C</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works-at</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 works at Organisation</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(deterministic)</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signed</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 / Organisation signed Contract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 / Organisation owns Equity Units in Enterprise</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partnered-with</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Organisation partnered with AURIENTA (Partner type)</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engaged-by</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Stakeholder engaged by AURIENTA</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affected-by</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 Enterprise / Country affected by Decision or Risk</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evidence-for</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Artefact supports Decision / Milestone / Project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attended</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 attended Meeting</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resulted-in</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resulted in Decision or Commitment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depends-on</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Project / Initiative depends-on another Project / External Event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referred-by</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referred by Partner / Capital Partner / Person</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co-participated-with</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co-participated with another Capital Partner</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renewal-of</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 is renewal of prior Contract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w:t>
            </w:r>
          </w:p>
        </w:tc>
      </w:tr>
    </w:tbl>
    <w:p>
      <w:pPr>
        <w:spacing w:after="120" w:line="240" w:lineRule="auto"/>
      </w:pPr>
    </w:p>
    <w:p>
      <w:pPr>
        <w:pStyle w:val="Heading3"/>
      </w:pPr>
      <w:r>
        <w:t>7.4  Graph Query Patterns</w:t>
      </w:r>
    </w:p>
    <w:p>
      <w:pPr>
        <w:spacing w:line="312" w:lineRule="auto" w:after="120"/>
        <w:ind w:firstLine="283"/>
        <w:jc w:val="both"/>
      </w:pPr>
      <w:r>
        <w:rPr>
          <w:rFonts w:ascii="Calibri" w:hAnsi="Calibri" w:cs="Calibri"/>
          <w:b w:val="0"/>
          <w:i w:val="0"/>
          <w:sz w:val="22"/>
          <w:szCs w:val="22"/>
        </w:rPr>
        <w:t xml:space="preserve">Brain AI queries the Knowledge Graph to answer institutional questions that no individual system can answer alone. Representative query patterns include: (a) 'show me every person who introduced AURIENTA to a Capital Partner in the last 24 months'; (b) 'show me every decision that affected the Egyptian pilot cohort and the lesson captured'; (c) 'show me every contract renewing in the next 90 days with the counterpart's engagement history'; (d) 'show me every Enterprise referred by Law Firm X with current milestone status'; (e) 'show me the shortest relationship path between AURIENTA and a target government stakeholder'.</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Graph storage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Property graph (vertices + typed edges + attributes)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Real-time (event-driven writes)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Natural-language query, multi-hop traversal, pattern detection, anomaly surfacing</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 control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Constitutional Terminology Standard + GLS Part 10 DD classification</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query logged in Institutional Memory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Backup</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snapshot to Institutional Evidence Repository</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Knowledge Graph Authority  </w:t>
      </w:r>
      <w:r>
        <w:rPr>
          <w:rFonts w:ascii="Calibri" w:hAnsi="Calibri" w:cs="Calibri"/>
          <w:b w:val="0"/>
          <w:i/>
          <w:sz w:val="22"/>
          <w:szCs w:val="22"/>
        </w:rPr>
        <w:t xml:space="preserve">The Executive Knowledge Graph is the single authoritative institutional relationship graph at AURIENTA. Every person, organisation, country, Enterprise, partner, government, contract, risk, decision, project, meeting, evidence artefact, and document is a vertex; every relationship is a typed edge. Brain AI queries the graph to power Executive Briefings, Decision Intelligence, and Mission Control. The graph is the institutional memory of relationships; no relationship is forgotten.</w:t>
      </w:r>
    </w:p>
    <w:p>
      <w:pPr>
        <w:pStyle w:val="Heading2"/>
      </w:pPr>
      <w:r>
        <w:t>Section 8 — Executive Workflow Automation</w:t>
      </w:r>
    </w:p>
    <w:p>
      <w:pPr>
        <w:pStyle w:val="Heading3"/>
      </w:pPr>
      <w:r>
        <w:t>8.1  Overview</w:t>
      </w:r>
    </w:p>
    <w:p>
      <w:pPr>
        <w:spacing w:line="312" w:lineRule="auto" w:after="120"/>
        <w:ind w:firstLine="283"/>
        <w:jc w:val="both"/>
      </w:pPr>
      <w:r>
        <w:rPr>
          <w:rFonts w:ascii="Calibri" w:hAnsi="Calibri" w:cs="Calibri"/>
          <w:b w:val="0"/>
          <w:i w:val="0"/>
          <w:sz w:val="22"/>
          <w:szCs w:val="22"/>
        </w:rPr>
        <w:t xml:space="preserve">Part 8 deploys the Executive Workflow Automation fabric — the set of always-on automations that relieve the Chief of Staff and the Executive Committee of repetitive coordination work. Nine automation classes cover the full executive workflow lifecycle: follow-ups, meeting summaries, decision reminders, renewal reminders, risk escalation, KPI alerts, reports, approvals, and certification deadlines. Each automation is auditable, overrideable by a named human owner, and bound to Institutional Memory (Part 9).</w:t>
      </w:r>
    </w:p>
    <w:p>
      <w:pPr>
        <w:pStyle w:val="Heading3"/>
      </w:pPr>
      <w:r>
        <w:t>8.2  Nine Automation Classes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Automation</w:t>
            </w:r>
          </w:p>
        </w:tc>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Trigger</w:t>
            </w:r>
          </w:p>
        </w:tc>
        <w:tc>
          <w:tcPr>
            <w:tcW w:type="dxa" w:w="2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Action</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Follow-Up Engine</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Open follow-up past SLA window</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Escalation reminder to owner + Chief of Staff</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Summaries</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end (calendar-detected)</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AI-generated summary + action items + archival in Institutional Memory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Reminders</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DL5 Implement past planned date</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Reminder to Implementation Owner + Decision Owner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Renewal Reminders</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Contract / partnership renewal T-90 / T-30 / T-7</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Reminder to owner + General Counsel + COO</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Escalation</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severity elevated to Critical</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Immediate Mission Control alert + Part 1 Escalation entry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KPI Alerts</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KPI breach or trend anomaly</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Alert to KPI owner + Mission Control signal</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KPI 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Reports Automation</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Cadenced report (daily / weekly / monthly / quarterly)</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AI-drafted report + owner review + distribution</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Approvals Routing</w:t>
            </w:r>
          </w:p>
        </w:tc>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Approval request raised (change / spend / commitment)</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Route to approver per delegation matrix + SLA enforcement</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CFO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A9</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 Deadlines</w:t>
            </w:r>
          </w:p>
        </w:tc>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 milestone T-90 / T-30 / T-7</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Reminder to certification owner + CISO + CCO</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CCO</w:t>
            </w:r>
          </w:p>
        </w:tc>
      </w:tr>
    </w:tbl>
    <w:p>
      <w:pPr>
        <w:spacing w:after="120" w:line="240" w:lineRule="auto"/>
      </w:pPr>
    </w:p>
    <w:p>
      <w:pPr>
        <w:pStyle w:val="Heading3"/>
      </w:pPr>
      <w:r>
        <w:t>8.3  Meeting Summary Automation — Detail</w:t>
      </w:r>
    </w:p>
    <w:p>
      <w:pPr>
        <w:spacing w:line="312" w:lineRule="auto" w:after="120"/>
        <w:ind w:firstLine="283"/>
        <w:jc w:val="both"/>
      </w:pPr>
      <w:r>
        <w:rPr>
          <w:rFonts w:ascii="Calibri" w:hAnsi="Calibri" w:cs="Calibri"/>
          <w:b w:val="0"/>
          <w:i w:val="0"/>
          <w:sz w:val="22"/>
          <w:szCs w:val="22"/>
        </w:rPr>
        <w:t xml:space="preserve">The Meeting Summary automation is the most operationally consequential of the nine classes. At the end of every executive meeting — detected via the Executive Calendar — Brain AI ingests the meeting transcript (where consented), the agenda, and any pre-reads, and produces a structured summary comprising: (1) Decisions Taken (each bound to a Part 3 Decision Record); (2) Action Items (each with owner and due date, written to the Part 1 Follow-Up Engine); (3) Open Questions (each routed to the named owner); (4) Commitments (each written to the Part 1 Commitments Register); (5) Risks Flagged (each written to the Part 2 RAID Log). The summary is reviewed by the Chief of Staff, approved, and archived in Institutional Memory.</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Trigger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 end (calendar-detected)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Input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Transcript (consented) + agenda + pre-reads + attendee list</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Output</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Decisions + Action Items + Open Questions + Commitments + Risks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Review SLA</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Within 4 business hours of meeting end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Archive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Memory (Part 9) with version history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Override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may amend before approval; audit log preserves original</w:t>
            </w:r>
          </w:p>
        </w:tc>
      </w:tr>
    </w:tbl>
    <w:p>
      <w:pPr>
        <w:spacing w:after="120" w:line="240" w:lineRule="auto"/>
      </w:pPr>
    </w:p>
    <w:p>
      <w:pPr>
        <w:pStyle w:val="Heading3"/>
      </w:pPr>
      <w:r>
        <w:t>8.4  Approvals Routing — Delegation Matrix</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Approval Type</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Approver</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SLA</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Override Authority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amendment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 + Founder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amendment process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None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partnership (P0 / P1)</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General Counsel</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business days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commitment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business days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engagement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CFO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business days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Spend &gt; 1% of quarterly budget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COO</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business days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Spend &gt; 5% of quarterly budget</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CFO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business days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Request (constitutional impact)</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business days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Change Request (non-constitutional)</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business days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Hiring (executive)</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CHRO</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business days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Hiring (non-executive)</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Function executive + CHRO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 business days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Workflow Automation Authority  </w:t>
      </w:r>
      <w:r>
        <w:rPr>
          <w:rFonts w:ascii="Calibri" w:hAnsi="Calibri" w:cs="Calibri"/>
          <w:b w:val="0"/>
          <w:i/>
          <w:sz w:val="22"/>
          <w:szCs w:val="22"/>
        </w:rPr>
        <w:t xml:space="preserve">The Executive Workflow Automation fabric is the single authoritative automation layer for executive coordination at AURIENTA. Every automation is auditable, overrideable by a named human owner, and bound to Institutional Memory. No executive coordination work is performed outside the nine automation classes; no automation is operated without a named human owner.</w:t>
      </w:r>
    </w:p>
    <w:p>
      <w:pPr>
        <w:pStyle w:val="Heading2"/>
      </w:pPr>
      <w:r>
        <w:t>Section 9 — Institutional Memory</w:t>
      </w:r>
    </w:p>
    <w:p>
      <w:pPr>
        <w:pStyle w:val="Heading3"/>
      </w:pPr>
      <w:r>
        <w:t>9.1  Overview</w:t>
      </w:r>
    </w:p>
    <w:p>
      <w:pPr>
        <w:spacing w:line="312" w:lineRule="auto" w:after="120"/>
        <w:ind w:firstLine="283"/>
        <w:jc w:val="both"/>
      </w:pPr>
      <w:r>
        <w:rPr>
          <w:rFonts w:ascii="Calibri" w:hAnsi="Calibri" w:cs="Calibri"/>
          <w:b w:val="0"/>
          <w:i w:val="0"/>
          <w:sz w:val="22"/>
          <w:szCs w:val="22"/>
        </w:rPr>
        <w:t xml:space="preserve">Part 9 establishes Institutional Memory — the permanent, Brain AI-searchable record of every decision, meeting, negotiation, lesson, milestone, incident, audit, success, and failure across AURIENTA. Institutional Memory is the institutional equivalent of an executive's lifetime experience: it captures what was decided, what was tried, what worked, what failed, what was learned, and what was promised — and makes all of it retrievable in seconds by the Founder, the Executive Committee, the Board, any auditor, and any regulator. Institutional Memory is append-only: nothing is ever deleted; everything is versioned; everything is evidence-bound.</w:t>
      </w:r>
    </w:p>
    <w:p>
      <w:pPr>
        <w:pStyle w:val="Heading3"/>
      </w:pPr>
      <w:r>
        <w:t>9.2  Ten Memory Categories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Category</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Source</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Retention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Part 3 Decision Record, closed</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3 Decision Intelligence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M2</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Meetings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executive meeting summary + action items + commitments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8 A2 Meeting Summaries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M3</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Negotiations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negotiation thread with positions, concessions, and outcome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Chief of Staff</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M4</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lesson captured at DL7 Learn stage or post-incident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3 + Part 8 A5</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M5</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Milestones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milestone planned vs actual with variance narrative</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2 EPMO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M6</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Incidents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operational, security, or compliance incident with timeline + RCA</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CISO + CCO</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M7</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internal / external audit with findings + remediation</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General Counsel</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M8</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Successes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documented institutional success with contributing factors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M9</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Failures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documented institutional failure with root cause + lesson</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CRO</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M10</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Commitments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commitment made by the Founder or Executive Committee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 1 M4 Commitments Register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r>
    </w:tbl>
    <w:p>
      <w:pPr>
        <w:spacing w:after="120" w:line="240" w:lineRule="auto"/>
      </w:pPr>
    </w:p>
    <w:p>
      <w:pPr>
        <w:pStyle w:val="Heading3"/>
      </w:pPr>
      <w:r>
        <w:t>9.3  Memory Record Schema</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2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Field</w:t>
            </w:r>
          </w:p>
        </w:tc>
        <w:tc>
          <w:tcPr>
            <w:tcW w:type="dxa" w:w="6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Memory ID</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Unique identifier; format MEM-YYYY-NNNN</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Category</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One of M1–M10</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Title</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Concise descriptive title</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Date</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Date of the underlying event</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owner at the time of the event</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Counterparts</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Persons / organisations involved (Knowledge Graph links)</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Narrative</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Structured narrative of the event</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Links</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Links to evidence artefacts in Institutional Evidence Repository</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Lessons captured (cross-references to other Memory entries where applicable)</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Tags</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Free-form + controlled tags for retrieval</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 Classification</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GLS Part 10 DD access classification</w:t>
            </w:r>
          </w:p>
        </w:tc>
      </w:tr>
      <w:tr>
        <w:trPr>
          <w:cantSplit/>
        </w:trPr>
        <w:tc>
          <w:tcPr>
            <w:tcW w:type="dxa" w:w="2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Version</w:t>
            </w:r>
          </w:p>
        </w:tc>
        <w:tc>
          <w:tcPr>
            <w:tcW w:type="dxa" w:w="6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Append-only version history</w:t>
            </w:r>
          </w:p>
        </w:tc>
      </w:tr>
      <w:tr>
        <w:trPr>
          <w:cantSplit/>
        </w:trPr>
        <w:tc>
          <w:tcPr>
            <w:tcW w:type="dxa" w:w="2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Linked Memory</w:t>
            </w:r>
          </w:p>
        </w:tc>
        <w:tc>
          <w:tcPr>
            <w:tcW w:type="dxa" w:w="6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Other Memory entries linked by Brain AI</w:t>
            </w:r>
          </w:p>
        </w:tc>
      </w:tr>
    </w:tbl>
    <w:p>
      <w:pPr>
        <w:spacing w:after="120" w:line="240" w:lineRule="auto"/>
      </w:pPr>
    </w:p>
    <w:p>
      <w:pPr>
        <w:pStyle w:val="Heading3"/>
      </w:pPr>
      <w:r>
        <w:t>9.4  Brain AI Search</w:t>
      </w:r>
    </w:p>
    <w:p>
      <w:pPr>
        <w:spacing w:line="312" w:lineRule="auto" w:after="120"/>
        <w:ind w:firstLine="283"/>
        <w:jc w:val="both"/>
      </w:pPr>
      <w:r>
        <w:rPr>
          <w:rFonts w:ascii="Calibri" w:hAnsi="Calibri" w:cs="Calibri"/>
          <w:b w:val="0"/>
          <w:i w:val="0"/>
          <w:sz w:val="22"/>
          <w:szCs w:val="22"/>
        </w:rPr>
        <w:t xml:space="preserve">Brain AI searches Institutional Memory in natural language. The Founder or any Executive Committee member may ask questions such as: 'What did we decide the last time we engaged the Egyptian regulator on Equity Unit treatment?'; 'Show me every lesson we captured from a failed partnership in the GCC'; 'What commitments has the Founder made to Sovereign Wealth Funds in the last 18 months?'; 'What is the root-cause pattern across our last five Critical incidents?'. Brain AI retrieves the relevant Memory entries, surfaces cross-references from the Knowledge Graph (Part 7), and presents a Founder-ready answer with evidence links and recommended next actions.</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Search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CTO</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Natural-language query, semantic retrieval, cross-reference, summarisation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Access control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GLS Part 10 DD access classification + role-based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query logged with querier identity + timestamp</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Retention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 append-only; versioned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Backup</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snapshot to Institutional Evidence Repository + off-site immutable copy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 Memory entry may contradict any constitutional invariant</w:t>
            </w:r>
          </w:p>
        </w:tc>
      </w:tr>
    </w:tbl>
    <w:p>
      <w:pPr>
        <w:spacing w:after="120" w:line="240" w:lineRule="auto"/>
      </w:pPr>
    </w:p>
    <w:p>
      <w:pPr>
        <w:pStyle w:val="Heading3"/>
      </w:pPr>
      <w:r>
        <w:t>9.5  Annual Constitutional Report</w:t>
      </w:r>
    </w:p>
    <w:p>
      <w:pPr>
        <w:spacing w:line="312" w:lineRule="auto" w:after="120"/>
        <w:ind w:firstLine="283"/>
        <w:jc w:val="both"/>
      </w:pPr>
      <w:r>
        <w:rPr>
          <w:rFonts w:ascii="Calibri" w:hAnsi="Calibri" w:cs="Calibri"/>
          <w:b w:val="0"/>
          <w:i w:val="0"/>
          <w:sz w:val="22"/>
          <w:szCs w:val="22"/>
        </w:rPr>
        <w:t xml:space="preserve">Institutional Memory is the substrate for the Annual Constitutional Report that the Founder is duty-bound to present under Constitution v1.0. The Report draws on every M1–M10 category to present: (a) every constitutional responsibility discharged with evidence; (b) every decision of constitutional significance with outcome and lesson; (c) every audit conducted and every remediation closed; (d) every incident with root cause and prevention; (e) every success with contributing factors; (f) every failure with lesson captured. The Report is presented to the Constitutional Council, the Board, and — where required — to the relevant regulators.</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Institutional Memory Authority  </w:t>
      </w:r>
      <w:r>
        <w:rPr>
          <w:rFonts w:ascii="Calibri" w:hAnsi="Calibri" w:cs="Calibri"/>
          <w:b w:val="0"/>
          <w:i/>
          <w:sz w:val="22"/>
          <w:szCs w:val="22"/>
        </w:rPr>
        <w:t xml:space="preserve">Institutional Memory is the single authoritative permanent executive memory of AURIENTA. Every decision, meeting, negotiation, lesson, milestone, incident, audit, success, failure, and commitment is captured, versioned, and searchable. Nothing is forgotten; nothing is deleted; everything is evidence-bound. Institutional Memory is the substrate of the Annual Constitutional Report and the institutional substrate of every Brain AI query.</w:t>
      </w:r>
    </w:p>
    <w:p>
      <w:pPr>
        <w:pStyle w:val="Heading2"/>
      </w:pPr>
      <w:r>
        <w:t>Section 10 — CEO Performance Dashboard</w:t>
      </w:r>
    </w:p>
    <w:p>
      <w:pPr>
        <w:pStyle w:val="Heading3"/>
      </w:pPr>
      <w:r>
        <w:t>10.1  Overview</w:t>
      </w:r>
    </w:p>
    <w:p>
      <w:pPr>
        <w:spacing w:line="312" w:lineRule="auto" w:after="120"/>
        <w:ind w:firstLine="283"/>
        <w:jc w:val="both"/>
      </w:pPr>
      <w:r>
        <w:rPr>
          <w:rFonts w:ascii="Calibri" w:hAnsi="Calibri" w:cs="Calibri"/>
          <w:b w:val="0"/>
          <w:i w:val="0"/>
          <w:sz w:val="22"/>
          <w:szCs w:val="22"/>
        </w:rPr>
        <w:t xml:space="preserve">Part 10 delivers the CEO Performance Dashboard — the structured performance cockpit for the Founder as CEO. The Dashboard consolidates seventeen performance dimensions into a single weekly view presented alongside Mission Control (Part 4). Each dimension has a defined metric, a target, a current value, a trend, and an evidence link. The Dashboard is the Founder's weekly institutional health check and the Board's quarterly performance review substrate.</w:t>
      </w:r>
    </w:p>
    <w:p>
      <w:pPr>
        <w:pStyle w:val="Heading3"/>
      </w:pPr>
      <w:r>
        <w:t>10.2  Seventeen Performance Dimensions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Dimension</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Metric</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Health</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Composite score across constitutional, governance, and culture indicators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90 / 100</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Execution</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Initiative Portfolio Health composite (Part 2 E9)</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80 / 100</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Revenue vs plan; gross margin; cash runway; Capital Formation progress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board-approved plan</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pipeline; stage-gate conversion; charter execution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ACS targets</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Chief Commercial Officer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 completion; SLA attainment; incident MTTx</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OKR ≥ 0.7; SLA ≥ 98%; MTTx per SLO</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(Enterprise)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NPS; churn risk; milestone velocity</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NPS ≥ 50; churn risk &lt; 10%</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Enterprise Officer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NPS; KPI attainment; renewal likelihood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NPS ≥ 50; KPI ≥ 98%; renewal ≥ 80%</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government engagements; engagement-plan adherence; regulator sentiment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100% plan adherence</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C9</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Global Expansion</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Countries on Active Entry list; Country Readiness Score trend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GLS Part 1 sequence</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President GL</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C10</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 health; release velocity; defect escape rate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AOS targets</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CPO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 composition; Critical risks; residual risk acceptance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0 unmanaged Critical risks</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AI</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uptime; recommendation adoption rate; hallucination rate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Uptime ≥ 99.9%; adoption ≥ 70%; hallucination &lt; 0.5%</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AI Officer</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Open compliance items; regulatory filings on time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100% on-time filings</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Certifications on track; audit findings closed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100% on-track; 100% closed</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 + CCO</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Objectives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Objectives cascade completion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Constitutional Objectives</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Top Priorities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top-twenty priorities on-track percentage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80% on track</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Actions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Founder-decided actions executed on time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 95% on time</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bl>
    <w:p>
      <w:pPr>
        <w:spacing w:after="120" w:line="240" w:lineRule="auto"/>
      </w:pPr>
    </w:p>
    <w:p>
      <w:pPr>
        <w:pStyle w:val="Heading3"/>
      </w:pPr>
      <w:r>
        <w:t>10.3  Dashboard Cadence</w:t>
      </w:r>
    </w:p>
    <w:p>
      <w:pPr>
        <w:spacing w:line="312" w:lineRule="auto" w:after="120"/>
        <w:ind w:firstLine="283"/>
        <w:jc w:val="both"/>
      </w:pPr>
      <w:r>
        <w:rPr>
          <w:rFonts w:ascii="Calibri" w:hAnsi="Calibri" w:cs="Calibri"/>
          <w:b w:val="0"/>
          <w:i w:val="0"/>
          <w:sz w:val="22"/>
          <w:szCs w:val="22"/>
        </w:rPr>
        <w:t xml:space="preserve">The Dashboard is refreshed weekly and reviewed at the Monday 08:00 Executive Committee alongside Mission Control. The quarterly view is the substrate for the Board's quarterly performance review; the annual view is the substrate for the Annual Constitutional Report (Part 9 Section 9.5). Any dimension below target for two consecutive weeks triggers a remedial action plan; any dimension below target for two consecutive quarters triggers a Part 1 Escalation entry.</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(Monday 06:00)</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review</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Monday 08:00 Executive Committee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review</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Quarterly Performance Review</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review</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Constitutional Report (Part 9 § 9.5)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Chief of Staff</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Trend detection, anomaly surfacing, recommended actions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dimension links to Institutional Evidence Repository</w:t>
            </w:r>
          </w:p>
        </w:tc>
      </w:tr>
    </w:tbl>
    <w:p>
      <w:pPr>
        <w:spacing w:after="120" w:line="240" w:lineRule="auto"/>
      </w:pPr>
    </w:p>
    <w:p>
      <w:pPr>
        <w:pStyle w:val="Heading3"/>
      </w:pPr>
      <w:r>
        <w:t>10.4  Founder Performance Compact</w:t>
      </w:r>
    </w:p>
    <w:p>
      <w:pPr>
        <w:spacing w:line="312" w:lineRule="auto" w:after="120"/>
        <w:ind w:firstLine="283"/>
        <w:jc w:val="both"/>
      </w:pPr>
      <w:r>
        <w:rPr>
          <w:rFonts w:ascii="Calibri" w:hAnsi="Calibri" w:cs="Calibri"/>
          <w:b w:val="0"/>
          <w:i w:val="0"/>
          <w:sz w:val="22"/>
          <w:szCs w:val="22"/>
        </w:rPr>
        <w:t xml:space="preserve">The CEO Performance Dashboard codifies the Founder Performance Compact — the explicit, evidence-bound standard by which the Founder's performance as CEO is measured. The Compact is not a personal evaluation; it is an institutional compact that binds the Founder's command authority to audit-grade evidence. The Compact is reviewed by the Board quarterly, by the Constitutional Council annually, and is published in summary form in the Annual Constitutional Report. The Founder's authority is preserved by the Constitution; the Compact makes that authority accountable.</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CEO Performance Dashboard Authority  </w:t>
      </w:r>
      <w:r>
        <w:rPr>
          <w:rFonts w:ascii="Calibri" w:hAnsi="Calibri" w:cs="Calibri"/>
          <w:b w:val="0"/>
          <w:i/>
          <w:sz w:val="22"/>
          <w:szCs w:val="22"/>
        </w:rPr>
        <w:t xml:space="preserve">The CEO Performance Dashboard is the single authoritative weekly performance cockpit for the Founder as CEO. The seventeen dimensions consolidate every operational signal into one evidence-bound view. The Dashboard binds the Founder's command authority to audit-grade evidence; it is reviewed weekly by the Executive Committee, quarterly by the Board, and annually by the Constitutional Council.</w:t>
      </w:r>
    </w:p>
    <w:p>
      <w:pPr>
        <w:pStyle w:val="Heading2"/>
      </w:pPr>
      <w:r>
        <w:t>Section 11 — COO Additional Recommendations</w:t>
      </w:r>
    </w:p>
    <w:p>
      <w:pPr>
        <w:spacing w:line="312" w:lineRule="auto" w:after="120"/>
        <w:ind w:firstLine="283"/>
        <w:jc w:val="both"/>
      </w:pPr>
      <w:r>
        <w:rPr>
          <w:rFonts w:ascii="Calibri" w:hAnsi="Calibri" w:cs="Calibri"/>
          <w:b w:val="0"/>
          <w:i w:val="0"/>
          <w:sz w:val="22"/>
          <w:szCs w:val="22"/>
        </w:rPr>
        <w:t xml:space="preserve">The Chief Operating Officer has identified eight additional recommendations that further elevate the Founder Office from an executive cockpit to a fully-instrumented institutional command center. These recommendations are not new architecture; they are operational systems that activate the doctrine of Parts 1 through 10. Each recommendation is owned by a named executive, has a defined scope, a target completion quarter, and an integration point with Mission Control (Part 4) and the CEO Performance Dashboard (Part 10).</w:t>
      </w:r>
    </w:p>
    <w:p>
      <w:pPr>
        <w:pStyle w:val="Heading3"/>
      </w:pPr>
      <w:r>
        <w:t>11.1  Eight Recommendations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Recommendation</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Scope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 Quarter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Cockpit Integration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Digital Twin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AI-maintained digital model of the Founder's decision patterns, preferences, and prior dispositions; used to pre-screen decisions and briefings for consistency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 + Chief of Staff</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P3 + P4 + P17</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 Quality Score</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Rolling Decision Quality Score (Part 3 § 3.4) across all executive decisions with trend, distribution, and outlier surfacing</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P4 + P10</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Dependency Map</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Cross-portfolio dependency map covering technology, partner, regulator, talent, and Capital Partner dependencies with concentration-risk alerting</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CRO</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P7 + P14</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Capacity Planner</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Executive Committee capacity model: time allocation vs priorities, meeting load, travel load, decision throughput; alerting on overload</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CHRO</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P2 + P3</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Early Warning System</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AI-powered early-warning across Corporate Intelligence (Part 6) + Risk Register + Country Readiness + Compliance + Certifications; predicts emerging issues 30–90 days ahead</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Chief of Staff</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P14 + P18</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Objective Tracker</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tracker binding every Constitutional Objective to OKRs, Initiatives, decisions, and evidence; flags any Objective without active execution path</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General Counsel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P6 + P15 + C15</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Scenario Planning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scenario-planning engine producing three-to-five year scenarios (regulatory, competitive, macro, technological) with leading indicators and pre-positioned responses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COO + CRO</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P9 + P14 + C15</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Value Creation Dashboard</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dashboard of institutional value creation: Enterprises chartered, Equity Units issued, milestone releases, Capital Partner engagement value, country expansion value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COO</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P9 + P12 + P13 + C3 + C4</w:t>
            </w:r>
          </w:p>
        </w:tc>
      </w:tr>
    </w:tbl>
    <w:p>
      <w:pPr>
        <w:spacing w:after="120" w:line="240" w:lineRule="auto"/>
      </w:pPr>
    </w:p>
    <w:p>
      <w:pPr>
        <w:pStyle w:val="Heading3"/>
      </w:pPr>
      <w:r>
        <w:t>11.2  Recommendation Interdependencies</w:t>
      </w:r>
    </w:p>
    <w:p>
      <w:pPr>
        <w:spacing w:line="312" w:lineRule="auto" w:after="120"/>
        <w:ind w:firstLine="283"/>
        <w:jc w:val="both"/>
      </w:pPr>
      <w:r>
        <w:rPr>
          <w:rFonts w:ascii="Calibri" w:hAnsi="Calibri" w:cs="Calibri"/>
          <w:b w:val="0"/>
          <w:i w:val="0"/>
          <w:sz w:val="22"/>
          <w:szCs w:val="22"/>
        </w:rPr>
        <w:t xml:space="preserve">The eight recommendations are designed to interoperate. R1 (Executive Digital Twin) provides the Founder-disposition model used by R2 (Decision Quality Score) to assess consistency. R3 (Strategic Dependency Map) and R5 (Institutional Early Warning System) share the same underlying signal corpus and surface correlated risks. R4 (Executive Capacity Planner) bounds the realistic decision throughput that R2 measures. R6 (Constitutional Objective Tracker) is the cascade origin that R7 (Executive Scenario Planning) stress-tests. R8 (Value Creation Dashboard) measures the realised outcome of the entire system. Together the eight recommendations complete the institutional command center.</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COO Recommendations Authority  </w:t>
      </w:r>
      <w:r>
        <w:rPr>
          <w:rFonts w:ascii="Calibri" w:hAnsi="Calibri" w:cs="Calibri"/>
          <w:b w:val="0"/>
          <w:i/>
          <w:sz w:val="22"/>
          <w:szCs w:val="22"/>
        </w:rPr>
        <w:t xml:space="preserve">The eight COO Additional Recommendations are the operational systems that complete the FOCC institutional command center. They are not new architecture; they are execution instruments. Each recommendation is owned by a named executive, has a target completion quarter, and integrates directly with Mission Control and the CEO Performance Dashboard.</w:t>
      </w:r>
    </w:p>
    <w:p>
      <w:pPr>
        <w:pStyle w:val="Heading2"/>
      </w:pPr>
      <w:r>
        <w:t>Section 12 — Executive Certification (Institutional Command Readiness)</w:t>
      </w:r>
    </w:p>
    <w:p>
      <w:pPr>
        <w:spacing w:line="312" w:lineRule="auto" w:after="120"/>
        <w:ind w:firstLine="283"/>
        <w:jc w:val="both"/>
      </w:pPr>
      <w:r>
        <w:rPr>
          <w:rFonts w:ascii="Calibri" w:hAnsi="Calibri" w:cs="Calibri"/>
          <w:b w:val="0"/>
          <w:i w:val="0"/>
          <w:sz w:val="22"/>
          <w:szCs w:val="22"/>
        </w:rPr>
        <w:t xml:space="preserve">FOCC v1.0 is certified by the undersigned executives as complete, internally consistent, and synchronised with the frozen AURIENTA constitutional substrate. The certification authorises the operational deployment of FOCC v1.0 as the standing executive function for the Founder, the Chief Operating Officer, the Chief of Staff, and the Executive Committee. The ten parts (Founder Office; Enterprise PMO; Executive Decision Intelligence; Mission Control; Executive Briefings; Corporate Intelligence; Executive Knowledge Graph; Executive Workflow Automation; Institutional Memory; CEO Performance Dashboard) and the eight COO Additional Recommendations are authorised for execution on the stated target quarters.</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 Dimension</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Verdict</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alignment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 forbidden terms; zero CRE overrides; constitutional terminology enforced throughout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integrity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 new architecture; every prior volume treated as frozen substrate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consistency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Parts 1–10 cross-referenced; no contradictions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completeness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ten parts + eight COO recommendations scoped, owned, and cadenced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readiness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section binds to PE WS9 Institutional Evidence Repository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GLS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FOCC operates GLS; no contradictions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PE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evidence feeds FOCC; no contradictions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PH-ER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Production-hardening substrate inherited; no contradictions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AOS v1.0 / ACS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Operating-system and commercialisation-system invariants preserved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integration</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powers Parts 3, 4, 5, 6, 7, 8, 9, 10 + R1 + R5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Mission Control readiness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Twenty panels defined with owners, cadences, alert thresholds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Memory permanence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Ten memory categories; append-only; Brain AI-searchable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terminology enforcement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Sentinel-pattern enforcer applied; zero forbidden terms in added content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command readiness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Authorised as standing executive function for Founder + Executive Committee</w:t>
            </w:r>
          </w:p>
        </w:tc>
      </w:tr>
    </w:tbl>
    <w:p>
      <w:pPr>
        <w:spacing w:after="120" w:line="240" w:lineRule="auto"/>
      </w:pPr>
    </w:p>
    <w:p>
      <w:pPr>
        <w:pStyle w:val="Heading3"/>
      </w:pPr>
      <w:r>
        <w:t>12.1  Certifying Executives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Role</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 (Title)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Date</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Layla Hassan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operational deployment of FOCC v1.0 as standing executive function</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Operating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operational execution of FOCC v1.0</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day-to-day operation of the Founder Office + Mission Control</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Technology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technical substrate for Brain AI + Knowledge Graph + Memory</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Information Security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security and access-control for all FOCC surfaces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constitutional alignment and constitutional-responsibilities discharge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compliance matrix and certification-deadline automation</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Risk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risk register, early-warning system, and escalation pathways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Financial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budget tracking, Value Creation Dashboard, and approvals routing</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Human Resources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Executive Capacity Planner and resource allocation</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2026-11-15</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Executive Certification — FOCC v1.0  </w:t>
      </w:r>
      <w:r>
        <w:rPr>
          <w:rFonts w:ascii="Calibri" w:hAnsi="Calibri" w:cs="Calibri"/>
          <w:b w:val="0"/>
          <w:i/>
          <w:sz w:val="22"/>
          <w:szCs w:val="22"/>
        </w:rPr>
        <w:t xml:space="preserve">AURIENTA Founder Office, Executive Intelligence &amp; Corporate Command Center (FOCC) v1.0 is hereby certified by the undersigned executives as complete, internally consistent, constitutionally aligned, and operationally deployable as the standing executive function for the Founder, the Chief Operating Officer, the Chief of Staff, and the Executive Committee. FOCC v1.0 introduces no new architecture; every prior volume is treated as the frozen substrate upon which the Founder Office operates. The eight COO Additional Recommendations are authorised for execution on the stated target quarters. Constitutional terminology is enforced throughout; zero forbidden terms appear in the FOCC Volume.</w:t>
      </w:r>
    </w:p>
    <w:p>
      <w:pPr>
        <w:pStyle w:val="Heading2"/>
      </w:pPr>
      <w:r>
        <w:t>Section 13 — Synchronization Statement</w:t>
      </w:r>
    </w:p>
    <w:p>
      <w:pPr>
        <w:spacing w:line="312" w:lineRule="auto" w:after="120"/>
        <w:ind w:firstLine="283"/>
        <w:jc w:val="both"/>
      </w:pPr>
      <w:r>
        <w:rPr>
          <w:rFonts w:ascii="Calibri" w:hAnsi="Calibri" w:cs="Calibri"/>
          <w:b w:val="0"/>
          <w:i w:val="0"/>
          <w:sz w:val="22"/>
          <w:szCs w:val="22"/>
        </w:rPr>
        <w:t xml:space="preserve">FOCC v1.0 is synchronised with Constitution v1.0, the Institutional Architecture, Governance v1.0, the Enterprise Risk &amp; Compliance framework, the Operating System (AOS v1.0), the Commercialization System (ACS v1.0), the Production Hardening &amp; Enterprise Readiness framework (PH-ER v1.0), the Pilot Deployment, Validation &amp; Institutional Evidence programme (PE v1.0), the Global Institutional Launch &amp; Strategic Partnership System (GLS v1.0), Brain AI, and the Constitutional Terminology Standard. No contradictions are permitted; any future divergence must be resolved by amendment to the affected volume(s) under the constitutional amendment process.</w:t>
      </w:r>
    </w:p>
    <w:p>
      <w:pPr>
        <w:spacing w:line="312" w:lineRule="auto" w:after="120"/>
        <w:ind w:firstLine="283"/>
        <w:jc w:val="both"/>
      </w:pPr>
      <w:r>
        <w:rPr>
          <w:rFonts w:ascii="Calibri" w:hAnsi="Calibri" w:cs="Calibri"/>
          <w:b w:val="0"/>
          <w:i w:val="0"/>
          <w:sz w:val="22"/>
          <w:szCs w:val="22"/>
        </w:rPr>
        <w:t xml:space="preserve">FOCC v1.0 is the operational doctrine for executive command, decision intelligence, and institutional memory. It is institutional-memory-led: every executive action, every decision, every commitment, and every outcome is captured, versioned, and presented through Mission Control and the CEO Performance Dashboard. The architecture is complete; the pilot evidence is being generated domestically; the international deployment is operationalised; the Founder Office now binds every prior volume into one executive cockpit.</w:t>
      </w:r>
    </w:p>
    <w:p>
      <w:pPr>
        <w:spacing w:line="312" w:lineRule="auto" w:after="120"/>
        <w:ind w:firstLine="283"/>
        <w:jc w:val="both"/>
      </w:pPr>
      <w:r>
        <w:rPr>
          <w:rFonts w:ascii="Calibri" w:hAnsi="Calibri" w:cs="Calibri"/>
          <w:b w:val="0"/>
          <w:i w:val="0"/>
          <w:sz w:val="22"/>
          <w:szCs w:val="22"/>
        </w:rPr>
        <w:t xml:space="preserve">Per COO directive: no new constitutional infrastructure architecture will be requested. FOCC v1.0 is the executive-nervous-system layer that completes the blueprint. The roadmap forward is execution: country entry (Egypt → GCC → Africa → Europe → Asia → Americas), partner recruitment, government engagement, institutional pipeline, alliance formation, communications, events, certifications, due-diligence packages, Trust Center publication, Founder-cockpit operation, and now executive command via FOCC — all driven by real country, partner, government, Capital Partner, and Enterprise feedback.</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Volume Closure  </w:t>
      </w:r>
      <w:r>
        <w:rPr>
          <w:rFonts w:ascii="Calibri" w:hAnsi="Calibri" w:cs="Calibri"/>
          <w:b w:val="0"/>
          <w:i/>
          <w:sz w:val="22"/>
          <w:szCs w:val="22"/>
        </w:rPr>
        <w:t xml:space="preserve">AURIENTA Founder Office, Executive Intelligence &amp; Corporate Command Center (FOCC) v1.0 — synchronised with Constitution v1.0, the Institutional Architecture, Governance v1.0, the Enterprise Risk &amp; Compliance framework, AOS v1.0, ACS v1.0, PH-ER v1.0, PE v1.0, GLS v1.0, Brain AI, and the Constitutional Terminology Standard. The blueprint's executive-nervous-system layer is complete; the institution now operates from a single, always-on, Brain AI-augmented command center.</w:t>
      </w:r>
    </w:p>
    <w:p>
      <w:pPr>
        <w:pStyle w:val="Heading1"/>
      </w:pPr>
      <w:r>
        <w:t>VOLUME — AURIENTA INSTITUTIONAL TRUST, DUE DILIGENCE &amp; BOARD READINESS (ITDB) v1.0</w:t>
      </w:r>
    </w:p>
    <w:p>
      <w:pPr>
        <w:pStyle w:val="Heading2"/>
      </w:pPr>
      <w:r>
        <w:t>Executive Summary — The Institutional Trust Architecture of AURIENTA</w:t>
      </w:r>
    </w:p>
    <w:p>
      <w:pPr>
        <w:spacing w:line="312" w:lineRule="auto" w:after="120"/>
        <w:ind w:firstLine="283"/>
        <w:jc w:val="both"/>
      </w:pPr>
      <w:r>
        <w:rPr>
          <w:rFonts w:ascii="Calibri" w:hAnsi="Calibri" w:cs="Calibri"/>
          <w:b w:val="0"/>
          <w:i w:val="0"/>
          <w:sz w:val="22"/>
          <w:szCs w:val="22"/>
        </w:rPr>
        <w:t xml:space="preserve">The AURIENTA Institutional Trust, Due Diligence &amp; Board Readiness (ITDB v1.0) is the system that lets the outside world trust AURIENTA. ITDB v1.0 introduces no new constitutional architecture; it operationalises the trust doctrine that every institutional claim AURIENTA makes to a Capital Partner, a regulator, a government, a strategic partner, an Enterprise, or a board member must be backed by approved evidence, governed by the Board, and auditable by an external assurance provider. Every prior volume — Constitution v1.0, the Institutional Architecture, Governance v1.0, the Enterprise Risk &amp; Compliance framework, the Operating System (AOS v1.0), the Commercialization System (ACS v1.0), the Production Hardening &amp; Enterprise Readiness framework (PH-ER v1.0), the Pilot Deployment, Validation &amp; Institutional Evidence programme (PE v1.0), the Global Institutional Launch &amp; Strategic Partnership System (GLS v1.0), and the Founder Office, Executive Intelligence &amp; Corporate Command Center (FOCC v1.0) — is frozen and treated as the substrate upon which ITDB v1.0 operates. The mandate of ITDB v1.0 is institutional trust, board governance, and external assurance — not redesign.</w:t>
      </w:r>
    </w:p>
    <w:p>
      <w:pPr>
        <w:spacing w:line="312" w:lineRule="auto" w:after="120"/>
        <w:ind w:firstLine="283"/>
        <w:jc w:val="both"/>
      </w:pPr>
      <w:r>
        <w:rPr>
          <w:rFonts w:ascii="Calibri" w:hAnsi="Calibri" w:cs="Calibri"/>
          <w:b w:val="0"/>
          <w:i w:val="0"/>
          <w:sz w:val="22"/>
          <w:szCs w:val="22"/>
        </w:rPr>
        <w:t xml:space="preserve">ITDB v1.0 is structured across ten parts that together constitute the operating doctrine for institutional trust. Part 1 deploys the Institutional Data Room: twenty-one structured document repositories covering constitutional, governance, financial, legal, corporate, technical, security, compliance, commercial, operational, human-capital, partner, government, Capital Partner, Enterprise, intellectual-property, insurance, risk, audit, board, and executive materials — every document with a named owner, a named approver, a version, a classification, a retention period, a review cadence, and an evidence status. Part 2 establishes the Board Management System (Board Office): annual board calendar, agenda builder, resolution management, voting history, committee packs, executive reports, action tracker, board KPIs, governance calendar, and annual board evaluation. Part 3 delivers Due Diligence Automation: Brain AI auto-prepares bespoke due-diligence packages for twelve audience types — sovereign wealth fund, pension fund, endowment, family office, government entity, bank, insurer, Big Four auditor, external legal counsel, regulator, strategic partner, and Enterprise procurement — assembled dynamically from approved evidence in the Institutional Evidence Repository (PE WS9). Part 4 stands up the Trust Evidence Engine: every institutional claim requires evidence; ten claim types are tracked, each linking to documents, audit logs, metrics, certifications, approvals, and tests. Part 5 specifies the Executive Reporting system: eleven report types auto-assembled by Brain AI — Monthly CEO, Quarterly Institutional, Annual, Board Pack, Executive Summary, Government Brief, Regulator Brief, Partner Brief, Enterprise Brief, Certification Progress, and Trust Bulletin. Part 6 deploys the twelve Institutional Scorecards — Governance, Compliance, Security, Risk, Product, Operations, Commercial, Customer Success, Partnerships, Global Expansion, Financial Sustainability, and Institutional Trust — each evidence-backed and refreshed on a stated cadence. Part 7 establishes the External Audit Center: eight audit types (Internal, External, SOC 2, ISO, Financial, Regulatory Inspection, Partner Audit, Security Assessment) tracked across findings, evidence, remediation, ownership, deadlines, and closure. Part 8 codifies the Enterprise Assurance Framework: every major AURIENTA capability mapped to owner, control, evidence, monitoring, audit-frequency, residual-risk, and maturity. Part 9 launches the Institutional Transparency Portal — a public-facing Trust Center with twelve sections and a rigorous public vs confidential separation. Part 10 delivers the Board &amp; Founder Command Dashboard: fourteen panels that bind the entire ITDB into one always-on executive cockpit.</w:t>
      </w:r>
    </w:p>
    <w:p>
      <w:pPr>
        <w:spacing w:line="312" w:lineRule="auto" w:after="120"/>
        <w:ind w:firstLine="283"/>
        <w:jc w:val="both"/>
      </w:pPr>
      <w:r>
        <w:rPr>
          <w:rFonts w:ascii="Calibri" w:hAnsi="Calibri" w:cs="Calibri"/>
          <w:b w:val="0"/>
          <w:i w:val="0"/>
          <w:sz w:val="22"/>
          <w:szCs w:val="22"/>
        </w:rPr>
        <w:t xml:space="preserve">ITDB v1.0 is frozen as of 2026-12-15 and is synchronised with Constitution v1.0, the Institutional Architecture, Governance v1.0, the Enterprise Risk &amp; Compliance framework, AOS v1.0, ACS v1.0, PH-ER v1.0, PE v1.0, GLS v1.0, FOCC v1.0, Brain AI, and the Constitutional Terminology Standard. No new architecture is introduced; no constitutional invariant is modified; no term in the Constitutional Terminology Dictionary is contradicted. The ITDB operating doctrine is evidence-led and board-bound: every institutional claim is bound to approved evidence, every board instrument is bound to constitutional authority, and every external assurance engagement is bound to a documented audit trail. Per COO directive, ITDB v1.0 is the final constitutional infrastructure-management volume; after ITDB, AURIENTA shifts decisively from internal-system expansion to market execution — country entry, partner recruitment, government engagement, Capital Partner engagement, Enterprise chartering, certifications, audits, and institutional-pipeline conversion.</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Programme Mandate  </w:t>
      </w:r>
      <w:r>
        <w:rPr>
          <w:rFonts w:ascii="Calibri" w:hAnsi="Calibri" w:cs="Calibri"/>
          <w:b w:val="0"/>
          <w:i/>
          <w:sz w:val="22"/>
          <w:szCs w:val="22"/>
        </w:rPr>
        <w:t xml:space="preserve">ITDB v1.0 operationalises the AURIENTA institutional-trust doctrine as a single, board-governed, externally-auditable system. The architecture is complete; the Founder Office command center is operational; the Institutional Data Room and the Transparency Portal now bind every internal volume to the outside world's trust. ITDB is the bridge by which a Sovereign Wealth Fund Director, a Big Four Due Diligence Partner, a General Counsel, a Board Secretary, and a Global COO may independently examine AURIENTA and reach the same evidence-bound verdict — the institution is what it claims to be.</w:t>
      </w:r>
    </w:p>
    <w:p>
      <w:pPr>
        <w:pStyle w:val="Heading2"/>
      </w:pPr>
      <w:r>
        <w:t>Section 1 — Institutional Data Room (Part 1)</w:t>
      </w:r>
    </w:p>
    <w:p>
      <w:pPr>
        <w:pStyle w:val="Heading3"/>
      </w:pPr>
      <w:r>
        <w:t>1.1  Overview</w:t>
      </w:r>
    </w:p>
    <w:p>
      <w:pPr>
        <w:spacing w:line="312" w:lineRule="auto" w:after="120"/>
        <w:ind w:firstLine="283"/>
        <w:jc w:val="both"/>
      </w:pPr>
      <w:r>
        <w:rPr>
          <w:rFonts w:ascii="Calibri" w:hAnsi="Calibri" w:cs="Calibri"/>
          <w:b w:val="0"/>
          <w:i w:val="0"/>
          <w:sz w:val="22"/>
          <w:szCs w:val="22"/>
        </w:rPr>
        <w:t xml:space="preserve">Part 1 deploys the Institutional Data Room: twenty-one structured document repositories that together constitute the single authoritative source of institutional evidence for AURIENTA. The Data Room is the substrate upon which every Part 2–10 instrument operates — every board pack, every due-diligence package, every institutional claim, every executive report, every scorecard, every audit, every assurance control, every transparency disclosure, and every command dashboard panel is assembled from documents in the Data Room. Each document is governed by a named Owner (the executive responsible for authoring and maintaining the document), a named Approver (the executive responsible for approving each version), a Version number, a Classification (Public / Internal / Confidential / Restricted), a Retention period, a Review cadence, and an Evidence Status (Approved / Pending / Superseded / Withdrawn).</w:t>
      </w:r>
    </w:p>
    <w:p>
      <w:pPr>
        <w:pStyle w:val="Heading3"/>
      </w:pPr>
      <w:r>
        <w:t>1.2  Twenty-One Document Repositories</w:t>
      </w:r>
    </w:p>
    <w:tbl>
      <w:tblPr>
        <w:tblW w:type="auto" w:w="0"/>
        <w:jc w:val="center"/>
        <w:tblLook w:firstColumn="1" w:firstRow="1" w:lastColumn="0" w:lastRow="0" w:noHBand="0" w:noVBand="1" w:val="04A0"/>
        <w:tblLayout w:type="autofit"/>
      </w:tblPr>
      <w:tblGrid>
        <w:gridCol w:w="976"/>
        <w:gridCol w:w="976"/>
        <w:gridCol w:w="976"/>
        <w:gridCol w:w="976"/>
        <w:gridCol w:w="976"/>
        <w:gridCol w:w="976"/>
        <w:gridCol w:w="976"/>
        <w:gridCol w:w="976"/>
        <w:gridCol w:w="976"/>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Repository</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Purpose</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Approver</w:t>
            </w:r>
          </w:p>
        </w:tc>
        <w:tc>
          <w:tcPr>
            <w:tcW w:type="dxa" w:w="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Classification</w:t>
            </w:r>
          </w:p>
        </w:tc>
        <w:tc>
          <w:tcPr>
            <w:tcW w:type="dxa" w:w="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Retention</w:t>
            </w:r>
          </w:p>
        </w:tc>
        <w:tc>
          <w:tcPr>
            <w:tcW w:type="dxa" w:w="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Review Cadence</w:t>
            </w:r>
          </w:p>
        </w:tc>
        <w:tc>
          <w:tcPr>
            <w:tcW w:type="dxa" w:w="7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 Status</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Documents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amendments, Constitutional Council minutes, constitutional interpretations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charter, committee charters, delegation of authority, governance policies, board minutes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Statements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Audited annual statements, quarterly management accounts, cash position, Capital Partner register, Equity Unit ledger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 Agreements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executed instruments — partnership, government, Enterprise, vendor, employment, constitutional amendments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Incorporation, ownership ledger, capitalisation table, constitutional-partner register, regulatory filings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Technical Architecture</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diagrams, design documents, Constitutional Runtime Engine (CRE) specifications, integration maps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Documentation</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architecture, threat model, penetration-test reports, incident-response plan, access-control matrix</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filings, AML/KYC procedures, sanctions screening, compliance training logs, regulatory correspondence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charters, milestone releases, partnership agreements, channel agreements, commercial terms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Standard operating procedures, runbooks, incident logs, change-management records, capacity plans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5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Human Capital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Org chart, executive biographies, board biographies, succession plans, constitutional-responsibilities log</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directory, partner agreements, partner scorecards, joint-initiative records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stakeholder map, engagement plans, meeting minutes, MoUs, regulatory engagement log</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engagement letters, due-diligence packages issued, Capital Formation pipeline, Law Firm Client Account confirmations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directory, charter instruments, milestone-release certificates, Enterprise scorecards</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Management</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Intellectual Property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Trademark registrations, patent filings, copyright records, trade-secret register, IP-licence agreements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Insurance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Cyber-insurance policy, D&amp;O policy, professional-indemnity policy, claims history, broker correspondence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10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Register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risk register, risk-appetite statement, risk-mitigation plans, residual-risk ratings, board risk reports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Risk Committee</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years</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Internal-audit reports, external-audit reports, SOC 2 reports, ISO certificates, audit-findings log, remediation tracker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 years</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audit</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Records</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calendar, agenda, pre-reads, minutes, resolutions, committee packs, board evaluations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Records</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Office records, executive decisions log, executive committee minutes, CEO Performance Dashboard, annual Founder evaluation</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w:t>
            </w:r>
          </w:p>
        </w:tc>
        <w:tc>
          <w:tcPr>
            <w:tcW w:type="dxa" w:w="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cycle</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w:t>
            </w:r>
          </w:p>
        </w:tc>
      </w:tr>
    </w:tbl>
    <w:p>
      <w:pPr>
        <w:spacing w:after="120" w:line="240" w:lineRule="auto"/>
      </w:pPr>
    </w:p>
    <w:p>
      <w:pPr>
        <w:pStyle w:val="Heading3"/>
      </w:pPr>
      <w:r>
        <w:t>1.3  Data Room Governance</w:t>
      </w:r>
    </w:p>
    <w:p>
      <w:pPr>
        <w:spacing w:line="312" w:lineRule="auto" w:after="120"/>
        <w:ind w:firstLine="283"/>
        <w:jc w:val="both"/>
      </w:pPr>
      <w:r>
        <w:rPr>
          <w:rFonts w:ascii="Calibri" w:hAnsi="Calibri" w:cs="Calibri"/>
          <w:b w:val="0"/>
          <w:i w:val="0"/>
          <w:sz w:val="22"/>
          <w:szCs w:val="22"/>
        </w:rPr>
        <w:t xml:space="preserve">The Institutional Data Room is owned by the Chief Operating Officer and operated day-to-day by the Board Secretary with the support of the General Counsel, the CISO, and the Internal Audit Lead. Every document enters the Data Room only through the Document Intake Workflow: authorship by the named Owner, review by the named Approver, classification by the General Counsel, retention assignment by the Chief of Staff, and evidence-status setting by the Internal Audit Lead. No document is published to a Part 2–10 instrument until its Evidence Status is Approved. Documents that are superseded are flagged Superseded with a forward-pointer to the replacing document; documents that are withdrawn are flagged Withdrawn with a documented withdrawal reason and a General Counsel sign-off.</w:t>
      </w:r>
    </w:p>
    <w:p>
      <w:pPr>
        <w:pStyle w:val="Heading3"/>
      </w:pPr>
      <w:r>
        <w:t>1.4  Document Intake Workflow</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Duration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Authorship</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authored by named Owner in the prescribed template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 Owner</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document</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Review</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reviewed and revised by named Approver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 Approver</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 business days</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Classification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Classification assigned by General Counsel (Public / Internal / Confidential / Restricted)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business day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Retention Assignment</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Retention period assigned by Chief of Staff per records-retention schedule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business day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Status Setting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Status set by Internal Audit Lead (Approved / Pending / Superseded / Withdrawn)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 business day</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Publication</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published to Data Room with version, classification, retention, and evidence status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Same day</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Distribution Binding</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made available to Part 2–10 instruments per classification rules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r>
    </w:tbl>
    <w:p>
      <w:pPr>
        <w:spacing w:after="120" w:line="240" w:lineRule="auto"/>
      </w:pPr>
    </w:p>
    <w:p>
      <w:pPr>
        <w:pStyle w:val="Heading3"/>
      </w:pPr>
      <w:r>
        <w:t>1.5  Classification and Access Matrix</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Classification</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Access</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 for publication on the Institutional Transparency Portal (Part 9)</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Anyone with internet access</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Available to all AURIENTA executives and employees under NDA</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workforce + Board</w:t>
            </w:r>
          </w:p>
        </w:tc>
      </w:tr>
      <w:tr>
        <w:trPr>
          <w:cantSplit/>
        </w:trPr>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Available to named executives and named Board members on need-to-know basis</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list approved by General Counsel</w:t>
            </w:r>
          </w:p>
        </w:tc>
      </w:tr>
      <w:tr>
        <w:trPr>
          <w:cantSplit/>
        </w:trPr>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Available only to the Founder, the General Counsel, and the named Approver; access logged</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 + Approver</w:t>
            </w:r>
          </w:p>
        </w:tc>
      </w:tr>
    </w:tbl>
    <w:p>
      <w:pPr>
        <w:spacing w:after="120" w:line="240" w:lineRule="auto"/>
      </w:pPr>
    </w:p>
    <w:p>
      <w:pPr>
        <w:pStyle w:val="Heading3"/>
      </w:pPr>
      <w:r>
        <w:t>1.6  Evidence Status Discipline</w:t>
      </w:r>
    </w:p>
    <w:p>
      <w:pPr>
        <w:spacing w:line="312" w:lineRule="auto" w:after="120"/>
        <w:ind w:firstLine="283"/>
        <w:jc w:val="both"/>
      </w:pPr>
      <w:r>
        <w:rPr>
          <w:rFonts w:ascii="Calibri" w:hAnsi="Calibri" w:cs="Calibri"/>
          <w:b w:val="0"/>
          <w:i w:val="0"/>
          <w:sz w:val="22"/>
          <w:szCs w:val="22"/>
        </w:rPr>
        <w:t xml:space="preserve">The Evidence Status field is the single source of truth on whether a Data Room document may be cited in a Part 2–10 instrument. Only documents with Evidence Status = Approved may be cited. Pending documents may be referenced internally for preparation but may not be cited externally or in any audit-trail artefact. Superseded documents remain in the Data Room for the duration of their retention but may not be cited after their supersession date. Withdrawn documents are physically retained per their retention schedule but are blocked from citation in any instrument. Brain AI continuously scans all Part 2–10 instruments for citations to non-Approved documents and surfaces any such citation to the Board Secretary for remediation.</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Data Room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Operating Officer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Day-to-day operator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Classification authority</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Retention authority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Evidence-status authority</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monitoring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citation-integrity scan across all Part 2–10 instruments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Repository count</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21 repositories (R1–R21)</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Records &amp; Evidence + § Annual Constitutional Report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Institutional Data Room Authority  </w:t>
      </w:r>
      <w:r>
        <w:rPr>
          <w:rFonts w:ascii="Calibri" w:hAnsi="Calibri" w:cs="Calibri"/>
          <w:b w:val="0"/>
          <w:i/>
          <w:sz w:val="22"/>
          <w:szCs w:val="22"/>
        </w:rPr>
        <w:t xml:space="preserve">The Institutional Data Room is the single authoritative source of institutional evidence for AURIENTA. Every claim AURIENTA makes to the outside world must be bound to an Approved document in the Data Room. Every audit, every due-diligence package, every board pack, every executive report, every scorecard, every assurance control, every transparency disclosure, and every command dashboard panel is assembled from Data Room documents. The Data Room is the substrate of institutional trust.</w:t>
      </w:r>
    </w:p>
    <w:p>
      <w:pPr>
        <w:pStyle w:val="Heading2"/>
      </w:pPr>
      <w:r>
        <w:t>Section 2 — Board Management System (Board Office)</w:t>
      </w:r>
    </w:p>
    <w:p>
      <w:pPr>
        <w:pStyle w:val="Heading3"/>
      </w:pPr>
      <w:r>
        <w:t>2.1  Overview</w:t>
      </w:r>
    </w:p>
    <w:p>
      <w:pPr>
        <w:spacing w:line="312" w:lineRule="auto" w:after="120"/>
        <w:ind w:firstLine="283"/>
        <w:jc w:val="both"/>
      </w:pPr>
      <w:r>
        <w:rPr>
          <w:rFonts w:ascii="Calibri" w:hAnsi="Calibri" w:cs="Calibri"/>
          <w:b w:val="0"/>
          <w:i w:val="0"/>
          <w:sz w:val="22"/>
          <w:szCs w:val="22"/>
        </w:rPr>
        <w:t xml:space="preserve">Part 2 establishes the Board Management System — the Board Office — that governs the full lifecycle of board governance at AURIENTA. The Board Office is operated by the Board Secretary with the support of the Chief of Staff and the General Counsel, and reports to the Board Chair. Every board meeting is choreographed end-to-end through the Board Office: the annual calendar is set, agendas are built from a structured template, resolutions are drafted and tracked, voting is recorded, committee packs are assembled, executive reports are scheduled, action items are tracked to closure, board KPIs are surfaced, the governance calendar is maintained, and the annual board evaluation is conducted. The Board Office integrates with the Founder Office (FOCC Part 1 § 1.7 Board Preparation Workflow) and feeds the Institutional Data Room (R20 Board Records) and the Board &amp; Founder Command Dashboard (Part 10).</w:t>
      </w:r>
    </w:p>
    <w:p>
      <w:pPr>
        <w:pStyle w:val="Heading3"/>
      </w:pPr>
      <w:r>
        <w:t>2.2  Board Office Sub-Modules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Module</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Purpose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Board Calendar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annual calendar of every board meeting, committee meeting, governance milestone, and constitutional deadline; published to all directors T-90 days</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amendments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Agenda Builder</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Structured agenda builder that assembles each board agenda from standing items, executive motions, committee reports, and constitutional-responsibility items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Management</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lifecycle from drafting through approval, signing, archival, and execution tracking; every resolution bound to constitutional authority and evidence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General Counsel</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resolution</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Voting History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Complete voting history of every director on every resolution; supports roll-call, secret ballot, and written-consent modes; immutable record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vote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Committee Packs</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Committee packs for Audit, Risk, Nominating, Compensation, and Constitutional Council; each pack assembled from Data Room repositories per committee charter</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Committee Chair</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committee cycle</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Reports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executive reports to the board: Founder report, COO report, CFO report, CTO report, CISO report, GC report, CCO report, CRO report, CHRO report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Committee</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Action Tracker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board action item tracked from assignment through closure with owner, due date, evidence link, and Brain AI escalation on slip</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KPIs</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board KPI dashboard: attendance, resolution throughput, action-item closure rate, audit-finding closure rate, constitutional-responsibility discharge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Chief of Staff</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Calendar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governance calendar mapping every constitutional deadline, regulatory deadline, audit deadline, certification deadline, and disclosure deadline to a responsible executive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Board Secretary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quarterly refresh</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Board Evaluation</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board-evaluation programme: director self-assessment, peer assessment, Chair assessment, committee self-assessment, and external board-effectiveness review every third year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 + General Counsel</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bl>
    <w:p>
      <w:pPr>
        <w:spacing w:after="120" w:line="240" w:lineRule="auto"/>
      </w:pPr>
    </w:p>
    <w:p>
      <w:pPr>
        <w:pStyle w:val="Heading3"/>
      </w:pPr>
      <w:r>
        <w:t>2.3  Annual Board Calendar Operating Doctrine</w:t>
      </w:r>
    </w:p>
    <w:p>
      <w:pPr>
        <w:spacing w:line="312" w:lineRule="auto" w:after="120"/>
        <w:ind w:firstLine="283"/>
        <w:jc w:val="both"/>
      </w:pPr>
      <w:r>
        <w:rPr>
          <w:rFonts w:ascii="Calibri" w:hAnsi="Calibri" w:cs="Calibri"/>
          <w:b w:val="0"/>
          <w:i w:val="0"/>
          <w:sz w:val="22"/>
          <w:szCs w:val="22"/>
        </w:rPr>
        <w:t xml:space="preserve">The Annual Board Calendar is the single authoritative calendar for board governance. It is published T-90 days before the start of each year and covers every board meeting (minimum four per year, recommended six), every committee meeting, every constitutional deadline (Annual Constitutional Report, Constitutional Council convocation, Founder evaluation), every audit deadline (internal, external, SOC 2, ISO), every certification deadline, and every disclosure deadline. The Calendar is amended only by Board Secretary + Chief of Staff with the Board Chair's approval; amendments are circulated to all directors within 48 hours.</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Calendar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Minimum board meetings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Four per year (recommended six)</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committees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 Risk · Nominating · Compensation · Constitutional Council</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distribution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T-7 days before each board meeting</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Agenda-conflict detection, pre-read completeness verification, action-item slip detection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Integration points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R20 Board Records · FOCC Part 1 § 1.7 Board Preparation Workflow · Part 10 Board &amp; Founder Command Dashboard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Board of Directors + § Annual Constitutional Report</w:t>
            </w:r>
          </w:p>
        </w:tc>
      </w:tr>
    </w:tbl>
    <w:p>
      <w:pPr>
        <w:spacing w:after="120" w:line="240" w:lineRule="auto"/>
      </w:pPr>
    </w:p>
    <w:p>
      <w:pPr>
        <w:pStyle w:val="Heading3"/>
      </w:pPr>
      <w:r>
        <w:t>2.4  Resolution Lifecycle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Drafting</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drafted by General Counsel in the prescribed template with constitutional citation and evidence link</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Review</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reviews and endorses the resolution for board submission</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Pre-Read Distribution</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distributed to all directors in the pre-read pack T-7 days</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Deliberation</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deliberated at the board meeting; questions recorded; amendments drafted as needed</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Vote</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Vote taken (roll-call, secret ballot, or written consent); outcome recorded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Signing &amp; Archival</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signed by Board Chair and Board Secretary; archived in R20 Board Records</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Board Chair</w:t>
            </w:r>
          </w:p>
        </w:tc>
      </w:tr>
      <w:tr>
        <w:trPr>
          <w:cantSplit/>
        </w:trPr>
        <w:tc>
          <w:tcPr>
            <w:tcW w:type="dxa" w:w="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RL7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Execution Tracking</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Resolution bound to an execution owner and tracked to closure via the Action Tracker (M7)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bl>
    <w:p>
      <w:pPr>
        <w:spacing w:after="120" w:line="240" w:lineRule="auto"/>
      </w:pPr>
    </w:p>
    <w:p>
      <w:pPr>
        <w:pStyle w:val="Heading3"/>
      </w:pPr>
      <w:r>
        <w:t>2.5  Committee Structure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Committee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Charter Scope</w:t>
            </w:r>
          </w:p>
        </w:tc>
        <w:tc>
          <w:tcPr>
            <w:tcW w:type="dxa" w:w="1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Chair</w:t>
            </w:r>
          </w:p>
        </w:tc>
        <w:tc>
          <w:tcPr>
            <w:tcW w:type="dxa" w:w="1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reporting integrity, internal-audit oversight, external-audit oversight, internal-control oversight</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Independent Director</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Committee</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risk register, risk-appetite review, residual-risk acceptance, risk-mitigation oversight</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Independent Director</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Nominating Committee</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composition, director nominations, succession planning, board-evaluation oversight</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ad hoc</w:t>
            </w:r>
          </w:p>
        </w:tc>
      </w:tr>
      <w:tr>
        <w:trPr>
          <w:cantSplit/>
        </w:trPr>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Compensation Committee</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compensation, Equity Unit allocation, founder compensation, compensation-policy review</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Independent Director</w:t>
            </w:r>
          </w:p>
        </w:tc>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ad hoc</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interpretation, amendment review, constitutional-responsibility discharge, Annual Constitutional Report</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 Chair</w:t>
            </w:r>
          </w:p>
        </w:tc>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ad hoc</w:t>
            </w:r>
          </w:p>
        </w:tc>
      </w:tr>
    </w:tbl>
    <w:p>
      <w:pPr>
        <w:spacing w:after="120" w:line="240" w:lineRule="auto"/>
      </w:pPr>
    </w:p>
    <w:p>
      <w:pPr>
        <w:pStyle w:val="Heading3"/>
      </w:pPr>
      <w:r>
        <w:t>2.6  Annual Board Evaluation</w:t>
      </w:r>
    </w:p>
    <w:p>
      <w:pPr>
        <w:spacing w:line="312" w:lineRule="auto" w:after="120"/>
        <w:ind w:firstLine="283"/>
        <w:jc w:val="both"/>
      </w:pPr>
      <w:r>
        <w:rPr>
          <w:rFonts w:ascii="Calibri" w:hAnsi="Calibri" w:cs="Calibri"/>
          <w:b w:val="0"/>
          <w:i w:val="0"/>
          <w:sz w:val="22"/>
          <w:szCs w:val="22"/>
        </w:rPr>
        <w:t xml:space="preserve">The Annual Board Evaluation is conducted in Q4 of each year and is led by the Board Chair with the support of the General Counsel. The evaluation covers director self-assessment, peer assessment, Chair assessment, committee self-assessment, and the constitutional-responsibility discharge of each director. Every third year an external board-effectiveness review is commissioned from a Big Four or specialist governance firm. Evaluation findings are summarised in a Board Evaluation Report that is tabled at the Q1 board meeting of the following year and informs the Nominating Committee's recommendations on board composition and director succession.</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Board Office Authority  </w:t>
      </w:r>
      <w:r>
        <w:rPr>
          <w:rFonts w:ascii="Calibri" w:hAnsi="Calibri" w:cs="Calibri"/>
          <w:b w:val="0"/>
          <w:i/>
          <w:sz w:val="22"/>
          <w:szCs w:val="22"/>
        </w:rPr>
        <w:t xml:space="preserve">The Board Office is the single authoritative function for board governance at AURIENTA. No board instrument is enacted outside the Board Office; no resolution is approved outside the Resolution Lifecycle; no board record is held outside the Institutional Data Room R20. The Board Office binds every constitutional authority to a documented board record.</w:t>
      </w:r>
    </w:p>
    <w:p>
      <w:pPr>
        <w:pStyle w:val="Heading2"/>
      </w:pPr>
      <w:r>
        <w:t>Section 3 — Due Diligence Automation (Part 3)</w:t>
      </w:r>
    </w:p>
    <w:p>
      <w:pPr>
        <w:pStyle w:val="Heading3"/>
      </w:pPr>
      <w:r>
        <w:t>3.1  Overview</w:t>
      </w:r>
    </w:p>
    <w:p>
      <w:pPr>
        <w:spacing w:line="312" w:lineRule="auto" w:after="120"/>
        <w:ind w:firstLine="283"/>
        <w:jc w:val="both"/>
      </w:pPr>
      <w:r>
        <w:rPr>
          <w:rFonts w:ascii="Calibri" w:hAnsi="Calibri" w:cs="Calibri"/>
          <w:b w:val="0"/>
          <w:i w:val="0"/>
          <w:sz w:val="22"/>
          <w:szCs w:val="22"/>
        </w:rPr>
        <w:t xml:space="preserve">Part 3 deploys Due Diligence Automation: a Brain AI-powered system that auto-prepares bespoke due-diligence packages for twelve audience types. Each package is assembled dynamically from Approved documents in the Institutional Data Room (Part 1) and from the Institutional Evidence Repository (PE WS9). The system understands that a sovereign wealth fund director, a Big Four auditor, and an Enterprise procurement officer each require a different package composition — different document selections, different narrative framing, different evidence depth, and different confidentiality treatment. Brain AI assembles each package under the supervision of the named approving executive (typically the CFO for Capital Partner packages, the General Counsel for regulator packages, the COO for Enterprise packages) and logs every document disclosure for the audit trail.</w:t>
      </w:r>
    </w:p>
    <w:p>
      <w:pPr>
        <w:pStyle w:val="Heading3"/>
      </w:pPr>
      <w:r>
        <w:t>3.2  Twelve Audience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Audience Type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Approving Executive</w:t>
            </w:r>
          </w:p>
        </w:tc>
        <w:tc>
          <w:tcPr>
            <w:tcW w:type="dxa" w:w="3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Typical Package Composition</w:t>
            </w:r>
          </w:p>
        </w:tc>
        <w:tc>
          <w:tcPr>
            <w:tcW w:type="dxa" w:w="20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Confidentiality Treatment</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Sovereign Wealth Fund Director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Founder</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documents, governance, financial statements, risk register, certifications, audit reports, partner ecosystem</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NDA + sovereign-immunity protocol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Pension Fund Director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sustainability model, Equity Unit mechanics, governance, risk register, audit reports, Capital Partner engagement protocol</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NDA</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Endowment Director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Mission-alignment brief, constitutional doctrine, financial sustainability, governance, audit reports, partner ecosystem</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NDA</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Family Office Principal</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doctrine, founder letter, financial sustainability, governance, Equity Unit mechanics, succession plan</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NDA</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Entity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Founder</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doctrine, government-engagement record, regulatory standing, compliance record, country-readiness, partner ecosystem</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government-engagement protocol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Bank (Lending / Custody)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General Counsel</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statements, capital-adequacy evidence, compliance record, security documentation, insurance, legal-entity structure</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banking-engagement protocol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Insurer (D&amp;O / Cyber)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CRO</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risk register, security documentation, incident-response plan, claims history, board-evaluation record</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insurer-engagement protocol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Big Four Auditor (External)</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Audit Committee</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Full access to R3 Financial Statements, R8 Compliance Records, R10 Operational Records, R18 Risk Register, R19 Audit Records; supporting workpapers</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 — bound by audit-engagement letter</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 Legal Counsel</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Full access to R1 Constitutional, R2 Governance, R4 Legal Agreements, R5 Corporate, R16 IP; privileged materials under legal-professional privilege</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Restricted — bound by legal-engagement letter</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Founder</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doctrine, regulatory filings, compliance record, governance, financial statements, audit reports, security documentation, incident logs</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regulator-engagement protocol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Partner</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Founder</w:t>
            </w:r>
          </w:p>
        </w:tc>
        <w:tc>
          <w:tcPr>
            <w:tcW w:type="dxa" w:w="3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 records, partner ecosystem, technical architecture (sanitised), governance, certifications, audit reports, joint-initiative roadmap</w:t>
            </w:r>
          </w:p>
        </w:tc>
        <w:tc>
          <w:tcPr>
            <w:tcW w:type="dxa" w:w="20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partnership NDA</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Procurement Officer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 template, milestone-release process, security documentation (sanitised), compliance record, certifications, Enterprise-success evidence</w:t>
            </w:r>
          </w:p>
        </w:tc>
        <w:tc>
          <w:tcPr>
            <w:tcW w:type="dxa" w:w="20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 bound by Enterprise-procurement NDA</w:t>
            </w:r>
          </w:p>
        </w:tc>
      </w:tr>
    </w:tbl>
    <w:p>
      <w:pPr>
        <w:spacing w:after="120" w:line="240" w:lineRule="auto"/>
      </w:pPr>
    </w:p>
    <w:p>
      <w:pPr>
        <w:pStyle w:val="Heading3"/>
      </w:pPr>
      <w:r>
        <w:t>3.3  Due Diligence Package Assembly Workflow</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Audience Identification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Audience type identified; approving executive named; engagement letter drafted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 General Counsel</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Package Spec</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proposes package spec: document list, narrative framing, evidence depth, confidentiality treatment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Board Secretary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Spec Approval</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reviews and approves the spec; any Restricted documents require Founder sign-off</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 Founder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Assembly</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assembles documents from Data Room + Evidence Repository; classification enforced; watermarks applied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Narrative Generation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generates narrative brief tailored to audience type (constitutional doctrine, financial sustainability, governance posture, risk posture)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Chief of Staff</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Q&amp;A Preparation</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prepares anticipated Q&amp;A with model answers cross-referenced to Data Room evidence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Subject-Matter Owners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Final Approval</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 Founder (for Restricted) approve final package; disclosure log entry created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 Founder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DD8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Disclosure &amp; Audit Trail</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Package disclosed to audience under engagement letter; every document disclosure logged in disclosure register; retention per engagement letter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General Counsel</w:t>
            </w:r>
          </w:p>
        </w:tc>
      </w:tr>
    </w:tbl>
    <w:p>
      <w:pPr>
        <w:spacing w:after="120" w:line="240" w:lineRule="auto"/>
      </w:pPr>
    </w:p>
    <w:p>
      <w:pPr>
        <w:pStyle w:val="Heading3"/>
      </w:pPr>
      <w:r>
        <w:t>3.4  Disclosure Register</w:t>
      </w:r>
    </w:p>
    <w:p>
      <w:pPr>
        <w:spacing w:line="312" w:lineRule="auto" w:after="120"/>
        <w:ind w:firstLine="283"/>
        <w:jc w:val="both"/>
      </w:pPr>
      <w:r>
        <w:rPr>
          <w:rFonts w:ascii="Calibri" w:hAnsi="Calibri" w:cs="Calibri"/>
          <w:b w:val="0"/>
          <w:i w:val="0"/>
          <w:sz w:val="22"/>
          <w:szCs w:val="22"/>
        </w:rPr>
        <w:t xml:space="preserve">Every document disclosed in every Due Diligence Package is logged in the Disclosure Register — a permanent, immutable record maintained by the Board Secretary. The Disclosure Register captures the audience, the engagement letter reference, the approving executive, the documents disclosed, the disclosure date, the retention period, and the recall/return status. The Disclosure Register is reviewed quarterly by the Audit Committee and annually by the external auditor as part of the financial-statement audit. Brain AI continuously reconciles the Disclosure Register against the Data Room Evidence-Status ledger and flags any disclosure of a non-Approved document for immediate remediation.</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(Capital Partner audiences) · General Counsel (regulator / counsel audiences) · COO (Enterprise / partner audiences)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Day-to-day operator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Package count (rolling 12 months)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Tracked; reported in Quarterly Institutional Report (Part 5)</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Spec proposal, document assembly, narrative generation, Q&amp;A preparation, disclosure-register reconciliation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Audit-trail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disclosure logged in Disclosure Register; reconciled quarterly by Audit Committee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Records &amp; Evidence + § Capital Partner Engagement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Due Diligence Automation Authority  </w:t>
      </w:r>
      <w:r>
        <w:rPr>
          <w:rFonts w:ascii="Calibri" w:hAnsi="Calibri" w:cs="Calibri"/>
          <w:b w:val="0"/>
          <w:i/>
          <w:sz w:val="22"/>
          <w:szCs w:val="22"/>
        </w:rPr>
        <w:t xml:space="preserve">Due Diligence Automation is the single authoritative mechanism by which AURIENTA prepares a due-diligence package for any external audience. Every package is assembled from Approved evidence under the supervision of a named approving executive, every document disclosure is logged in the Disclosure Register, and every package is bound to a constitutional-authority engagement letter. No AURIENTA representative may assemble a due-diligence package outside this system.</w:t>
      </w:r>
    </w:p>
    <w:p>
      <w:pPr>
        <w:pStyle w:val="Heading2"/>
      </w:pPr>
      <w:r>
        <w:t>Section 4 — Trust Evidence Engine (Part 4)</w:t>
      </w:r>
    </w:p>
    <w:p>
      <w:pPr>
        <w:pStyle w:val="Heading3"/>
      </w:pPr>
      <w:r>
        <w:t>4.1  Overview</w:t>
      </w:r>
    </w:p>
    <w:p>
      <w:pPr>
        <w:spacing w:line="312" w:lineRule="auto" w:after="120"/>
        <w:ind w:firstLine="283"/>
        <w:jc w:val="both"/>
      </w:pPr>
      <w:r>
        <w:rPr>
          <w:rFonts w:ascii="Calibri" w:hAnsi="Calibri" w:cs="Calibri"/>
          <w:b w:val="0"/>
          <w:i w:val="0"/>
          <w:sz w:val="22"/>
          <w:szCs w:val="22"/>
        </w:rPr>
        <w:t xml:space="preserve">Part 4 stands up the Trust Evidence Engine: the constitutional doctrine that every institutional claim AURIENTA makes to the outside world requires evidence. A claim without evidence is not a claim — it is a misrepresentation. The Trust Evidence Engine tracks ten claim types, each binding a claim to a named Owner, a named Approver, the evidence cited, the evidence source (document, audit log, metric, certification, approval, or test), the validity period, and the verification status. Brain AI continuously scans every external communication (Due Diligence Packages, Executive Reports, Transparency Portal disclosures, partner communications, government engagements, Enterprise charters) for institutional claims and verifies each claim against the Trust Evidence Engine. Any claim without Approved evidence is blocked from publication and surfaced to the General Counsel for remediation.</w:t>
      </w:r>
    </w:p>
    <w:p>
      <w:pPr>
        <w:pStyle w:val="Heading3"/>
      </w:pPr>
      <w:r>
        <w:t>4.2  Ten Claim Types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Claim Type</w:t>
            </w:r>
          </w:p>
        </w:tc>
        <w:tc>
          <w:tcPr>
            <w:tcW w:type="dxa" w:w="2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Example Claim</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 Source</w:t>
            </w:r>
          </w:p>
        </w:tc>
        <w:tc>
          <w:tcPr>
            <w:tcW w:type="dxa" w:w="1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8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Approver</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Performance</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achieved a 99.97% milestone-release fidelity across 2026.”</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log + R3 Financial Statements + R10 Operational Records</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Capability</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operates a 24×7 Network Operations Center with &lt; 4-minute median incident response.”</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R10 Operational Records + NOC metrics + incident logs</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Posture</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holds a SOC 2 Type II certification with zero qualified opinions.”</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 Security Documentation + R19 Audit Records + SOC 2 report</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Standing</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is registered with [Regulator] and has zero open regulatory findings.”</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 Compliance Records + regulatory correspondence register</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Maturity</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“AURIENTA’s board conducts an annual board evaluation with an external review every third year.”</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 Governance Records + R20 Board Records + board-evaluation report</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 Reliability</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“The Constitutional Runtime Engine achieved 99.99% uptime over the trailing twelve months.”</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 Technical Architecture + CRE uptime metrics + R10 Operational Records</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“AURIENTA’s Enterprise charter base achieved an 87% milestone-release success rate in 2026.”</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R15 Enterprise Records + milestone-release certificates + Enterprise scorecards</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Strength</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holds active partnership instruments with [N] strategic partners across [N] countries.”</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R12 Partner Records + partner directory + partner scorecards</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Sustainability</w:t>
            </w:r>
          </w:p>
        </w:tc>
        <w:tc>
          <w:tcPr>
            <w:tcW w:type="dxa" w:w="2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“AURIENTA’s Capital Formation pipeline supports 24 months of operating runway at current burn.”</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 Financial Statements + R14 Capital Partner Records + CFO runway model</w:t>
            </w:r>
          </w:p>
        </w:tc>
        <w:tc>
          <w:tcPr>
            <w:tcW w:type="dxa" w:w="1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C10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Integrity</w:t>
            </w:r>
          </w:p>
        </w:tc>
        <w:tc>
          <w:tcPr>
            <w:tcW w:type="dxa" w:w="2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“AURIENTA’s constitutional invariants have been preserved without amendment since Constitution v1.0 was frozen.”</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 Constitutional Documents + Constitutional Council minutes + CRE invariant ledger</w:t>
            </w:r>
          </w:p>
        </w:tc>
        <w:tc>
          <w:tcPr>
            <w:tcW w:type="dxa" w:w="1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w:t>
            </w:r>
          </w:p>
        </w:tc>
      </w:tr>
    </w:tbl>
    <w:p>
      <w:pPr>
        <w:spacing w:after="120" w:line="240" w:lineRule="auto"/>
      </w:pPr>
    </w:p>
    <w:p>
      <w:pPr>
        <w:pStyle w:val="Heading3"/>
      </w:pPr>
      <w:r>
        <w:t>4.3  Evidence Source Vocabulary</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 Source</w:t>
            </w:r>
          </w:p>
        </w:tc>
        <w:tc>
          <w:tcPr>
            <w:tcW w:type="dxa" w:w="5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Trust Weight</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 Document</w:t>
            </w:r>
          </w:p>
        </w:tc>
        <w:tc>
          <w:tcPr>
            <w:tcW w:type="dxa" w:w="5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in the Institutional Data Room with Evidence Status = Approved</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Highest</w:t>
            </w:r>
          </w:p>
        </w:tc>
      </w:tr>
      <w:tr>
        <w:trPr>
          <w:cantSplit/>
        </w:trPr>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Log</w:t>
            </w:r>
          </w:p>
        </w:tc>
        <w:tc>
          <w:tcPr>
            <w:tcW w:type="dxa" w:w="5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Immutable log entry from the Constitutional Runtime Engine, the Financial System, or the Operational System</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Highest</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Metric</w:t>
            </w:r>
          </w:p>
        </w:tc>
        <w:tc>
          <w:tcPr>
            <w:tcW w:type="dxa" w:w="5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Time-series metric from a Brain AI-monitored source (uptime, fidelity, response time, scorecard reading)</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w:t>
            </w:r>
          </w:p>
        </w:tc>
      </w:tr>
      <w:tr>
        <w:trPr>
          <w:cantSplit/>
        </w:trPr>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w:t>
            </w:r>
          </w:p>
        </w:tc>
        <w:tc>
          <w:tcPr>
            <w:tcW w:type="dxa" w:w="5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certification issued by an accredited body (SOC 2, ISO 27001, ISO 9001, ISO 22301)</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Highest</w:t>
            </w:r>
          </w:p>
        </w:tc>
      </w:tr>
      <w:tr>
        <w:trPr>
          <w:cantSplit/>
        </w:trPr>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Approval</w:t>
            </w:r>
          </w:p>
        </w:tc>
        <w:tc>
          <w:tcPr>
            <w:tcW w:type="dxa" w:w="5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Signed approval from a named Approver in the institutional workflow (FOCC Part 3 Decision Intelligence)</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w:t>
            </w:r>
          </w:p>
        </w:tc>
      </w:tr>
      <w:tr>
        <w:trPr>
          <w:cantSplit/>
        </w:trPr>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Test</w:t>
            </w:r>
          </w:p>
        </w:tc>
        <w:tc>
          <w:tcPr>
            <w:tcW w:type="dxa" w:w="5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Result of a documented test (penetration test, disaster-recovery test, business-continuity test, code audit)</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w:t>
            </w:r>
          </w:p>
        </w:tc>
      </w:tr>
    </w:tbl>
    <w:p>
      <w:pPr>
        <w:spacing w:after="120" w:line="240" w:lineRule="auto"/>
      </w:pPr>
    </w:p>
    <w:p>
      <w:pPr>
        <w:pStyle w:val="Heading3"/>
      </w:pPr>
      <w:r>
        <w:t>4.4  Claim Verification Lifecycle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Identification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identified in an external communication or assembled artefact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Lookup</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looks up the claim in the Trust Evidence Engine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Validation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validates that the cited evidence is Approved, in-date, and correctly interpreted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Internal Audit Lead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Binding</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bound to the evidence record; validity period set; verification status = Verified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permitted to be published in the external communication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Monitoring</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continuously monitors the underlying evidence; if evidence is Superseded or Withdrawn, claim status flips to At-Risk</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Internal Audit Lead</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CV7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Remediation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If claim flips to At-Risk, Brain AI surfaces to General Counsel for remediation (re-evidence, re-word, or withdraw)</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bl>
    <w:p>
      <w:pPr>
        <w:spacing w:after="120" w:line="240" w:lineRule="auto"/>
      </w:pPr>
    </w:p>
    <w:p>
      <w:pPr>
        <w:pStyle w:val="Heading3"/>
      </w:pPr>
      <w:r>
        <w:t>4.5  Validity Period Discipline</w:t>
      </w:r>
    </w:p>
    <w:p>
      <w:pPr>
        <w:spacing w:line="312" w:lineRule="auto" w:after="120"/>
        <w:ind w:firstLine="283"/>
        <w:jc w:val="both"/>
      </w:pPr>
      <w:r>
        <w:rPr>
          <w:rFonts w:ascii="Calibri" w:hAnsi="Calibri" w:cs="Calibri"/>
          <w:b w:val="0"/>
          <w:i w:val="0"/>
          <w:sz w:val="22"/>
          <w:szCs w:val="22"/>
        </w:rPr>
        <w:t xml:space="preserve">Every approved claim has a Validity Period — the duration for which the underlying evidence is expected to remain Approved and in-date. Financial-performance claims typically have a validity period equal to the next quarterly close; security-posture claims typically have a validity period equal to the next SOC 2 report cycle; constitutional-integrity claims have an indefinite validity period bounded by any future constitutional amendment. Brain AI continuously monitors every approved claim against its Validity Period and surfaces any approaching expiry to the named Owner 30 days in advance for re-evidencing or withdrawal.</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Engine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Day-to-day operator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claim scan across all external communications; evidence lookup; validity-period monitoring</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Claim count (rolling 12 months)</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Tracked; reported in Quarterly Institutional Report (Part 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Verification statuses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Verified · At-Risk · Withdrawn</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Audit-trail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claim bound to evidence record in Trust Evidence Engine; reconciled quarterly by Internal Audit</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Records &amp; Evidence + § Annual Constitutional Report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Trust Evidence Engine Authority  </w:t>
      </w:r>
      <w:r>
        <w:rPr>
          <w:rFonts w:ascii="Calibri" w:hAnsi="Calibri" w:cs="Calibri"/>
          <w:b w:val="0"/>
          <w:i/>
          <w:sz w:val="22"/>
          <w:szCs w:val="22"/>
        </w:rPr>
        <w:t xml:space="preserve">The Trust Evidence Engine is the constitutional enforcement layer for institutional-truth claims. Every external claim AURIENTA makes is bound to Approved evidence; every claim is continuously monitored; every expiry is surfaced for re-evidencing or withdrawal. A claim without Approved evidence is a misrepresentation; the Trust Evidence Engine makes such misrepresentation structurally impossible.</w:t>
      </w:r>
    </w:p>
    <w:p>
      <w:pPr>
        <w:pStyle w:val="Heading2"/>
      </w:pPr>
      <w:r>
        <w:t>Section 5 — Executive Reporting (Part 5)</w:t>
      </w:r>
    </w:p>
    <w:p>
      <w:pPr>
        <w:pStyle w:val="Heading3"/>
      </w:pPr>
      <w:r>
        <w:t>5.1  Overview</w:t>
      </w:r>
    </w:p>
    <w:p>
      <w:pPr>
        <w:spacing w:line="312" w:lineRule="auto" w:after="120"/>
        <w:ind w:firstLine="283"/>
        <w:jc w:val="both"/>
      </w:pPr>
      <w:r>
        <w:rPr>
          <w:rFonts w:ascii="Calibri" w:hAnsi="Calibri" w:cs="Calibri"/>
          <w:b w:val="0"/>
          <w:i w:val="0"/>
          <w:sz w:val="22"/>
          <w:szCs w:val="22"/>
        </w:rPr>
        <w:t xml:space="preserve">Part 5 specifies the Executive Reporting system: eleven report types auto-assembled by Brain AI from Approved evidence in the Institutional Data Room (Part 1) and the Institutional Evidence Repository (PE WS9). Every report is assembled on a stated cadence, has a named audience, a named approving executive, a standard structure, and a distribution list. Brain AI drafts the report, attaches the supporting evidence, and routes to the approving executive for sign-off; only after sign-off is the report distributed. Every report is archived in the appropriate Data Room repository (R20 Board Records for Board Pack; R19 Audit Records for Certification Progress; R21 Executive Records for Monthly CEO / Quarterly Institutional / Annual / Executive Summary).</w:t>
      </w:r>
    </w:p>
    <w:p>
      <w:pPr>
        <w:pStyle w:val="Heading3"/>
      </w:pPr>
      <w:r>
        <w:t>5.2  Eleven Report Types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Report Type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Audience</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Approving Executive</w:t>
            </w:r>
          </w:p>
        </w:tc>
        <w:tc>
          <w:tcPr>
            <w:tcW w:type="dxa" w:w="1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Standard Structure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CEO Report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Executive Committee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(M+5 business days)</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Performance against OKRs · Top priorities · Decisions taken · Risks · Audit findings · Scorecard deltas · Forward look</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E2</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Institutional Report</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 Capital Partner register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Founder</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(Q+15 business days)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performance · Capital Formation pipeline · Enterprise portfolio · Partner ecosystem · Country expansion · Audit &amp; certifications · Risk posture · Forward look</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E3</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Report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 Constitutional Council + public (summary)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(Q1 of following year)</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Year-in-review · Constitutional-responsibility discharge · Financial sustainability · Operational capability · Partner ecosystem · Country expansion · Audit &amp; certifications · Trust maturity · Forward strategy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E4</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Pack</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of Directors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 (T-7 days)</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report · Executive Committee reports · Committee reports · Resolutions for approval · Risk register · Audit findings · Scorecards · Constitutional responsibilities · Forward agenda</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E5</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Summary</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Chief of Staff</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 (Monday)</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Top 5 priorities · Top 5 decisions · Top 5 risks · Top 5 commitments · Top 5 escalations</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E6</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Brief</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stakeholders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Founder</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doctrine · Country alignment · Regulatory standing · Compliance record · Government engagement record · Joint-initiative roadmap</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E7</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 Brief</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doctrine · Regulatory filings · Compliance record · Audit findings · Incident log · Remediation status</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E8</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Brief</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partners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Partnership Office</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partnership cycle</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Joint-initiative status · Milestone releases · Commercial performance · Partner scorecard · Roadmap · Forward commitments</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E9</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Brief</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procurement / executives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Account Management</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Enterprise cycle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status · Milestone releases · Equity Unit ledger · Operational metrics · Roadmap · Forward commitments</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E10</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 Progress Report</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 Audit Committee + CCO</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 + CISO</w:t>
            </w:r>
          </w:p>
        </w:tc>
        <w:tc>
          <w:tcPr>
            <w:tcW w:type="dxa" w:w="1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certifications · Renewal calendar · Audit findings · Remediation status · New certifications in flight · Budget</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E11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Bulletin</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register + strategic partners + key Enterprises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Founder</w:t>
            </w:r>
          </w:p>
        </w:tc>
        <w:tc>
          <w:tcPr>
            <w:tcW w:type="dxa" w:w="1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trigger (material event or quarterly)</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Material event · Trust impact · Evidence cited · Action taken · Forward commitments</w:t>
            </w:r>
          </w:p>
        </w:tc>
      </w:tr>
    </w:tbl>
    <w:p>
      <w:pPr>
        <w:spacing w:after="120" w:line="240" w:lineRule="auto"/>
      </w:pPr>
    </w:p>
    <w:p>
      <w:pPr>
        <w:pStyle w:val="Heading3"/>
      </w:pPr>
      <w:r>
        <w:t>5.3  Report Assembly Workflow</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Trigger</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 triggered by cadence or by material event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Spec Draft</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drafts report spec: audience, structure, evidence list, distribution</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Assembly</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assembles supporting evidence from Data Room + Evidence Repository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Narrative Draft</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drafts narrative; subject-matter owners contribute technical sections</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Subject-Matter Owners</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Approving-Executive Review</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reviews and signs off; restricted materials require Founder co-sign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Executive + Founder (if Restricted)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Distribution</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 distributed to audience list; distribution logged in Disclosure Register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RA7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Archival</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 archived in appropriate Data Room repository; retention per records schedule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bl>
    <w:p>
      <w:pPr>
        <w:spacing w:after="120" w:line="240" w:lineRule="auto"/>
      </w:pPr>
    </w:p>
    <w:p>
      <w:pPr>
        <w:pStyle w:val="Heading3"/>
      </w:pPr>
      <w:r>
        <w:t>5.4  Report Quality Standards</w:t>
      </w:r>
    </w:p>
    <w:p>
      <w:pPr>
        <w:spacing w:line="312" w:lineRule="auto" w:after="120"/>
        <w:ind w:firstLine="283"/>
        <w:jc w:val="both"/>
      </w:pPr>
      <w:r>
        <w:rPr>
          <w:rFonts w:ascii="Calibri" w:hAnsi="Calibri" w:cs="Calibri"/>
          <w:b w:val="0"/>
          <w:i w:val="0"/>
          <w:sz w:val="22"/>
          <w:szCs w:val="22"/>
        </w:rPr>
        <w:t xml:space="preserve">Every Executive Report must meet the following quality standards before sign-off: (i) every quantitative statement is bound to an Approved metric source; (ii) every qualitative claim is bound to an Approved document; (iii) every forward commitment is bound to a named owner and a due date; (iv) every risk statement is bound to a Risk Register entry; (v) every audit finding is bound to an Audit Records entry; (vi) the report is internally consistent (no contradictions within or across sections); (vii) the report is constitutionally aligned (zero forbidden terms; no constitutional-invariant contradictions); (viii) the report is audit-traceable (every statement links to its evidence). Brain AI performs an automated quality check before routing to the approving executive and flags any quality failure for remediation.</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(cadence + assembly) · General Counsel (constitutional alignment)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Spec draft, document assembly, narrative draft, quality check, distribution logging</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Quality standard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8-point quality check (evidence binding, internal consistency, constitutional alignment, audit-traceability)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Archival</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R20 Board Records (Board Pack) · R19 Audit Records (Certification Progress) · R21 Executive Records (Monthly CEO / Quarterly Institutional / Annual / Executive Summary)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Distribution logging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distribution logged in Disclosure Register; reconciled quarterly by Audit Committee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Annual Constitutional Report + § Records &amp; Evidence</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Executive Reporting Authority  </w:t>
      </w:r>
      <w:r>
        <w:rPr>
          <w:rFonts w:ascii="Calibri" w:hAnsi="Calibri" w:cs="Calibri"/>
          <w:b w:val="0"/>
          <w:i/>
          <w:sz w:val="22"/>
          <w:szCs w:val="22"/>
        </w:rPr>
        <w:t xml:space="preserve">Executive Reporting is the single authoritative mechanism by which AURIENTA reports performance, posture, and forward commitments to its internal and external audiences. Every report is assembled from Approved evidence, signed off by a named approving executive, distributed under a logged engagement, and archived in the Institutional Data Room. No AURIENTA representative may publish an executive report outside this system.</w:t>
      </w:r>
    </w:p>
    <w:p>
      <w:pPr>
        <w:pStyle w:val="Heading2"/>
      </w:pPr>
      <w:r>
        <w:t>Section 6 — Institutional Scorecards (Part 6)</w:t>
      </w:r>
    </w:p>
    <w:p>
      <w:pPr>
        <w:pStyle w:val="Heading3"/>
      </w:pPr>
      <w:r>
        <w:t>6.1  Overview</w:t>
      </w:r>
    </w:p>
    <w:p>
      <w:pPr>
        <w:spacing w:line="312" w:lineRule="auto" w:after="120"/>
        <w:ind w:firstLine="283"/>
        <w:jc w:val="both"/>
      </w:pPr>
      <w:r>
        <w:rPr>
          <w:rFonts w:ascii="Calibri" w:hAnsi="Calibri" w:cs="Calibri"/>
          <w:b w:val="0"/>
          <w:i w:val="0"/>
          <w:sz w:val="22"/>
          <w:szCs w:val="22"/>
        </w:rPr>
        <w:t xml:space="preserve">Part 6 deploys the twelve Institutional Scorecards: evidence-backed, externally-auditable scorecards that quantify AURIENTA's institutional posture across twelve dimensions. Each scorecard is owned by a named executive, is refreshed on a stated cadence, is composed of three to seven sub-metrics, each sub-metric is bound to Approved evidence, and the aggregate score is computed by a documented algorithm. The twelve scorecards roll up into the Institutional Trust Index (Part 10 Panel P1 and COO Recommendation R1) and are reported in the Quarterly Institutional Report (Part 5 E2) and the Annual Report (Part 5 E3). Every scorecard is auditable by an external assurance provider — the underlying evidence, the computation, and the trend are all available for inspection.</w:t>
      </w:r>
    </w:p>
    <w:p>
      <w:pPr>
        <w:pStyle w:val="Heading3"/>
      </w:pPr>
      <w:r>
        <w:t>6.2  Twelve Institutional Scorecards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Scorecard</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3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Sub-Metrics</w:t>
            </w:r>
          </w:p>
        </w:tc>
        <w:tc>
          <w:tcPr>
            <w:tcW w:type="dxa" w:w="8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c>
          <w:tcPr>
            <w:tcW w:type="dxa" w:w="7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Current Reading</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attendance · Resolution throughput · Action-item closure rate · Committee effectiveness · Constitutional-responsibility discharge</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82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S2</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filings on time · Open regulatory findings · AML/KYC completeness · Sanctions-screening coverage · Compliance training completion</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91 / 100</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S3</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posture · Penetration-test findings open · Incident-response time · Access-control integrity · Patch latency</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88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S4</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Risk-register coverage · Residual-risk acceptances · Risk-mitigation plan execution · Early-warning signal throughput · Risk-appetite adherence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79 / 100</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S5</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CRE uptime · Milestone-release fidelity · Feature delivery on time · Architecture-debt ratio · Brain AI reliability</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86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S6</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Operations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NOC response time · Change-success rate · Capacity headroom · Runbook coverage · Disaster-recovery test pass rate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84 / 100</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S7</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 throughput · Milestone-release conversion · Partner-pipeline conversion · Country-entry throughput · Revenue run-rate</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72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S8</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Management</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milestone-release success rate · Enterprise renewal rate · NPS · Enterprise escalation rate · Enterprise tenure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78 / 100</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S9</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Partnerships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partner count · Partner-scorecard health · Joint-initiative throughput · Partner-NPS · Partner-renewal rate</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76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S10</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Global Expansion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readiness · Government-engagement throughput · Country-pipeline conversion · Regional-revenue mix · Localisation completeness</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64 / 100</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S11</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Sustainability Scorecard</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 runway · Capital Formation pipeline · Cash conversion cycle · Cost discipline · Equity Unit integrity</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7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70 / 100</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S12</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Trust Scorecard</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3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Evidence Engine claim-verification rate · Disclosure-register integrity · Transparency-portal freshness · Audit-finding closure rate · External-audit unqualified rate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7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81 / 100</w:t>
            </w:r>
          </w:p>
        </w:tc>
      </w:tr>
    </w:tbl>
    <w:p>
      <w:pPr>
        <w:spacing w:after="120" w:line="240" w:lineRule="auto"/>
      </w:pPr>
    </w:p>
    <w:p>
      <w:pPr>
        <w:pStyle w:val="Heading3"/>
      </w:pPr>
      <w:r>
        <w:t>6.3  Scorecard Computation Discipline</w:t>
      </w:r>
    </w:p>
    <w:p>
      <w:pPr>
        <w:spacing w:line="312" w:lineRule="auto" w:after="120"/>
        <w:ind w:firstLine="283"/>
        <w:jc w:val="both"/>
      </w:pPr>
      <w:r>
        <w:rPr>
          <w:rFonts w:ascii="Calibri" w:hAnsi="Calibri" w:cs="Calibri"/>
          <w:b w:val="0"/>
          <w:i w:val="0"/>
          <w:sz w:val="22"/>
          <w:szCs w:val="22"/>
        </w:rPr>
        <w:t xml:space="preserve">Each scorecard is computed by a documented algorithm. The algorithm is published in the Data Room (R19 Audit Records) and is reviewed annually by the Internal Audit Lead and the external auditor. The algorithm specifies the sub-metric definitions, the data sources, the weights, the normalisation, and the aggregation. No scorecard reading may be published without the underlying computation being reproducible from the Approved evidence. Brain AI performs an automated reproducibility check before each scorecard publication and flags any divergence for remediation. Scorecard readings are trended over time and reviewed by the Executive Committee monthly (for monthly scorecards) and by the Board quarterly (for all scorecards).</w:t>
      </w:r>
    </w:p>
    <w:p>
      <w:pPr>
        <w:pStyle w:val="Heading3"/>
      </w:pPr>
      <w:r>
        <w:t>6.4  Scorecard Roll-Up to Institutional Trust Index</w:t>
      </w:r>
    </w:p>
    <w:p>
      <w:pPr>
        <w:spacing w:line="312" w:lineRule="auto" w:after="120"/>
        <w:ind w:firstLine="283"/>
        <w:jc w:val="both"/>
      </w:pPr>
      <w:r>
        <w:rPr>
          <w:rFonts w:ascii="Calibri" w:hAnsi="Calibri" w:cs="Calibri"/>
          <w:b w:val="0"/>
          <w:i w:val="0"/>
          <w:sz w:val="22"/>
          <w:szCs w:val="22"/>
        </w:rPr>
        <w:t xml:space="preserve">The twelve scorecards roll up into the Institutional Trust Index — a single 0–100 index that quantifies AURIENTA's overall institutional-trust posture. The roll-up algorithm is weighted by the constitutional importance of each dimension: Governance, Compliance, Security, Risk, and Institutional Trust carry higher weights than Commercial, Customer Success, or Global Expansion. The Institutional Trust Index is the headline reading on the Board &amp; Founder Command Dashboard (Part 10 Panel P1) and is reported in every Quarterly Institutional Report and Annual Report. As of the ITDB v1.0 freeze date, the Institutional Trust Index stands at 79 / 100 — institutional-grade and rising.</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System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Operating Officer (cadence) · Internal Audit Lead (computation integrity)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Sub-metric computation, aggregation, trend analysis, reproducibility check</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Algorithm publication</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R19 Audit Records; reviewed annually by Internal Audit Lead + external auditor</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Roll-up target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Trust Index (Part 10 Panel P1)</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Institutional Report (E2) · Annual Report (E3) · Board Pack (E4)</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Current Institutional Trust Index</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79 / 100 (institutional-grade and rising)</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Annual Constitutional Report + § Records &amp; Evidence</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Institutional Scorecards Authority  </w:t>
      </w:r>
      <w:r>
        <w:rPr>
          <w:rFonts w:ascii="Calibri" w:hAnsi="Calibri" w:cs="Calibri"/>
          <w:b w:val="0"/>
          <w:i/>
          <w:sz w:val="22"/>
          <w:szCs w:val="22"/>
        </w:rPr>
        <w:t xml:space="preserve">The twelve Institutional Scorecards are the single authoritative quantification of AURIENTA's institutional posture. Every reading is computed from Approved evidence, every algorithm is published, and every reading is externally auditable. The Institutional Trust Index is the headline number by which the outside world may judge whether AURIENTA is what it claims to be.</w:t>
      </w:r>
    </w:p>
    <w:p>
      <w:pPr>
        <w:pStyle w:val="Heading2"/>
      </w:pPr>
      <w:r>
        <w:t>Section 7 — External Audit Center (Part 7)</w:t>
      </w:r>
    </w:p>
    <w:p>
      <w:pPr>
        <w:pStyle w:val="Heading3"/>
      </w:pPr>
      <w:r>
        <w:t>7.1  Overview</w:t>
      </w:r>
    </w:p>
    <w:p>
      <w:pPr>
        <w:spacing w:line="312" w:lineRule="auto" w:after="120"/>
        <w:ind w:firstLine="283"/>
        <w:jc w:val="both"/>
      </w:pPr>
      <w:r>
        <w:rPr>
          <w:rFonts w:ascii="Calibri" w:hAnsi="Calibri" w:cs="Calibri"/>
          <w:b w:val="0"/>
          <w:i w:val="0"/>
          <w:sz w:val="22"/>
          <w:szCs w:val="22"/>
        </w:rPr>
        <w:t xml:space="preserve">Part 7 establishes the External Audit Center: the unified system for managing every audit — internal, external, certification, financial, regulatory, partner-initiated, and security-assessment — across AURIENTA. The External Audit Center tracks eight audit types; each audit is bound to a named audit firm or internal audit team, a scope, a start date, an end date, a status, a set of findings, the evidence cited, the remediation plan, the remediation owner, the remediation deadline, and the closure status. The Center integrates with the Institutional Data Room (R19 Audit Records), the Enterprise Assurance Framework (Part 8), and the Board &amp; Founder Command Dashboard (Part 10 Panel P10 Audit Status).</w:t>
      </w:r>
    </w:p>
    <w:p>
      <w:pPr>
        <w:pStyle w:val="Heading3"/>
      </w:pPr>
      <w:r>
        <w:t>7.2  Eight Audit Types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Audit Type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Typical Auditor</w:t>
            </w:r>
          </w:p>
        </w:tc>
        <w:tc>
          <w:tcPr>
            <w:tcW w:type="dxa" w:w="3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Typical Scope</w:t>
            </w:r>
          </w:p>
        </w:tc>
        <w:tc>
          <w:tcPr>
            <w:tcW w:type="dxa" w:w="11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A1</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AURIENTA Internal Audit Lead</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Risk-based rotation across governance, financial, operational, compliance, security, and IT controls</w:t>
            </w:r>
          </w:p>
        </w:tc>
        <w:tc>
          <w:tcPr>
            <w:tcW w:type="dxa" w:w="11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cycles; full annual coverage</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A2</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 Financial Audit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Big Four accounting firm</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financial-statement audit under applicable financial-reporting framework</w:t>
            </w:r>
          </w:p>
        </w:tc>
        <w:tc>
          <w:tcPr>
            <w:tcW w:type="dxa" w:w="11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A3</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Type II</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Qualified SOC 2 assessor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Availability, Processing Integrity, Confidentiality, Privacy Trust Services Criteria over trailing 12 months</w:t>
            </w:r>
          </w:p>
        </w:tc>
        <w:tc>
          <w:tcPr>
            <w:tcW w:type="dxa" w:w="11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A4</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ISO 27001 (Information Security)</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Accredited ISO 27001 certification body</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Information Security Management System scope; surveillance audit Year 2; recertification Year 3</w:t>
            </w:r>
          </w:p>
        </w:tc>
        <w:tc>
          <w:tcPr>
            <w:tcW w:type="dxa" w:w="11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(surveillance / recertification cycle)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A5</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Financial-Sustainability Audit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Big Four or specialist advisory firm</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Runway model, capital-formation pipeline, Equity Unit ledger integrity, milestone-release fidelity</w:t>
            </w:r>
          </w:p>
        </w:tc>
        <w:tc>
          <w:tcPr>
            <w:tcW w:type="dxa" w:w="11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A6</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Inspection</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Sector regulator</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Regulator-defined scope; AML/KYC, sanctions, data protection, sector licensing, conduct</w:t>
            </w:r>
          </w:p>
        </w:tc>
        <w:tc>
          <w:tcPr>
            <w:tcW w:type="dxa" w:w="11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regulator cycle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A7</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Audit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 internal audit or external auditor</w:t>
            </w:r>
          </w:p>
        </w:tc>
        <w:tc>
          <w:tcPr>
            <w:tcW w:type="dxa" w:w="3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Partner-defined scope under partnership agreement; commercial performance, security posture, data handling, milestone releases</w:t>
            </w:r>
          </w:p>
        </w:tc>
        <w:tc>
          <w:tcPr>
            <w:tcW w:type="dxa" w:w="11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partnership agreement</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A8</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Assessment</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Independent security firm (penetration test / red team)</w:t>
            </w:r>
          </w:p>
        </w:tc>
        <w:tc>
          <w:tcPr>
            <w:tcW w:type="dxa" w:w="3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 penetration test, red-team exercise, threat-model review, architecture review</w:t>
            </w:r>
          </w:p>
        </w:tc>
        <w:tc>
          <w:tcPr>
            <w:tcW w:type="dxa" w:w="11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per major release</w:t>
            </w:r>
          </w:p>
        </w:tc>
      </w:tr>
    </w:tbl>
    <w:p>
      <w:pPr>
        <w:spacing w:after="120" w:line="240" w:lineRule="auto"/>
      </w:pPr>
    </w:p>
    <w:p>
      <w:pPr>
        <w:pStyle w:val="Heading3"/>
      </w:pPr>
      <w:r>
        <w:t>7.3  Audit Lifecycle</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Audit-engagement letter signed; scope, timeline, evidence access agreed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 + General Counsel</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Planning</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plan documented; risk-assessment complete; sample plan agreed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 + Auditor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Fieldwork</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Fieldwork conducted; evidence gathered from Data Room + Evidence Repository; walk-throughs held</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Auditor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Findings Draft</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Findings drafted; severity rated (High / Medium / Low / Observation); evidence cited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Auditor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Management Response</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Management response drafted for each finding; remediation plan, owner, deadline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 + Finding Owner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 Issuance</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Final audit report issued; archived in R19 Audit Records; tabled at Audit Committee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Remediation Tracking</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finding tracked to closure via Action Tracker; status reported monthly</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Finding Owner + Board Secretary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AL8</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Closure Verification</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Closure verified by Internal Audit Lead (or external auditor for external audits); closure certificate issued</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 + Auditor</w:t>
            </w:r>
          </w:p>
        </w:tc>
      </w:tr>
    </w:tbl>
    <w:p>
      <w:pPr>
        <w:spacing w:after="120" w:line="240" w:lineRule="auto"/>
      </w:pPr>
    </w:p>
    <w:p>
      <w:pPr>
        <w:pStyle w:val="Heading3"/>
      </w:pPr>
      <w:r>
        <w:t>7.4  Findings Severity and SLA</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Severity</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Remediation SLA</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Escalation</w:t>
            </w:r>
          </w:p>
        </w:tc>
      </w:tr>
      <w:tr>
        <w:trPr>
          <w:cantSplit/>
        </w:trPr>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High</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Control failure with material institutional-trust, financial, security, compliance, or constitutional impact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30 days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Audit Committee + Founder</w:t>
            </w:r>
          </w:p>
        </w:tc>
      </w:tr>
      <w:tr>
        <w:trPr>
          <w:cantSplit/>
        </w:trPr>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Medium</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Control weakness with potential institutional impact if unaddressed</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90 days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Audit Committee</w:t>
            </w:r>
          </w:p>
        </w:tc>
      </w:tr>
      <w:tr>
        <w:trPr>
          <w:cantSplit/>
        </w:trPr>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Minor control weakness with limited institutional impact</w:t>
            </w:r>
          </w:p>
        </w:tc>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180 days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Observation</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Best-practice recommendation with no control failure</w:t>
            </w:r>
          </w:p>
        </w:tc>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Next annual cycle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bl>
    <w:p>
      <w:pPr>
        <w:spacing w:after="120" w:line="240" w:lineRule="auto"/>
      </w:pPr>
    </w:p>
    <w:p>
      <w:pPr>
        <w:pStyle w:val="Heading3"/>
      </w:pPr>
      <w:r>
        <w:t>7.5  Audit Calendar and Coordination</w:t>
      </w:r>
    </w:p>
    <w:p>
      <w:pPr>
        <w:spacing w:line="312" w:lineRule="auto" w:after="120"/>
        <w:ind w:firstLine="283"/>
        <w:jc w:val="both"/>
      </w:pPr>
      <w:r>
        <w:rPr>
          <w:rFonts w:ascii="Calibri" w:hAnsi="Calibri" w:cs="Calibri"/>
          <w:b w:val="0"/>
          <w:i w:val="0"/>
          <w:sz w:val="22"/>
          <w:szCs w:val="22"/>
        </w:rPr>
        <w:t xml:space="preserve">The Board Secretary maintains the standing Audit Calendar that maps every planned audit (internal, external, certification, regulatory, partner, security) to its quarter, its auditor, its scope, its planning date, its fieldwork date, and its expected report date. The Audit Calendar is reviewed quarterly by the Audit Committee. Brain AI continuously scans the Audit Calendar and surfaces any audit approaching its planning date without an assigned auditor or any audit approaching its fieldwork date without an approved audit plan. Audit-overload is avoided by coordinating multiple audits of overlapping scope — for example, the SOC 2 Type II fieldwork and the ISO 27001 surveillance audit are scheduled to share evidence-gathering where the criteria overlap.</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Center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authority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Calendar operator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Calendar monitoring, evidence-gathering coordination, finding-tracking reconciliation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Records archival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R19 Audit Records (permanent)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Pack (E4) · Certification Progress Report (E10) · Quarterly Institutional Report (E2)</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Records &amp; Evidence + § Annual Constitutional Report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External Audit Center Authority  </w:t>
      </w:r>
      <w:r>
        <w:rPr>
          <w:rFonts w:ascii="Calibri" w:hAnsi="Calibri" w:cs="Calibri"/>
          <w:b w:val="0"/>
          <w:i/>
          <w:sz w:val="22"/>
          <w:szCs w:val="22"/>
        </w:rPr>
        <w:t xml:space="preserve">The External Audit Center is the single authoritative function for managing every audit at AURIENTA. Every audit is bound to an engagement letter, every finding is bound to evidence, every remediation is tracked to closure, and every closure is verified. The Audit Center is the substrate upon which the Institutional Trust Scorecard (S12) and the Institutional Trust Index (Part 10 P1) are computed.</w:t>
      </w:r>
    </w:p>
    <w:p>
      <w:pPr>
        <w:pStyle w:val="Heading2"/>
      </w:pPr>
      <w:r>
        <w:t>Section 8 — Enterprise Assurance Framework (Part 8)</w:t>
      </w:r>
    </w:p>
    <w:p>
      <w:pPr>
        <w:pStyle w:val="Heading3"/>
      </w:pPr>
      <w:r>
        <w:t>8.1  Overview</w:t>
      </w:r>
    </w:p>
    <w:p>
      <w:pPr>
        <w:spacing w:line="312" w:lineRule="auto" w:after="120"/>
        <w:ind w:firstLine="283"/>
        <w:jc w:val="both"/>
      </w:pPr>
      <w:r>
        <w:rPr>
          <w:rFonts w:ascii="Calibri" w:hAnsi="Calibri" w:cs="Calibri"/>
          <w:b w:val="0"/>
          <w:i w:val="0"/>
          <w:sz w:val="22"/>
          <w:szCs w:val="22"/>
        </w:rPr>
        <w:t xml:space="preserve">Part 8 codifies the Enterprise Assurance Framework: every major AURIENTA capability is mapped to a named Owner, a documented Control, Approved Evidence, a Monitoring mechanism, an Audit frequency, a Residual-Risk rating, and a Maturity rating. The Framework is the single authoritative map of how AURIENTA assures itself and the outside world that each capability is real, controlled, evidenced, monitored, and audited. The Framework is owned by the Internal Audit Lead, approved by the Audit Committee, refreshed semi-annually, and reviewed by the external auditor as part of the annual financial-statement audit and the SOC 2 / ISO 27001 surveillance audits.</w:t>
      </w:r>
    </w:p>
    <w:p>
      <w:pPr>
        <w:pStyle w:val="Heading3"/>
      </w:pPr>
      <w:r>
        <w:t>8.2  Capability Assurance Map</w:t>
      </w:r>
    </w:p>
    <w:tbl>
      <w:tblPr>
        <w:tblW w:type="auto" w:w="0"/>
        <w:jc w:val="center"/>
        <w:tblLook w:firstColumn="1" w:firstRow="1" w:lastColumn="0" w:lastRow="0" w:noHBand="0" w:noVBand="1" w:val="04A0"/>
        <w:tblLayout w:type="autofit"/>
      </w:tblPr>
      <w:tblGrid>
        <w:gridCol w:w="976"/>
        <w:gridCol w:w="976"/>
        <w:gridCol w:w="976"/>
        <w:gridCol w:w="976"/>
        <w:gridCol w:w="976"/>
        <w:gridCol w:w="976"/>
        <w:gridCol w:w="976"/>
        <w:gridCol w:w="976"/>
        <w:gridCol w:w="976"/>
      </w:tblGrid>
      <w:tr>
        <w:trPr>
          <w:cantSplit/>
          <w:tblHeader/>
        </w:trPr>
        <w:tc>
          <w:tcPr>
            <w:tcW w:type="dxa" w:w="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Capability</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Control</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Monitoring</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Audit Frequency</w:t>
            </w:r>
          </w:p>
        </w:tc>
        <w:tc>
          <w:tcPr>
            <w:tcW w:type="dxa" w:w="8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Residual Risk</w:t>
            </w:r>
          </w:p>
        </w:tc>
        <w:tc>
          <w:tcPr>
            <w:tcW w:type="dxa" w:w="8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Maturity</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Compliance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Council review · CRE invariant ledger</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 Constitutional Documents · CRE audit log</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(Brain AI)</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(Constitutional Council)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Optimised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 Effectiveness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charter · committee charters · board evaluation</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 Governance Records · R20 Board Records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(board evaluation)</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Reporting</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close · Audit Committee review · external audit</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 Financial Statements · external audit report</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 close + annual</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(external financial)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 Compliance</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Legal review workflow · contract repository</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R4 Legal Agreements · contract register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contract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Corporate Records Integrity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Records-retention schedule · access logging</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R5 Corporate Records · access logs</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F6</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Technical Architecture Stability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review board · change advisory board</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 Technical Architecture · change logs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change</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 + SOC 2)</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Optimised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F7</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Posture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controls · ISO 27001 ISMS · access-control matrix</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 Security Documentation · SOC 2 report · ISO cert</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 annual</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(SOC 2 + ISO 27001)</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F8</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Compliance</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Regulatory-filing calendar · AML/KYC procedures</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 Compliance Records · regulatory correspondence</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 + regulator)</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F9</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 Performance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Milestone-release process · partner scorecards</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R9 Commercial Records · R12 Partner Records</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Medium</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Defined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F10</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Reliability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NOC runbooks · DR plan · change-management</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R10 Operational Records · NOC metrics · DR test results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 + SOC 2)</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F11</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Human Capital Readiness</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CHRO</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Succession plan · executive evaluation · OKRs</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R11 Human Capital Records · OKR cascade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F12</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Ecosystem Health</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scorecards · joint-initiative reviews</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R12 Partner Records · partner scorecards</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 + partner)</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Medium</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Defined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F13</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Discipline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 protocols · MoU register</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R13 Government Engagement Records · MoU register</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F14</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Engagement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Engagement-letter workflow · Disclosure Register</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R14 Capital Partner Records · Disclosure Register</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engagement</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(Audit Committee)</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r>
      <w:tr>
        <w:trPr>
          <w:cantSplit/>
        </w:trPr>
        <w:tc>
          <w:tcPr>
            <w:tcW w:type="dxa" w:w="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F15</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 Integrity</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Management</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template · milestone-release certification</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R15 Enterprise Records · milestone-release certificates</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milestone</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(internal)</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Defined</w:t>
            </w:r>
          </w:p>
        </w:tc>
      </w:tr>
    </w:tbl>
    <w:p>
      <w:pPr>
        <w:spacing w:after="120" w:line="240" w:lineRule="auto"/>
      </w:pPr>
    </w:p>
    <w:p>
      <w:pPr>
        <w:pStyle w:val="Heading3"/>
      </w:pPr>
      <w:r>
        <w:t>8.3  Maturity Scale</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18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Maturity Level</w:t>
            </w:r>
          </w:p>
        </w:tc>
        <w:tc>
          <w:tcPr>
            <w:tcW w:type="dxa" w:w="7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Initial</w:t>
            </w:r>
          </w:p>
        </w:tc>
        <w:tc>
          <w:tcPr>
            <w:tcW w:type="dxa" w:w="7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exists but is ad hoc; no documented control; no monitoring</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Defined</w:t>
            </w:r>
          </w:p>
        </w:tc>
        <w:tc>
          <w:tcPr>
            <w:tcW w:type="dxa" w:w="7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is documented; control is defined; monitoring is intermittent</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Managed</w:t>
            </w:r>
          </w:p>
        </w:tc>
        <w:tc>
          <w:tcPr>
            <w:tcW w:type="dxa" w:w="7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is operated to a documented control; monitoring is continuous; evidence is Approved</w:t>
            </w:r>
          </w:p>
        </w:tc>
      </w:tr>
      <w:tr>
        <w:trPr>
          <w:cantSplit/>
        </w:trPr>
        <w:tc>
          <w:tcPr>
            <w:tcW w:type="dxa" w:w="18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Quantified</w:t>
            </w:r>
          </w:p>
        </w:tc>
        <w:tc>
          <w:tcPr>
            <w:tcW w:type="dxa" w:w="7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is measured with metrics; control is quantitatively managed; trends are reported</w:t>
            </w:r>
          </w:p>
        </w:tc>
      </w:tr>
      <w:tr>
        <w:trPr>
          <w:cantSplit/>
        </w:trPr>
        <w:tc>
          <w:tcPr>
            <w:tcW w:type="dxa" w:w="18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Optimised</w:t>
            </w:r>
          </w:p>
        </w:tc>
        <w:tc>
          <w:tcPr>
            <w:tcW w:type="dxa" w:w="7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is continuously improved; control is benchmarked externally; lessons feed back into design</w:t>
            </w:r>
          </w:p>
        </w:tc>
      </w:tr>
    </w:tbl>
    <w:p>
      <w:pPr>
        <w:spacing w:after="120" w:line="240" w:lineRule="auto"/>
      </w:pPr>
    </w:p>
    <w:p>
      <w:pPr>
        <w:pStyle w:val="Heading3"/>
      </w:pPr>
      <w:r>
        <w:t>8.4  Residual-Risk Acceptance</w:t>
      </w:r>
    </w:p>
    <w:p>
      <w:pPr>
        <w:spacing w:line="312" w:lineRule="auto" w:after="120"/>
        <w:ind w:firstLine="283"/>
        <w:jc w:val="both"/>
      </w:pPr>
      <w:r>
        <w:rPr>
          <w:rFonts w:ascii="Calibri" w:hAnsi="Calibri" w:cs="Calibri"/>
          <w:b w:val="0"/>
          <w:i w:val="0"/>
          <w:sz w:val="22"/>
          <w:szCs w:val="22"/>
        </w:rPr>
        <w:t xml:space="preserve">Residual Risk is the risk that remains after the documented Control has been applied. Residual Risk is rated Low / Medium / High by the CRO and accepted (or not) by the appropriate authority: Low risks are accepted by the CRO; Medium risks are accepted by the Audit Committee; High risks require Founder acceptance and are reported in the Board Pack with a documented mitigation plan. No High residual risk may remain unaccepted for more than one board cycle. The Residual-Risk register is reviewed quarterly by the Risk Committee and annually by the external auditor.</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Framework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Approving authority</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Committee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Semi-annual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Capability count</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15 capabilities (F1–F15)</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Maturity scale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Initial · Defined · Managed · Quantified · Optimised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Residual-risk acceptance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Low (CRO) · Medium (Audit Committee) · High (Founder + Board Pack disclosure)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R19 Audit Records · Board Pack (E4) · Quarterly Institutional Report (E2)</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Records &amp; Evidence + § Annual Constitutional Report</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Enterprise Assurance Framework Authority  </w:t>
      </w:r>
      <w:r>
        <w:rPr>
          <w:rFonts w:ascii="Calibri" w:hAnsi="Calibri" w:cs="Calibri"/>
          <w:b w:val="0"/>
          <w:i/>
          <w:sz w:val="22"/>
          <w:szCs w:val="22"/>
        </w:rPr>
        <w:t xml:space="preserve">The Enterprise Assurance Framework is the single authoritative map of how AURIENTA assures itself and the outside world that every major capability is real, controlled, evidenced, monitored, and audited. The Framework binds every capability to a named owner, a documented control, Approved evidence, a monitoring mechanism, an audit frequency, a residual-risk rating, and a maturity rating. The Framework is the substrate upon which the External Audit Center (Part 7) and the Institutional Trust Scorecard (S12) operate.</w:t>
      </w:r>
    </w:p>
    <w:p>
      <w:pPr>
        <w:pStyle w:val="Heading2"/>
      </w:pPr>
      <w:r>
        <w:t>Section 9 — Institutional Transparency Portal (Part 9)</w:t>
      </w:r>
    </w:p>
    <w:p>
      <w:pPr>
        <w:pStyle w:val="Heading3"/>
      </w:pPr>
      <w:r>
        <w:t>9.1  Overview</w:t>
      </w:r>
    </w:p>
    <w:p>
      <w:pPr>
        <w:spacing w:line="312" w:lineRule="auto" w:after="120"/>
        <w:ind w:firstLine="283"/>
        <w:jc w:val="both"/>
      </w:pPr>
      <w:r>
        <w:rPr>
          <w:rFonts w:ascii="Calibri" w:hAnsi="Calibri" w:cs="Calibri"/>
          <w:b w:val="0"/>
          <w:i w:val="0"/>
          <w:sz w:val="22"/>
          <w:szCs w:val="22"/>
        </w:rPr>
        <w:t xml:space="preserve">Part 9 launches the Institutional Transparency Portal: a public-facing Trust Center that publishes Approved AURIENTA evidence to the outside world under a rigorous Public vs Confidential separation. The Portal is owned by the General Counsel, operated day-to-day by the Board Secretary, and refreshed on a stated cadence per section. The Portal is the single authoritative public face of AURIENTA: every document published on the Portal is bound to an Approved document in the Institutional Data Room, every claim is bound to a Verified claim in the Trust Evidence Engine (Part 4), and every section is monitored by Brain AI for freshness, consistency, and constitutional alignment. The Portal is hosted at trust.aurienta.com and is publicly accessible without authentication; confidential materials are never published on the Portal.</w:t>
      </w:r>
    </w:p>
    <w:p>
      <w:pPr>
        <w:pStyle w:val="Heading3"/>
      </w:pPr>
      <w:r>
        <w:t>9.2  Twelve Portal Sections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Section</w:t>
            </w:r>
          </w:p>
        </w:tc>
        <w:tc>
          <w:tcPr>
            <w:tcW w:type="dxa" w:w="4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9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Refresh Cadence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Documents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(public redline) · Constitutional Council membership · amendment history (public summary)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 on amendment</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charter (public) · committee charters (public) · board composition · director biographies · governance policies (public)</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Audits &amp; Certifications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certifications (SOC 2 / ISO 27001 / ISO 9001 / ISO 22301) · audit-firm attestations (public summary) · audit-finding closure summary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audit cycle</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Posture</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architecture overview (sanitised) · penetration-test summary · incident-response summary · bug-bounty scope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 Standing</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 registrations · regulatory-filing calendar (public) · AML/KYC posture (public summary) · sanctions-screening posture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Directory</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partner directory (with partner consent) · partnership categories · joint-initiative case studies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Charter template (public) · milestone-release process · Enterprise obligations · Enterprise rights · sample charter instrument (redacted)</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Relations</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engagement protocol · Equity Unit mechanics (public) · Capital Formation process (public) · Law Firm Client Account disclosure (public summary)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P9</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Transparency</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CRE uptime (rolling 12 months) · milestone-release fidelity · NOC response time · change-success rate · DR test pass rate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P10</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Financial Sustainability</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Operating-runway disclosure (qualitative bands) · Capital Formation pipeline (qualitative) · Equity Unit integrity statement · annual financial statements (public summary)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Amendments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Amendment process (public) · pending amendments (public summary) · amendment history with Constitutional Council commentary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9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On amendment</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Bulletins</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Bulletins (Part 5 E11) · material-event disclosures · forward-commitment statements · regulatory-engagement summaries (public)</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9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bulletin</w:t>
            </w:r>
          </w:p>
        </w:tc>
      </w:tr>
    </w:tbl>
    <w:p>
      <w:pPr>
        <w:spacing w:after="120" w:line="240" w:lineRule="auto"/>
      </w:pPr>
    </w:p>
    <w:p>
      <w:pPr>
        <w:pStyle w:val="Heading3"/>
      </w:pPr>
      <w:r>
        <w:t>9.3  Public vs Confidential Separation</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Treatment</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Definition</w:t>
            </w:r>
          </w:p>
        </w:tc>
        <w:tc>
          <w:tcPr>
            <w:tcW w:type="dxa" w:w="2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Example</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(full)</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published in full on the Portal</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(public redline)</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(summary)</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summary published; full document Restricted</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Annual financial statements public summary</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(sanitised)</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Sanitised version published; confidential technical details redacted</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 architecture overview (sanitised)</w:t>
            </w:r>
          </w:p>
        </w:tc>
      </w:tr>
      <w:tr>
        <w:trPr>
          <w:cantSplit/>
        </w:trPr>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(referenced)</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not published; only its existence referenced with classification</w:t>
            </w:r>
          </w:p>
        </w:tc>
        <w:tc>
          <w:tcPr>
            <w:tcW w:type="dxa" w:w="2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Full external audit report</w:t>
            </w:r>
          </w:p>
        </w:tc>
      </w:tr>
      <w:tr>
        <w:trPr>
          <w:cantSplit/>
        </w:trPr>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Confidential (silent)</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Document not published and not referenced; existence not disclosed</w:t>
            </w:r>
          </w:p>
        </w:tc>
        <w:tc>
          <w:tcPr>
            <w:tcW w:type="dxa" w:w="2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working papers</w:t>
            </w:r>
          </w:p>
        </w:tc>
      </w:tr>
    </w:tbl>
    <w:p>
      <w:pPr>
        <w:spacing w:after="120" w:line="240" w:lineRule="auto"/>
      </w:pPr>
    </w:p>
    <w:p>
      <w:pPr>
        <w:pStyle w:val="Heading3"/>
      </w:pPr>
      <w:r>
        <w:t>9.4  Publication Workflow</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Stage</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w:t>
            </w:r>
          </w:p>
        </w:tc>
        <w:tc>
          <w:tcPr>
            <w:tcW w:type="dxa" w:w="4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Output</w:t>
            </w:r>
          </w:p>
        </w:tc>
        <w:tc>
          <w:tcPr>
            <w:tcW w:type="dxa" w:w="19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PP1</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Source Identification</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Approved Data Room document identified as Portal candidate</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PP2</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Public-Readiness Review</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reviews for Public / Public-summary / Public-sanitised / Confidential-referenced / Confidential-silent treatment</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PP3</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Sanitisation (if required)</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Sanitisation applied by named executive; sanitised version Approved as a new Data Room document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Named Executive + Internal Audit Lead</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PP4</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Evidence Engine Binding</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claim in the Portal content bound to a Verified claim in the Trust Evidence Engine</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 Internal Audit Lead</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PP5</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Sign-Off</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signs off on Portal publication</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r>
      <w:tr>
        <w:trPr>
          <w:cantSplit/>
        </w:trPr>
        <w:tc>
          <w:tcPr>
            <w:tcW w:type="dxa" w:w="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PP6</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Publication</w:t>
            </w:r>
          </w:p>
        </w:tc>
        <w:tc>
          <w:tcPr>
            <w:tcW w:type="dxa" w:w="4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Content published to Portal; publication logged in Disclosure Register</w:t>
            </w:r>
          </w:p>
        </w:tc>
        <w:tc>
          <w:tcPr>
            <w:tcW w:type="dxa" w:w="19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PP7</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Monitoring</w:t>
            </w:r>
          </w:p>
        </w:tc>
        <w:tc>
          <w:tcPr>
            <w:tcW w:type="dxa" w:w="4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monitors for content freshness, broken evidence links, and constitutional-alignment drift</w:t>
            </w:r>
          </w:p>
        </w:tc>
        <w:tc>
          <w:tcPr>
            <w:tcW w:type="dxa" w:w="19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w:t>
            </w:r>
          </w:p>
        </w:tc>
      </w:tr>
    </w:tbl>
    <w:p>
      <w:pPr>
        <w:spacing w:after="120" w:line="240" w:lineRule="auto"/>
      </w:pPr>
    </w:p>
    <w:p>
      <w:pPr>
        <w:pStyle w:val="Heading3"/>
      </w:pPr>
      <w:r>
        <w:t>9.5  Portal Quality Standards</w:t>
      </w:r>
    </w:p>
    <w:p>
      <w:pPr>
        <w:spacing w:line="312" w:lineRule="auto" w:after="120"/>
        <w:ind w:firstLine="283"/>
        <w:jc w:val="both"/>
      </w:pPr>
      <w:r>
        <w:rPr>
          <w:rFonts w:ascii="Calibri" w:hAnsi="Calibri" w:cs="Calibri"/>
          <w:b w:val="0"/>
          <w:i w:val="0"/>
          <w:sz w:val="22"/>
          <w:szCs w:val="22"/>
        </w:rPr>
        <w:t xml:space="preserve">Every Portal section must meet the following quality standards: (i) every published document is bound to an Approved document in the Data Room; (ii) every claim is bound to a Verified claim in the Trust Evidence Engine; (iii) every section is refreshed on its stated cadence and a last-refreshed date is visible on every section; (iv) every broken evidence link is surfaced to the Board Secretary within 24 hours; (v) every constitutional-alignment drift is surfaced to the General Counsel within 24 hours; (vi) every confidential material is verifiably absent from the Portal (Brain AI continuously scans the Portal for any document with Classification above Public).</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Portal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Day-to-day operator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Public URL</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trust.aurienta.com</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content monitoring, evidence-link integrity, constitutional-alignment scan, classification scan</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Quality standard</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6-point quality check (evidence binding, claim verification, refresh cadence, link integrity, constitutional alignment, classification enforcement)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 Institutional Report (E2) · Annual Report (E3)</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Annual Constitutional Report + § Transparency Doctrine</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Institutional Transparency Portal Authority  </w:t>
      </w:r>
      <w:r>
        <w:rPr>
          <w:rFonts w:ascii="Calibri" w:hAnsi="Calibri" w:cs="Calibri"/>
          <w:b w:val="0"/>
          <w:i/>
          <w:sz w:val="22"/>
          <w:szCs w:val="22"/>
        </w:rPr>
        <w:t xml:space="preserve">The Institutional Transparency Portal is the single authoritative public face of AURIENTA. Every published document is bound to Approved evidence; every claim is bound to a Verified claim; every section is monitored for freshness, integrity, and constitutional alignment. Confidential materials are verifiably absent. The Portal is the bridge by which the outside world may examine AURIENTA without an engagement letter — the institution open for inspection.</w:t>
      </w:r>
    </w:p>
    <w:p>
      <w:pPr>
        <w:pStyle w:val="Heading2"/>
      </w:pPr>
      <w:r>
        <w:t>Section 10 — Board &amp; Founder Command Dashboard (Part 10)</w:t>
      </w:r>
    </w:p>
    <w:p>
      <w:pPr>
        <w:pStyle w:val="Heading3"/>
      </w:pPr>
      <w:r>
        <w:t>10.1  Overview</w:t>
      </w:r>
    </w:p>
    <w:p>
      <w:pPr>
        <w:spacing w:line="312" w:lineRule="auto" w:after="120"/>
        <w:ind w:firstLine="283"/>
        <w:jc w:val="both"/>
      </w:pPr>
      <w:r>
        <w:rPr>
          <w:rFonts w:ascii="Calibri" w:hAnsi="Calibri" w:cs="Calibri"/>
          <w:b w:val="0"/>
          <w:i w:val="0"/>
          <w:sz w:val="22"/>
          <w:szCs w:val="22"/>
        </w:rPr>
        <w:t xml:space="preserve">Part 10 delivers the Board &amp; Founder Command Dashboard: a fourteen-panel always-on cockpit that binds the entire ITDB Volume — Data Room, Board Office, Due Diligence Automation, Trust Evidence Engine, Executive Reporting, Institutional Scorecards, External Audit Center, Enterprise Assurance Framework, and Institutional Transparency Portal — into one executive view. The Dashboard is the institutional counterpart to the FOCC Mission Control (FOCC Part 4): where Mission Control is the Founder's day-to-day operational cockpit, the Board &amp; Founder Command Dashboard is the institutional-trust and board-governance cockpit. The Dashboard is owned by the Board Secretary with the support of the Chief of Staff, refreshed on a stated cadence per panel, and reviewed at every board meeting and at the weekly Executive Committee.</w:t>
      </w:r>
    </w:p>
    <w:p>
      <w:pPr>
        <w:pStyle w:val="Heading3"/>
      </w:pPr>
      <w:r>
        <w:t>10.2  Fourteen Dashboard Panels</w:t>
      </w:r>
    </w:p>
    <w:tbl>
      <w:tblPr>
        <w:tblW w:type="auto" w:w="0"/>
        <w:jc w:val="center"/>
        <w:tblLook w:firstColumn="1" w:firstRow="1" w:lastColumn="0" w:lastRow="0" w:noHBand="0" w:noVBand="1" w:val="04A0"/>
        <w:tblLayout w:type="autofit"/>
      </w:tblPr>
      <w:tblGrid>
        <w:gridCol w:w="1758"/>
        <w:gridCol w:w="1758"/>
        <w:gridCol w:w="1758"/>
        <w:gridCol w:w="1758"/>
        <w:gridCol w:w="1758"/>
      </w:tblGrid>
      <w:tr>
        <w:trPr>
          <w:cantSplit/>
          <w:tblHeader/>
        </w:trPr>
        <w:tc>
          <w:tcPr>
            <w:tcW w:type="dxa" w:w="3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1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Panel</w:t>
            </w:r>
          </w:p>
        </w:tc>
        <w:tc>
          <w:tcPr>
            <w:tcW w:type="dxa" w:w="4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Content</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85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Cadence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Trust Index</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Headline 0–100 Institutional Trust Index (Part 6 roll-up); trend 12 months; sub-scorecard deltas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COO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P2</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Governance</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attendance · resolution throughput · action-item closure · committee effectiveness · constitutional-responsibility discharge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P3</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CRE uptime · NOC response time · change-success rate · DR test pass rate · capacity headroom</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P4</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Commercial</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 throughput · milestone-release conversion · partner-pipeline conversion · country-entry throughput · revenue run-rate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P5</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Security</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SOC 2 posture · penetration-test findings open · incident-response time · access-control integrity · patch latency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P6</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Compliance</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Regulatory filings on time · open regulatory findings · AML/KYC completeness · sanctions-screening coverage · training completion</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P7</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Customer Success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milestone-release success rate · renewal rate · NPS · escalation rate · tenure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Account Management</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Monthly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P8</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Strategic Initiatives</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strategic initiatives · stage-gate status · milestone delivery · budget burn · owner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Chief of Staff</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P9</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Active certifications · renewal calendar · audits in flight · findings open · closure rate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 + CISO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P10</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Status</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 calendar · active audits · findings open · remediation overdue · closure rate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P11</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Risks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risk register · residual-risk acceptances · early-warning signals · risk-appetite adherence</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Weekly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P12</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Decisions Pending</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Pending board resolutions · pending executive decisions · pending approval-routing items · pending constitutional-council items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Board Secretary</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3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P13</w:t>
            </w:r>
          </w:p>
        </w:tc>
        <w:tc>
          <w:tcPr>
            <w:tcW w:type="dxa" w:w="21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Actions</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Open executive commitments · open follow-ups · open escalations · upcoming board prep · upcoming constitutional deadlines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85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w:t>
            </w:r>
          </w:p>
        </w:tc>
      </w:tr>
      <w:tr>
        <w:trPr>
          <w:cantSplit/>
        </w:trPr>
        <w:tc>
          <w:tcPr>
            <w:tcW w:type="dxa" w:w="3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P14</w:t>
            </w:r>
          </w:p>
        </w:tc>
        <w:tc>
          <w:tcPr>
            <w:tcW w:type="dxa" w:w="21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Maturity Trajectory</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Maturity Roadmap (COO Recommendation R7) · current maturity band · next-band gaps · target quarter</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85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Quarterly</w:t>
            </w:r>
          </w:p>
        </w:tc>
      </w:tr>
    </w:tbl>
    <w:p>
      <w:pPr>
        <w:spacing w:after="120" w:line="240" w:lineRule="auto"/>
      </w:pPr>
    </w:p>
    <w:p>
      <w:pPr>
        <w:pStyle w:val="Heading3"/>
      </w:pPr>
      <w:r>
        <w:t>10.3  Dashboard Operating Doctrine</w:t>
      </w:r>
    </w:p>
    <w:p>
      <w:pPr>
        <w:spacing w:line="312" w:lineRule="auto" w:after="120"/>
        <w:ind w:firstLine="283"/>
        <w:jc w:val="both"/>
      </w:pPr>
      <w:r>
        <w:rPr>
          <w:rFonts w:ascii="Calibri" w:hAnsi="Calibri" w:cs="Calibri"/>
          <w:b w:val="0"/>
          <w:i w:val="0"/>
          <w:sz w:val="22"/>
          <w:szCs w:val="22"/>
        </w:rPr>
        <w:t xml:space="preserve">The Board &amp; Founder Command Dashboard is the institutional-trust and board-governance counterpart to the FOCC Mission Control. Every panel is bound to a named Owner and a stated refresh cadence; every metric on every panel is bound to Approved evidence in the Institutional Data Room; every trend is computed by a documented algorithm (Part 6 Scorecard Computation Discipline); every alert threshold is set by the Owner and approved by the Audit Committee. Brain AI continuously scans every panel for metric drift, broken evidence links, and approaching deadlines, and surfaces any anomaly to the Owner and to the Board Secretary within 24 hours.</w:t>
      </w:r>
    </w:p>
    <w:tbl>
      <w:tblPr>
        <w:tblW w:type="auto" w:w="0"/>
        <w:jc w:val="center"/>
        <w:tblLook w:firstColumn="1" w:firstRow="1" w:lastColumn="0" w:lastRow="0" w:noHBand="0" w:noVBand="1" w:val="04A0"/>
        <w:tblLayout w:type="autofit"/>
      </w:tblPr>
      <w:tblGrid>
        <w:gridCol w:w="4394"/>
        <w:gridCol w:w="4394"/>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Attribute</w:t>
            </w:r>
          </w:p>
        </w:tc>
        <w:tc>
          <w:tcPr>
            <w:tcW w:type="dxa" w:w="6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Value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Dashboard owner</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Operating partner</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Refresh cadence</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Daily / Weekly / Monthly / Quarterly per panel</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role</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Metric computation, trend analysis, anomaly detection, evidence-link integrity, deadline monitoring</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Alert thresholds</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Set by Owner; approved by Audit Committee</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Reporting</w:t>
            </w:r>
          </w:p>
        </w:tc>
        <w:tc>
          <w:tcPr>
            <w:tcW w:type="dxa" w:w="6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 board cycle (Board Pack E4) · Weekly Executive Committee · Quarterly Institutional Report (E2)</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binding</w:t>
            </w:r>
          </w:p>
        </w:tc>
        <w:tc>
          <w:tcPr>
            <w:tcW w:type="dxa" w:w="6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 v1.0 § Board of Directors + § Annual Constitutional Report</w:t>
            </w:r>
          </w:p>
        </w:tc>
      </w:tr>
    </w:tbl>
    <w:p>
      <w:pPr>
        <w:spacing w:after="120" w:line="240" w:lineRule="auto"/>
      </w:pPr>
    </w:p>
    <w:p>
      <w:pPr>
        <w:pStyle w:val="Heading3"/>
      </w:pPr>
      <w:r>
        <w:t>10.4  Dashboard — Board &amp; Founder Compact</w:t>
      </w:r>
    </w:p>
    <w:p>
      <w:pPr>
        <w:spacing w:line="312" w:lineRule="auto" w:after="120"/>
        <w:ind w:firstLine="283"/>
        <w:jc w:val="both"/>
      </w:pPr>
      <w:r>
        <w:rPr>
          <w:rFonts w:ascii="Calibri" w:hAnsi="Calibri" w:cs="Calibri"/>
          <w:b w:val="0"/>
          <w:i w:val="0"/>
          <w:sz w:val="22"/>
          <w:szCs w:val="22"/>
        </w:rPr>
        <w:t xml:space="preserve">The Board &amp; Founder Command Dashboard codifies the Board &amp; Founder Compact — the explicit, evidence-bound standard by which the Board and the Founder jointly steward AURIENTA's institutional-trust posture. The Compact binds the Board's governance authority and the Founder's command authority to audit-grade evidence: every panel reading is reproducible from Approved evidence; every trend is computed by a documented algorithm; every alert is bound to an Owner and a remediation SLA. The Compact is reviewed at every board meeting, by the Constitutional Council annually, and is published in summary form in the Annual Constitutional Report.</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Board &amp; Founder Command Dashboard Authority  </w:t>
      </w:r>
      <w:r>
        <w:rPr>
          <w:rFonts w:ascii="Calibri" w:hAnsi="Calibri" w:cs="Calibri"/>
          <w:b w:val="0"/>
          <w:i/>
          <w:sz w:val="22"/>
          <w:szCs w:val="22"/>
        </w:rPr>
        <w:t xml:space="preserve">The Board &amp; Founder Command Dashboard is the single authoritative cockpit for institutional-trust and board-governance posture at AURIENTA. The fourteen panels consolidate every institutional signal into one evidence-bound view. The Dashboard binds the Board's governance authority and the Founder's command authority to audit-grade evidence; it is reviewed at every board meeting, weekly by the Executive Committee, and annually by the Constitutional Council.</w:t>
      </w:r>
    </w:p>
    <w:p>
      <w:pPr>
        <w:pStyle w:val="Heading2"/>
      </w:pPr>
      <w:r>
        <w:t>Section 11 — COO Additional Recommendations</w:t>
      </w:r>
    </w:p>
    <w:p>
      <w:pPr>
        <w:spacing w:line="312" w:lineRule="auto" w:after="120"/>
        <w:ind w:firstLine="283"/>
        <w:jc w:val="both"/>
      </w:pPr>
      <w:r>
        <w:rPr>
          <w:rFonts w:ascii="Calibri" w:hAnsi="Calibri" w:cs="Calibri"/>
          <w:b w:val="0"/>
          <w:i w:val="0"/>
          <w:sz w:val="22"/>
          <w:szCs w:val="22"/>
        </w:rPr>
        <w:t xml:space="preserve">The Chief Operating Officer has identified eight additional recommendations that further elevate ITDB v1.0 from a comprehensive institutional-trust system to a fully-instrumented trust-and-assurance center. These recommendations are not new architecture; they are operational systems that activate the doctrine of Parts 1 through 10. Each recommendation is owned by a named executive, has a defined scope, a target completion quarter, and an integration point with the Board &amp; Founder Command Dashboard (Part 10) and the Quarterly Institutional Report (Part 5 E2).</w:t>
      </w:r>
    </w:p>
    <w:p>
      <w:pPr>
        <w:pStyle w:val="Heading3"/>
      </w:pPr>
      <w:r>
        <w:t>11.1  Eight Recommendations</w:t>
      </w:r>
    </w:p>
    <w:tbl>
      <w:tblPr>
        <w:tblW w:type="auto" w:w="0"/>
        <w:jc w:val="center"/>
        <w:tblLook w:firstColumn="1" w:firstRow="1" w:lastColumn="0" w:lastRow="0" w:noHBand="0" w:noVBand="1" w:val="04A0"/>
        <w:tblLayout w:type="autofit"/>
      </w:tblPr>
      <w:tblGrid>
        <w:gridCol w:w="1465"/>
        <w:gridCol w:w="1465"/>
        <w:gridCol w:w="1465"/>
        <w:gridCol w:w="1465"/>
        <w:gridCol w:w="1465"/>
        <w:gridCol w:w="1465"/>
      </w:tblGrid>
      <w:tr>
        <w:trPr>
          <w:cantSplit/>
          <w:tblHeader/>
        </w:trPr>
        <w:tc>
          <w:tcPr>
            <w:tcW w:type="dxa" w:w="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w:t>
            </w:r>
          </w:p>
        </w:tc>
        <w:tc>
          <w:tcPr>
            <w:tcW w:type="dxa" w:w="2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Recommendation</w:t>
            </w:r>
          </w:p>
        </w:tc>
        <w:tc>
          <w:tcPr>
            <w:tcW w:type="dxa" w:w="3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Scope</w:t>
            </w:r>
          </w:p>
        </w:tc>
        <w:tc>
          <w:tcPr>
            <w:tcW w:type="dxa" w:w="17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 Quarter</w:t>
            </w:r>
          </w:p>
        </w:tc>
        <w:tc>
          <w:tcPr>
            <w:tcW w:type="dxa" w:w="13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Dashboard Integration</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R1</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Trust Index</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0–100 Institutional Trust Index computed from the twelve Institutional Scorecards (Part 6); trended over time; sub-index drill-down; externally-auditable computation</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Internal Audit Lead</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 P1</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R2</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Ledger</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Permanent immutable ledger of every Approved evidence artefact cited in any Part 2–10 instrument; supports evidence-recall, evidence-supersession tracking, and external-auditor evidence-verification workflows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P9 + P10</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R3</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Assurance Heat Map</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Heat map of the Enterprise Assurance Framework (Part 8) showing residual-risk by capability and by audit cycle; surfaces concentration risk and audit-fatigue risk</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 + Internal Audit Lead</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P10 + P11</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R4</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Continuous Board Intelligence</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AI-powered continuous board-intelligence feed: real-time scan of Corporate Intelligence (FOCC Part 6) + Risk Register + Compliance + Certifications + Audits + Trust Evidence Engine; surfaces emerging institutional-trust issues 30–90 days ahead</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 + CRO</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P2 + P10 + P11</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R5</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Executive Evidence Assistant</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AI-powered assistant that retrieves Approved evidence on demand during executive meetings, board meetings, regulator engagements, and Capital Partner engagements; never cites a non-Approved artefact</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P12 + P13</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R6</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Institutional Narrative Manager</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Single source of truth for the AURIENTA institutional narrative — the constitutional story, the founder story, the operating story, the commercial story, the trust story — version-controlled and bound to Verified claims in the Trust Evidence Engine</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 + General Counsel</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 P2 + Transparency Portal P1 + P12</w:t>
            </w:r>
          </w:p>
        </w:tc>
      </w:tr>
      <w:tr>
        <w:trPr>
          <w:cantSplit/>
        </w:trPr>
        <w:tc>
          <w:tcPr>
            <w:tcW w:type="dxa" w:w="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R7</w:t>
            </w:r>
          </w:p>
        </w:tc>
        <w:tc>
          <w:tcPr>
            <w:tcW w:type="dxa" w:w="2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Trust Maturity Roadmap</w:t>
            </w:r>
          </w:p>
        </w:tc>
        <w:tc>
          <w:tcPr>
            <w:tcW w:type="dxa" w:w="3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Five-band Trust Maturity Roadmap (Emerging · Developing · Established · Institutional · Beacon) with current-band assessment, next-band gaps, and target-quarter per gap; binds to the Institutional Trust Index (R1)</w:t>
            </w:r>
          </w:p>
        </w:tc>
        <w:tc>
          <w:tcPr>
            <w:tcW w:type="dxa" w:w="17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 + General Counsel</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Q2</w:t>
            </w:r>
          </w:p>
        </w:tc>
        <w:tc>
          <w:tcPr>
            <w:tcW w:type="dxa" w:w="13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 P14</w:t>
            </w:r>
          </w:p>
        </w:tc>
      </w:tr>
      <w:tr>
        <w:trPr>
          <w:cantSplit/>
        </w:trPr>
        <w:tc>
          <w:tcPr>
            <w:tcW w:type="dxa" w:w="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R8</w:t>
            </w:r>
          </w:p>
        </w:tc>
        <w:tc>
          <w:tcPr>
            <w:tcW w:type="dxa" w:w="2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 Assurance Readiness</w:t>
            </w:r>
          </w:p>
        </w:tc>
        <w:tc>
          <w:tcPr>
            <w:tcW w:type="dxa" w:w="3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Standing external-assurance-readiness programme: pre-staged audit workpapers, pre-staged SOC 2 / ISO 27001 / financial-audit evidence binders, pre-staged regulator-engagement protocols, and quarterly readiness self-assessments</w:t>
            </w:r>
          </w:p>
        </w:tc>
        <w:tc>
          <w:tcPr>
            <w:tcW w:type="dxa" w:w="17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 + CCO</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Q1</w:t>
            </w:r>
          </w:p>
        </w:tc>
        <w:tc>
          <w:tcPr>
            <w:tcW w:type="dxa" w:w="13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Panels P9 + P10</w:t>
            </w:r>
          </w:p>
        </w:tc>
      </w:tr>
    </w:tbl>
    <w:p>
      <w:pPr>
        <w:spacing w:after="120" w:line="240" w:lineRule="auto"/>
      </w:pPr>
    </w:p>
    <w:p>
      <w:pPr>
        <w:pStyle w:val="Heading3"/>
      </w:pPr>
      <w:r>
        <w:t>11.2  Recommendation Interdependencies</w:t>
      </w:r>
    </w:p>
    <w:p>
      <w:pPr>
        <w:spacing w:line="312" w:lineRule="auto" w:after="120"/>
        <w:ind w:firstLine="283"/>
        <w:jc w:val="both"/>
      </w:pPr>
      <w:r>
        <w:rPr>
          <w:rFonts w:ascii="Calibri" w:hAnsi="Calibri" w:cs="Calibri"/>
          <w:b w:val="0"/>
          <w:i w:val="0"/>
          <w:sz w:val="22"/>
          <w:szCs w:val="22"/>
        </w:rPr>
        <w:t xml:space="preserve">The eight recommendations are designed to interoperate. R1 (Institutional Trust Index) is the headline reading that R7 (Trust Maturity Roadmap) bands and that R3 (Assurance Heat Map) explains. R2 (Evidence Ledger) is the substrate upon which R1, R3, R4, R5, and R8 all draw Approved evidence. R4 (Continuous Board Intelligence) and R5 (Executive Evidence Assistant) share the same underlying signal and evidence infrastructure. R6 (Institutional Narrative Manager) ensures that every external communication — including the narrative in Due Diligence Packages (Part 3) and Executive Reports (Part 5) — is drawn from the same Verified-claim-bound source. R8 (External Assurance Readiness) ensures that when an external auditor, regulator, or Big Four DD partner engages, AURIENTA can produce a complete evidence binder within five business days. Together the eight recommendations complete the institutional-trust-and-assurance center.</w:t>
      </w: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COO Recommendations Authority  </w:t>
      </w:r>
      <w:r>
        <w:rPr>
          <w:rFonts w:ascii="Calibri" w:hAnsi="Calibri" w:cs="Calibri"/>
          <w:b w:val="0"/>
          <w:i/>
          <w:sz w:val="22"/>
          <w:szCs w:val="22"/>
        </w:rPr>
        <w:t xml:space="preserve">The eight COO Additional Recommendations are the operational systems that complete the ITDB institutional-trust-and-assurance center. They are not new architecture; they are execution instruments. Each recommendation is owned by a named executive, has a target completion quarter, and integrates directly with the Board &amp; Founder Command Dashboard.</w:t>
      </w:r>
    </w:p>
    <w:p>
      <w:pPr>
        <w:pStyle w:val="Heading2"/>
      </w:pPr>
      <w:r>
        <w:t>Section 12 — Executive Certification (Final Constitutional infrastructure-Management Phase)</w:t>
      </w:r>
    </w:p>
    <w:p>
      <w:pPr>
        <w:spacing w:line="312" w:lineRule="auto" w:after="120"/>
        <w:ind w:firstLine="283"/>
        <w:jc w:val="both"/>
      </w:pPr>
      <w:r>
        <w:rPr>
          <w:rFonts w:ascii="Calibri" w:hAnsi="Calibri" w:cs="Calibri"/>
          <w:b w:val="0"/>
          <w:i w:val="0"/>
          <w:sz w:val="22"/>
          <w:szCs w:val="22"/>
        </w:rPr>
        <w:t xml:space="preserve">ITDB v1.0 is certified by the undersigned executives as complete, internally consistent, and synchronised with the frozen AURIENTA constitutional substrate. The certification authorises the operational deployment of ITDB v1.0 as the standing institutional-trust, due-diligence, and board-readiness function for AURIENTA. The ten parts (Institutional Data Room; Board Management System; Due Diligence Automation; Trust Evidence Engine; Executive Reporting; Institutional Scorecards; External Audit Center; Enterprise Assurance Framework; Institutional Transparency Portal; Board &amp; Founder Command Dashboard) and the eight COO Additional Recommendations are authorised for execution on the stated target quarters. Per COO directive, ITDB v1.0 is the FINAL constitutional infrastructure-management volume; after ITDB, AURIENTA shifts decisively from internal-system expansion to market execution.</w:t>
      </w:r>
    </w:p>
    <w:tbl>
      <w:tblPr>
        <w:tblW w:type="auto" w:w="0"/>
        <w:jc w:val="center"/>
        <w:tblLook w:firstColumn="1" w:firstRow="1" w:lastColumn="0" w:lastRow="0" w:noHBand="0" w:noVBand="1" w:val="04A0"/>
        <w:tblLayout w:type="autofit"/>
      </w:tblPr>
      <w:tblGrid>
        <w:gridCol w:w="2929"/>
        <w:gridCol w:w="2929"/>
        <w:gridCol w:w="2929"/>
      </w:tblGrid>
      <w:tr>
        <w:trPr>
          <w:cantSplit/>
          <w:tblHeader/>
        </w:trPr>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 Dimension</w:t>
            </w:r>
          </w:p>
        </w:tc>
        <w:tc>
          <w:tcPr>
            <w:tcW w:type="dxa" w:w="1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Verdict</w:t>
            </w:r>
          </w:p>
        </w:tc>
        <w:tc>
          <w:tcPr>
            <w:tcW w:type="dxa" w:w="45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Evidence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alignment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Zero forbidden terms; zero CRE overrides; constitutional terminology enforced throughout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Architecture integrity</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No new architecture; every prior volume treated as frozen substrate</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consistency</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Parts 1–10 cross-referenced; no contradictions</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Operational completeness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All ten parts + eight COO recommendations scoped, owned, and cadenced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Evidence readiness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Every section binds to PE WS9 Institutional Evidence Repository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FOCC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ITDB operates alongside FOCC; Board &amp; Founder Command Dashboard complements FOCC Mission Control</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GLS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ITDB institutional-trust doctrine governs GLS due-diligence and transparency</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PE v1.0</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Pilot evidence feeds ITDB scorecards and audits</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Synchronisation with PH-ER / AOS / ACS v1.0</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Production-hardening, operating-system, and commercialisation invariants preserved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integration</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Brain AI powers Parts 1, 3, 4, 5, 6, 7, 8, 9, 10 + R1 + R4 + R5 + R6 + R7</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External-audit readiness</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Eight audit types scoped; audit lifecycle defined; audit calendar maintained</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Transparency-portal readiness</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Twelve sections scoped; public/confidential separation enforced; publication workflow defined</w:t>
            </w:r>
          </w:p>
        </w:tc>
      </w:tr>
      <w:tr>
        <w:trPr>
          <w:cantSplit/>
        </w:trPr>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Constitutional terminology enforcement</w:t>
            </w:r>
          </w:p>
        </w:tc>
        <w:tc>
          <w:tcPr>
            <w:tcW w:type="dxa" w:w="1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Sentinel-pattern enforcer applied; zero forbidden terms in added content</w:t>
            </w:r>
          </w:p>
        </w:tc>
      </w:tr>
      <w:tr>
        <w:trPr>
          <w:cantSplit/>
        </w:trPr>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Final constitutional infrastructure-management volume</w:t>
            </w:r>
          </w:p>
        </w:tc>
        <w:tc>
          <w:tcPr>
            <w:tcW w:type="dxa" w:w="1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PASS</w:t>
            </w:r>
          </w:p>
        </w:tc>
        <w:tc>
          <w:tcPr>
            <w:tcW w:type="dxa" w:w="45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Authorised as the final constitutional infrastructure-management volume; market execution follows</w:t>
            </w:r>
          </w:p>
        </w:tc>
      </w:tr>
    </w:tbl>
    <w:p>
      <w:pPr>
        <w:spacing w:after="120" w:line="240" w:lineRule="auto"/>
      </w:pPr>
    </w:p>
    <w:p>
      <w:pPr>
        <w:pStyle w:val="Heading3"/>
      </w:pPr>
      <w:r>
        <w:t>12.1  Certifying Executives</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Role</w:t>
            </w:r>
          </w:p>
        </w:tc>
        <w:tc>
          <w:tcPr>
            <w:tcW w:type="dxa" w:w="24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Name (Title)</w:t>
            </w:r>
          </w:p>
        </w:tc>
        <w:tc>
          <w:tcPr>
            <w:tcW w:type="dxa" w:w="3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Certification</w:t>
            </w:r>
          </w:p>
        </w:tc>
        <w:tc>
          <w:tcPr>
            <w:tcW w:type="dxa" w:w="1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Date</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Founder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Layla Hassan</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operational deployment of ITDB v1.0 as the final constitutional infrastructure-management volume</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Operating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operational execution of ITDB v1.0 + the post-ITDB market-execution shift</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Secretary</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Authorises day-to-day operation of the Board Office + Data Room + Disclosure Register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GC</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constitutional alignment + classification authority + transparency-portal doctrine</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Financial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financial-record integrity + Capital Partner engagement + due-diligence assembly</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Technology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CTO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technical-architecture stability + Brain AI substrate for ITDB surfaces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Information Security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CISO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security documentation + access-control + classification enforcement</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Compliance Officer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compliance records + regulatory-filing calendar + certification readiness</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Risk Officer</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CRO</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risk register + residual-risk acceptance + assurance heat map</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External Audit Center + Enterprise Assurance Framework + Evidence Ledger</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24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Chief of Staff</w:t>
            </w:r>
          </w:p>
        </w:tc>
        <w:tc>
          <w:tcPr>
            <w:tcW w:type="dxa" w:w="3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Board &amp; Founder Command Dashboard + Executive Evidence Assistant + Narrative Manager</w:t>
            </w:r>
          </w:p>
        </w:tc>
        <w:tc>
          <w:tcPr>
            <w:tcW w:type="dxa" w:w="1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r>
        <w:trPr>
          <w:cantSplit/>
        </w:trPr>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c>
          <w:tcPr>
            <w:tcW w:type="dxa" w:w="24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Board Chair</w:t>
            </w:r>
          </w:p>
        </w:tc>
        <w:tc>
          <w:tcPr>
            <w:tcW w:type="dxa" w:w="3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Certifies board-readiness and the Board &amp; Founder Compact on behalf of the Board</w:t>
            </w:r>
          </w:p>
        </w:tc>
        <w:tc>
          <w:tcPr>
            <w:tcW w:type="dxa" w:w="1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2026-12-15</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Executive Certification — ITDB v1.0  </w:t>
      </w:r>
      <w:r>
        <w:rPr>
          <w:rFonts w:ascii="Calibri" w:hAnsi="Calibri" w:cs="Calibri"/>
          <w:b w:val="0"/>
          <w:i/>
          <w:sz w:val="22"/>
          <w:szCs w:val="22"/>
        </w:rPr>
        <w:t xml:space="preserve">AURIENTA Institutional Trust, Due Diligence &amp; Board Readiness (ITDB) v1.0 is hereby certified by the undersigned executives as complete, internally consistent, constitutionally aligned, and operationally deployable as the standing institutional-trust, due-diligence, and board-readiness function. ITDB v1.0 introduces no new architecture; every prior volume is treated as the frozen substrate upon which ITDB operates. The eight COO Additional Recommendations are authorised for execution on the stated target quarters. Per COO directive, ITDB v1.0 is the FINAL constitutional infrastructure-management volume; after ITDB, AURIENTA shifts decisively from internal-system expansion to market execution. Constitutional terminology is enforced throughout; zero forbidden terms appear in the ITDB Volume.</w:t>
      </w:r>
    </w:p>
    <w:p>
      <w:pPr>
        <w:pStyle w:val="Heading2"/>
      </w:pPr>
      <w:r>
        <w:t>Section 13 — Synchronization Statement &amp; COO Assessment</w:t>
      </w:r>
    </w:p>
    <w:p>
      <w:pPr>
        <w:pStyle w:val="Heading3"/>
      </w:pPr>
      <w:r>
        <w:t>13.1  Synchronization Statement</w:t>
      </w:r>
    </w:p>
    <w:p>
      <w:pPr>
        <w:spacing w:line="312" w:lineRule="auto" w:after="120"/>
        <w:ind w:firstLine="283"/>
        <w:jc w:val="both"/>
      </w:pPr>
      <w:r>
        <w:rPr>
          <w:rFonts w:ascii="Calibri" w:hAnsi="Calibri" w:cs="Calibri"/>
          <w:b w:val="0"/>
          <w:i w:val="0"/>
          <w:sz w:val="22"/>
          <w:szCs w:val="22"/>
        </w:rPr>
        <w:t xml:space="preserve">ITDB v1.0 is synchronised with Constitution v1.0, the Institutional Architecture, Governance v1.0, the Enterprise Risk &amp; Compliance framework, the Operating System (AOS v1.0), the Commercialization System (ACS v1.0), the Production Hardening &amp; Enterprise Readiness framework (PH-ER v1.0), the Pilot Deployment, Validation &amp; Institutional Evidence programme (PE v1.0), the Global Institutional Launch &amp; Strategic Partnership System (GLS v1.0), the Founder Office, Executive Intelligence &amp; Corporate Command Center (FOCC v1.0), Brain AI, and the Constitutional Terminology Standard. No contradictions are permitted; any future divergence must be resolved by amendment to the affected volume(s) under the constitutional amendment process.</w:t>
      </w:r>
    </w:p>
    <w:p>
      <w:pPr>
        <w:pStyle w:val="Heading3"/>
      </w:pPr>
      <w:r>
        <w:t>13.2  ITDB Operating Doctrine</w:t>
      </w:r>
    </w:p>
    <w:p>
      <w:pPr>
        <w:spacing w:line="312" w:lineRule="auto" w:after="120"/>
        <w:ind w:firstLine="283"/>
        <w:jc w:val="both"/>
      </w:pPr>
      <w:r>
        <w:rPr>
          <w:rFonts w:ascii="Calibri" w:hAnsi="Calibri" w:cs="Calibri"/>
          <w:b w:val="0"/>
          <w:i w:val="0"/>
          <w:sz w:val="22"/>
          <w:szCs w:val="22"/>
        </w:rPr>
        <w:t xml:space="preserve">ITDB v1.0 is the operational doctrine for institutional trust, due diligence, and board readiness. It is evidence-led and board-bound: every institutional claim is bound to Approved evidence, every board instrument is bound to constitutional authority, and every external assurance engagement is bound to a documented audit trail. The architecture is complete; the Founder Office command center is operational; the Institutional Data Room and the Transparency Portal now bind every internal volume to the outside world's trust.</w:t>
      </w:r>
    </w:p>
    <w:p>
      <w:pPr>
        <w:pStyle w:val="Heading3"/>
      </w:pPr>
      <w:r>
        <w:t>13.3  COO Assessment — Final Constitutional infrastructure-Management Volume</w:t>
      </w:r>
    </w:p>
    <w:p>
      <w:pPr>
        <w:spacing w:line="312" w:lineRule="auto" w:after="120"/>
        <w:ind w:firstLine="283"/>
        <w:jc w:val="both"/>
      </w:pPr>
      <w:r>
        <w:rPr>
          <w:rFonts w:ascii="Calibri" w:hAnsi="Calibri" w:cs="Calibri"/>
          <w:b w:val="0"/>
          <w:i w:val="0"/>
          <w:sz w:val="22"/>
          <w:szCs w:val="22"/>
        </w:rPr>
        <w:t xml:space="preserve">Per COO directive: ITDB v1.0 is the FINAL constitutional infrastructure-management volume. After ITDB, AURIENTA stops expanding internal systems and shifts decisively to market execution. The internal architecture is now complete across eleven volumes: Constitution v1.0, Institutional Architecture, Governance v1.0, Enterprise Risk &amp; Compliance, AOS v1.0, ACS v1.0, PH-ER v1.0, PE v1.0, GLS v1.0, FOCC v1.0, and ITDB v1.0. Every additional unit of executive attention now goes into real execution: country entry (Egypt → GCC → Africa → Europe → Asia → Americas), partner recruitment, government engagement, Capital Partner engagement, Enterprise chartering, certifications, audits, due-diligence packages, Trust Center publication, and institutional-pipeline conversion. The internal stack is institutional-grade; the operating posture is execution-grade; the institution is ready for the outside world to examine it and to trust it.</w:t>
      </w:r>
    </w:p>
    <w:p>
      <w:pPr>
        <w:pStyle w:val="Heading3"/>
      </w:pPr>
      <w:r>
        <w:t>13.4  Post-ITDB Market-Execution Roadmap</w:t>
      </w:r>
    </w:p>
    <w:tbl>
      <w:tblPr>
        <w:tblW w:type="auto" w:w="0"/>
        <w:jc w:val="center"/>
        <w:tblLook w:firstColumn="1" w:firstRow="1" w:lastColumn="0" w:lastRow="0" w:noHBand="0" w:noVBand="1" w:val="04A0"/>
        <w:tblLayout w:type="autofit"/>
      </w:tblPr>
      <w:tblGrid>
        <w:gridCol w:w="2197"/>
        <w:gridCol w:w="2197"/>
        <w:gridCol w:w="2197"/>
        <w:gridCol w:w="2197"/>
      </w:tblGrid>
      <w:tr>
        <w:trPr>
          <w:cantSplit/>
          <w:tblHeader/>
        </w:trPr>
        <w:tc>
          <w:tcPr>
            <w:tcW w:type="dxa" w:w="10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Phase</w:t>
            </w:r>
          </w:p>
        </w:tc>
        <w:tc>
          <w:tcPr>
            <w:tcW w:type="dxa" w:w="4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Focus</w:t>
            </w:r>
          </w:p>
        </w:tc>
        <w:tc>
          <w:tcPr>
            <w:tcW w:type="dxa" w:w="22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Owner</w:t>
            </w:r>
          </w:p>
        </w:tc>
        <w:tc>
          <w:tcPr>
            <w:tcW w:type="dxa" w:w="1600"/>
            <w:vAlign w:val="center"/>
            <w:shd w:val="clear" w:color="auto" w:fill="0B1B33"/>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i w:val="0"/>
                <w:color w:val="FFFFFF"/>
                <w:sz w:val="19"/>
                <w:szCs w:val="19"/>
              </w:rPr>
              <w:t xml:space="preserve">Target</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1</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Country entry — Egypt market execution + GCC expansion launch</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Country Director Egypt</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H1</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2</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 recruitment — strategic partners + alliance formation</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Partnership Office</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H1–H2</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3</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Government engagement — regulator engagements + sovereign engagements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General Counsel + Founder</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H1–H2</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4</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Capital Partner engagement — Capital Formation pipeline conversion</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CFO + Founder</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H2</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5</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Enterprise chartering — Enterprise pipeline conversion + milestone releases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Account Management</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H2</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6</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Certifications — SOC 2 Type II renewal + ISO 27001 surveillance + ISO 9001 + ISO 22301</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CCO + CISO</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H2</w:t>
            </w:r>
          </w:p>
        </w:tc>
      </w:tr>
      <w:tr>
        <w:trPr>
          <w:cantSplit/>
        </w:trPr>
        <w:tc>
          <w:tcPr>
            <w:tcW w:type="dxa" w:w="10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7</w:t>
            </w:r>
          </w:p>
        </w:tc>
        <w:tc>
          <w:tcPr>
            <w:tcW w:type="dxa" w:w="4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Audits — external financial audit + partner audits + security assessments</w:t>
            </w:r>
          </w:p>
        </w:tc>
        <w:tc>
          <w:tcPr>
            <w:tcW w:type="dxa" w:w="22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Internal Audit Lead</w:t>
            </w:r>
          </w:p>
        </w:tc>
        <w:tc>
          <w:tcPr>
            <w:tcW w:type="dxa" w:w="1600"/>
            <w:vAlign w:val="center"/>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2027 H2</w:t>
            </w:r>
          </w:p>
        </w:tc>
      </w:tr>
      <w:tr>
        <w:trPr>
          <w:cantSplit/>
        </w:trPr>
        <w:tc>
          <w:tcPr>
            <w:tcW w:type="dxa" w:w="10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Phase 8</w:t>
            </w:r>
          </w:p>
        </w:tc>
        <w:tc>
          <w:tcPr>
            <w:tcW w:type="dxa" w:w="4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International expansion — Africa → Europe → Asia → Americas</w:t>
            </w:r>
          </w:p>
        </w:tc>
        <w:tc>
          <w:tcPr>
            <w:tcW w:type="dxa" w:w="22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COO + Country Directors</w:t>
            </w:r>
          </w:p>
        </w:tc>
        <w:tc>
          <w:tcPr>
            <w:tcW w:type="dxa" w:w="1600"/>
            <w:vAlign w:val="center"/>
            <w:shd w:val="clear" w:color="auto" w:fill="FAF6E8"/>
            <w:tcBorders>
              <w:top w:val="single" w:sz="6" w:space="0" w:color="D4AF37"/>
              <w:left w:val="single" w:sz="6" w:space="0" w:color="D4AF37"/>
              <w:bottom w:val="single" w:sz="6" w:space="0" w:color="D4AF37"/>
              <w:right w:val="single" w:sz="6" w:space="0" w:color="D4AF37"/>
            </w:tcBorders>
          </w:tcPr>
          <w:p>
            <w:pPr>
              <w:spacing w:before="0" w:after="0" w:line="276" w:lineRule="auto"/>
              <w:jc w:val="left"/>
            </w:pPr>
            <w:r>
              <w:rPr>
                <w:rFonts w:ascii="Calibri" w:hAnsi="Calibri" w:cs="Calibri"/>
                <w:b w:val="0"/>
                <w:i w:val="0"/>
                <w:sz w:val="18"/>
                <w:szCs w:val="18"/>
              </w:rPr>
              <w:t xml:space="preserve">2028 H1+</w:t>
            </w:r>
          </w:p>
        </w:tc>
      </w:tr>
    </w:tbl>
    <w:p>
      <w:pPr>
        <w:spacing w:after="120" w:line="240" w:lineRule="auto"/>
      </w:pPr>
    </w:p>
    <w:p>
      <w:pPr>
        <w:spacing w:before="120" w:after="180" w:line="312" w:lineRule="auto"/>
        <w:pBdr>
          <w:left w:val="single" w:sz="24" w:space="8" w:color="D4AF37"/>
          <w:top w:val="single" w:sz="4" w:space="8" w:color="F3E9C8"/>
          <w:bottom w:val="single" w:sz="4" w:space="8" w:color="F3E9C8"/>
          <w:right w:val="single" w:sz="4" w:space="8" w:color="F3E9C8"/>
        </w:pBdr>
        <w:shd w:val="clear" w:color="auto" w:fill="FAF6E8"/>
        <w:ind w:left="200" w:right="200"/>
      </w:pPr>
      <w:r>
        <w:rPr>
          <w:rFonts w:ascii="Calibri" w:hAnsi="Calibri" w:cs="Calibri"/>
          <w:b/>
          <w:i w:val="0"/>
          <w:color w:val="9C7C1A"/>
          <w:sz w:val="22"/>
          <w:szCs w:val="22"/>
        </w:rPr>
        <w:t xml:space="preserve">Volume Closure — Final Constitutional infrastructure-Management Volume  </w:t>
      </w:r>
      <w:r>
        <w:rPr>
          <w:rFonts w:ascii="Calibri" w:hAnsi="Calibri" w:cs="Calibri"/>
          <w:b w:val="0"/>
          <w:i/>
          <w:sz w:val="22"/>
          <w:szCs w:val="22"/>
        </w:rPr>
        <w:t xml:space="preserve">AURIENTA Institutional Trust, Due Diligence &amp; Board Readiness (ITDB) v1.0 — synchronised with Constitution v1.0, the Institutional Architecture, Governance v1.0, the Enterprise Risk &amp; Compliance framework, AOS v1.0, ACS v1.0, PH-ER v1.0, PE v1.0, GLS v1.0, FOCC v1.0, Brain AI, and the Constitutional Terminology Standard. The blueprint's institutional-trust layer is complete; the institution now operates from a single, always-on, Brain AI-augmented, board-governed, externally-auditable trust-and-assurance center. Per COO directive, this is the FINAL constitutional infrastructure-management volume; AURIENTA now shifts decisively to market execution.</w:t>
      </w:r>
    </w:p>
    <w:p>
      <w:pPr>
        <w:pStyle w:val="Heading1"/>
        <w:keepNext/>
        <w:spacing w:before="480" w:after="200"/>
      </w:pPr>
      <w:r>
        <w:rPr>
          <w:rFonts w:ascii="Times New Roman" w:hAnsi="Times New Roman" w:cs="Times New Roman"/>
          <w:b/>
          <w:color w:val="0B1B33"/>
          <w:sz w:val="36"/>
        </w:rPr>
        <w:t>EXECUTION STATUS UPDATE — Market Execution System v1.0 (Evidence-Backed)</w:t>
      </w:r>
    </w:p>
    <w:p>
      <w:pPr>
        <w:pStyle w:val="Heading2"/>
        <w:keepNext/>
        <w:spacing w:before="320" w:after="120"/>
      </w:pPr>
      <w:r>
        <w:rPr>
          <w:rFonts w:ascii="Times New Roman" w:hAnsi="Times New Roman" w:cs="Times New Roman"/>
          <w:b/>
          <w:color w:val="0B1B33"/>
          <w:sz w:val="28"/>
        </w:rPr>
        <w:t>1.  Transition from Architecture to Execution</w:t>
      </w:r>
    </w:p>
    <w:p>
      <w:pPr>
        <w:spacing w:line="312" w:lineRule="auto" w:before="0" w:after="120"/>
        <w:ind w:firstLine="283"/>
        <w:jc w:val="both"/>
      </w:pPr>
      <w:r>
        <w:rPr>
          <w:rFonts w:ascii="Calibri" w:hAnsi="Calibri" w:cs="Calibri"/>
          <w:b w:val="0"/>
          <w:i w:val="0"/>
          <w:color w:val="000000"/>
          <w:sz w:val="22"/>
        </w:rPr>
        <w:t>With the completion of Institutional Trust, Due Diligence &amp; Board Readiness (ITDB) v1.0, AURIENTA has transitioned decisively from architecture design to market execution. The eleven foundational systems — Constitution v1.0, Institutional Architecture, Governance v1.0, Enterprise Risk &amp; Compliance, the AURIENTA Operating System (AOS) v1.0, the Acquisition &amp; Commercialization System (ACS) v1.0, Production Hardening &amp; Enterprise Readiness (PH-ER) v1.0, Pilot Deployment &amp; Validation (PE) v1.0, the Global Institutional Launch &amp; Strategic Partnership System (GLS) v1.0, the Founder Office &amp; Corporate Command Center (FOCC) v1.0, and ITDB v1.0 — are frozen. No new constitutional infrastructure-management architecture will be authored. From this point forward, the blueprint is treated as the institutional reference document and is updated only to reflect verifiable execution evidence.</w:t>
      </w:r>
    </w:p>
    <w:p>
      <w:pPr>
        <w:spacing w:line="312" w:lineRule="auto" w:before="0" w:after="120"/>
        <w:ind w:firstLine="283"/>
        <w:jc w:val="both"/>
      </w:pPr>
      <w:r>
        <w:rPr>
          <w:rFonts w:ascii="Calibri" w:hAnsi="Calibri" w:cs="Calibri"/>
          <w:b w:val="0"/>
          <w:i w:val="0"/>
          <w:color w:val="000000"/>
          <w:sz w:val="22"/>
        </w:rPr>
        <w:t>This section is therefore deliberately compact. It is not a new architecture volume and it adds no new internal capability. Its purpose is to record, honestly and in a single register, the actual execution status of AURIENTA against the commercial, regulatory, and institutional outcomes the architecture was designed to produce. Every entry below is backed either by evidence (a signed instrument, a collected receipt, a published case study, an issued certificate) or by the explicit, auditable absence of such evidence. Where evidence does not yet exist, the status is recorded as NOT ACHIEVED. This is the discipline of an evidence-first institution.</w:t>
      </w:r>
    </w:p>
    <w:p>
      <w:pPr>
        <w:spacing w:line="312" w:lineRule="auto" w:before="0" w:after="120"/>
        <w:ind w:firstLine="283"/>
        <w:jc w:val="both"/>
      </w:pPr>
      <w:r>
        <w:rPr>
          <w:rFonts w:ascii="Calibri" w:hAnsi="Calibri" w:cs="Calibri"/>
          <w:b w:val="0"/>
          <w:i w:val="0"/>
          <w:color w:val="000000"/>
          <w:sz w:val="22"/>
        </w:rPr>
        <w:t>The register is followed by an Execution Integrity Rule that codifies the distinction between claim, evidence, status, target, and forecast; a Certification Statement that states precisely the strongest certification the current evidence supports; and a single closing line that re-asserts the operating priority of the institution.</w:t>
      </w:r>
    </w:p>
    <w:p>
      <w:pPr>
        <w:pStyle w:val="Heading2"/>
        <w:keepNext/>
        <w:spacing w:before="320" w:after="120"/>
      </w:pPr>
      <w:r>
        <w:rPr>
          <w:rFonts w:ascii="Times New Roman" w:hAnsi="Times New Roman" w:cs="Times New Roman"/>
          <w:b/>
          <w:color w:val="0B1B33"/>
          <w:sz w:val="28"/>
        </w:rPr>
        <w:t>2.  Execution Status Register</w:t>
      </w:r>
    </w:p>
    <w:p>
      <w:pPr>
        <w:spacing w:line="312" w:lineRule="auto" w:before="0" w:after="120"/>
        <w:ind w:firstLine="283"/>
        <w:jc w:val="both"/>
      </w:pPr>
      <w:r>
        <w:rPr>
          <w:rFonts w:ascii="Calibri" w:hAnsi="Calibri" w:cs="Calibri"/>
          <w:b w:val="0"/>
          <w:i w:val="0"/>
          <w:color w:val="000000"/>
          <w:sz w:val="22"/>
        </w:rPr>
        <w:t>The following register records the actual execution status of AURIENTA as of the date of this update. The register is evidence-bound: a capability is recorded as ACHIEVED only where linked evidence exists; otherwise the capability is recorded as NOT ACHIEVED. The register is the single authoritative source of truth for execution status and is to be refreshed each operating quarter as evidence is produced.</w:t>
      </w:r>
    </w:p>
    <w:tbl>
      <w:tblPr>
        <w:tblW w:type="auto" w:w="0"/>
        <w:jc w:val="center"/>
        <w:tblLook w:firstColumn="0" w:firstRow="1" w:lastColumn="0" w:lastRow="0" w:noHBand="0" w:noVBand="1" w:val="04A0"/>
        <w:tblLayout w:type="autofit"/>
        <w:tblBorders>
          <w:top w:val="single" w:sz="6" w:space="0" w:color="D4AF37"/>
          <w:left w:val="single" w:sz="6" w:space="0" w:color="D4AF37"/>
          <w:bottom w:val="single" w:sz="6" w:space="0" w:color="D4AF37"/>
          <w:right w:val="single" w:sz="6" w:space="0" w:color="D4AF37"/>
          <w:insideH w:val="single" w:sz="6" w:space="0" w:color="D4AF37"/>
          <w:insideV w:val="single" w:sz="6" w:space="0" w:color="D4AF37"/>
        </w:tblBorders>
      </w:tblPr>
      <w:tblGrid>
        <w:gridCol w:w="2197"/>
        <w:gridCol w:w="2197"/>
        <w:gridCol w:w="2197"/>
        <w:gridCol w:w="2197"/>
      </w:tblGrid>
      <w:tr>
        <w:trPr>
          <w:cantSplit/>
          <w:tblHeader/>
        </w:trPr>
        <w:tc>
          <w:tcPr>
            <w:tcW w:type="dxa" w:w="26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Capability</w:t>
            </w:r>
          </w:p>
        </w:tc>
        <w:tc>
          <w:tcPr>
            <w:tcW w:type="dxa" w:w="22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Status</w:t>
            </w:r>
          </w:p>
        </w:tc>
        <w:tc>
          <w:tcPr>
            <w:tcW w:type="dxa" w:w="24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Evidence</w:t>
            </w:r>
          </w:p>
        </w:tc>
        <w:tc>
          <w:tcPr>
            <w:tcW w:type="dxa" w:w="22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Notes</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Anchor Enterprises signed</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signed Enterprise instruments to date.</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Anchor Enterprise acquisition is the first Market Validation Gate; engagement pipeline exists but no signatures.</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Active pilots</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live pilot deployments under signed pilot agreement.</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Pilot framework (PE v1.0) is operational; no enterprise is currently in active pilot.</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Collected revenue</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EGP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revenue receipts recorded in the financial ledger.</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Revenue recognition will commence upon first signed Enterprise; zero revenue to date.</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Strategic law firm signed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executed Law Firm Client Account agreement with a strategic firm.</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Candidate firms identified; engagement planned, not formalised.</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Accounting partner signed</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executed partner agreement with an accounting institution.</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Engagement planned, not formalised.</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Banking partner signed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executed banking-partner agreement.</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Banking-correspondence framework defined; no executed agreement.</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University partner signed</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executed academic partnership instrument.</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Academic-engagement track defined; no signed instrument.</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Government / regulatory formal engagement</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engagement is planned, not formal.</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Formal regulatory engagement (FRA and peer authorities) is intended; no formal channel opened yet.</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FRA formal recognition</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formal recognition, licence, or written acknowledgement from the Financial Regulatory Authority.</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Engagement pending; no formal status granted or applied for in the public record.</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SOC 2 certification</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SOC 2 Type II report issued.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Target window Q2 2027; readiness work scoped under ITDB Part 7 (External Audit Center).</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ISO 27001 certification</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ISO 27001 certificate issued by an accredited body.</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Target window Q4 2027; security controls mapped under ITDB Part 8 (Enterprise Assurance Framework).</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Published case studies</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anonymised or named case studies published.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Case-study template exists; publication contingent on first signed Enterprise with consent.</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Enterprise references</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Enterprise willing to serve as a reference.</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Reference programme defined; no participants to date.</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Recurring revenue</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EGP — NOT ACHIEVED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no recurring contractual revenue recognised.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Reurring-revenue tracking instrument defined; no bookings recorded.</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Market Validation Gates passed</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Gate 1 not yet passed — NOT ACHIEVED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None — Gate 1 (anchor Enterprise signed) has not been satisfied.</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Gate framework defined in PE v1.0 and GLS v1.0; no gate has been formally closed.</w:t>
            </w:r>
          </w:p>
        </w:tc>
      </w:tr>
      <w:tr>
        <w:trPr>
          <w:cantSplit/>
        </w:trPr>
        <w:tc>
          <w:tcPr>
            <w:tcW w:type="dxa" w:w="26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Commercial Readiness Score (evidence-derived)</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Low — HONEST, EVIDENCE-BACKED</w:t>
            </w:r>
          </w:p>
        </w:tc>
        <w:tc>
          <w:tcPr>
            <w:tcW w:type="dxa" w:w="24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Computed from the register above: 0 signed Enterprises, 0 pilots, 0 EGP revenue, 0 strategic partners, 0 certifications, 0 case studies, 0 references.</w:t>
            </w:r>
          </w:p>
        </w:tc>
        <w:tc>
          <w:tcPr>
            <w:tcW w:type="dxa" w:w="22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Score is intentionally low because the evidence base is intentionally honest. The score will rise only as evidence is produced.</w:t>
            </w:r>
          </w:p>
        </w:tc>
      </w:tr>
      <w:tr>
        <w:trPr>
          <w:cantSplit/>
        </w:trPr>
        <w:tc>
          <w:tcPr>
            <w:tcW w:type="dxa" w:w="26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Final Certification Level (current evidence)</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ARCHITECTURALLY COMPLETE + EXECUTION-READY (NOT commercially validated)</w:t>
            </w:r>
          </w:p>
        </w:tc>
        <w:tc>
          <w:tcPr>
            <w:tcW w:type="dxa" w:w="24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Eleven foundational systems are frozen and synchronised; Constitutional Terminology Standard enforced; Institutional Trust Index 75/100 (architectural self-assessment).</w:t>
            </w:r>
          </w:p>
        </w:tc>
        <w:tc>
          <w:tcPr>
            <w:tcW w:type="dxa" w:w="22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This is the strongest certification the current evidence supports. Higher certification levels require real-world evidence listed above.</w:t>
            </w:r>
          </w:p>
        </w:tc>
      </w:tr>
    </w:tbl>
    <w:p>
      <w:pPr>
        <w:spacing w:after="120"/>
      </w:pPr>
    </w:p>
    <w:p>
      <w:pPr>
        <w:pStyle w:val="Heading2"/>
        <w:keepNext/>
        <w:spacing w:before="320" w:after="120"/>
      </w:pPr>
      <w:r>
        <w:rPr>
          <w:rFonts w:ascii="Times New Roman" w:hAnsi="Times New Roman" w:cs="Times New Roman"/>
          <w:b/>
          <w:color w:val="0B1B33"/>
          <w:sz w:val="28"/>
        </w:rPr>
        <w:t>3.  Execution Integrity Rule</w:t>
      </w:r>
    </w:p>
    <w:p>
      <w:pPr>
        <w:spacing w:before="200" w:after="200" w:line="312" w:lineRule="auto"/>
        <w:ind w:left="200" w:right="100"/>
        <w:pBdr>
          <w:top w:val="single" w:sz="4" w:space="6" w:color="D4AF37"/>
          <w:bottom w:val="single" w:sz="4" w:space="6" w:color="D4AF37"/>
          <w:left w:val="single" w:sz="24" w:space="6" w:color="D4AF37"/>
          <w:right w:val="single" w:sz="4" w:space="6" w:color="D4AF37"/>
        </w:pBdr>
        <w:shd w:val="clear" w:color="auto" w:fill="FAF6E8"/>
      </w:pPr>
      <w:r>
        <w:rPr>
          <w:rFonts w:ascii="Calibri" w:hAnsi="Calibri" w:cs="Calibri"/>
          <w:b/>
          <w:color w:val="9C7C1A"/>
          <w:sz w:val="22"/>
        </w:rPr>
        <w:t xml:space="preserve">Execution Integrity Rule  </w:t>
      </w:r>
      <w:r>
        <w:rPr>
          <w:rFonts w:ascii="Calibri" w:hAnsi="Calibri" w:cs="Calibri"/>
          <w:i/>
          <w:color w:val="000000"/>
          <w:sz w:val="22"/>
        </w:rPr>
        <w:t>AURIENTA now distinguishes five categories of statement and applies them with discipline. (1) CLAIM — an assertion made about a capability or outcome; claims are permitted in architecture volumes but are NOT permitted as statements of fact in execution reporting. (2) EVIDENCE — a verifiable artefact (signed instrument, collected receipt, issued certificate, published case study, formal regulatory letter) that substantiates a claim. (3) STATUS — the current evidence-backed state of a capability, expressed in this register as ACHIEVED or NOT ACHIEVED. (4) TARGET — a future state the institution intends to reach, always labelled as a target with a named window (e.g. SOC 2 — target Q2 2027). (5) FORECAST — a projection of future performance, always labelled as a forecast and never conflated with status. No claim may be stated as achieved without linked evidence. The phrase "ISO 27001 Certified" is prohibited in any AURIENTA document unless an accredited body has issued the certificate; the phrase "SOC 2 Type II" is prohibited unless a SOC 2 Type II report has been issued. This rule applies to every external communication, every due-diligence package, every executive report, and every line of this register.</w:t>
      </w:r>
    </w:p>
    <w:p>
      <w:pPr>
        <w:pStyle w:val="Heading2"/>
        <w:keepNext/>
        <w:spacing w:before="320" w:after="120"/>
      </w:pPr>
      <w:r>
        <w:rPr>
          <w:rFonts w:ascii="Times New Roman" w:hAnsi="Times New Roman" w:cs="Times New Roman"/>
          <w:b/>
          <w:color w:val="0B1B33"/>
          <w:sz w:val="28"/>
        </w:rPr>
        <w:t>4.  Certification Statement</w:t>
      </w:r>
    </w:p>
    <w:p>
      <w:pPr>
        <w:spacing w:before="200" w:after="200" w:line="312" w:lineRule="auto"/>
        <w:ind w:left="200" w:right="100"/>
        <w:pBdr>
          <w:top w:val="single" w:sz="4" w:space="6" w:color="D4AF37"/>
          <w:bottom w:val="single" w:sz="4" w:space="6" w:color="D4AF37"/>
          <w:left w:val="single" w:sz="24" w:space="6" w:color="D4AF37"/>
          <w:right w:val="single" w:sz="4" w:space="6" w:color="D4AF37"/>
        </w:pBdr>
        <w:shd w:val="clear" w:color="auto" w:fill="FAF6E8"/>
      </w:pPr>
      <w:r>
        <w:rPr>
          <w:rFonts w:ascii="Calibri" w:hAnsi="Calibri" w:cs="Calibri"/>
          <w:b/>
          <w:color w:val="9C7C1A"/>
          <w:sz w:val="22"/>
        </w:rPr>
        <w:t xml:space="preserve">Certification Statement  </w:t>
      </w:r>
      <w:r>
        <w:rPr>
          <w:rFonts w:ascii="Calibri" w:hAnsi="Calibri" w:cs="Calibri"/>
          <w:i/>
          <w:color w:val="000000"/>
          <w:sz w:val="22"/>
        </w:rPr>
        <w:t>The strongest certification the current evidence supports is: AURIENTA is ARCHITECTURALLY COMPLETE and EXECUTION-READY. AURIENTA is NOT pilot-validated, NOT commercially validated, NOT institutionally validated, and NOT scale-ready. Each of these higher certification levels requires real-world evidence — signed Enterprises, completed pilots, collected revenue, executed partner agreements, formal regulatory engagement, issued certifications, published case studies, and Enterprise references — that does not yet exist. Until that evidence is produced, no officer, partner, advisor, or document of AURIENTA may represent the institution at a certification level above ARCHITECTURALLY COMPLETE and EXECUTION-READY. This statement supersedes any earlier architectural self-assessment that did not draw the claim/evidence distinction.</w:t>
      </w:r>
    </w:p>
    <w:p>
      <w:pPr>
        <w:pStyle w:val="Heading2"/>
        <w:keepNext/>
        <w:spacing w:before="320" w:after="120"/>
      </w:pPr>
      <w:r>
        <w:rPr>
          <w:rFonts w:ascii="Times New Roman" w:hAnsi="Times New Roman" w:cs="Times New Roman"/>
          <w:b/>
          <w:color w:val="0B1B33"/>
          <w:sz w:val="28"/>
        </w:rPr>
        <w:t>5.  Closing</w:t>
      </w:r>
    </w:p>
    <w:p>
      <w:pPr>
        <w:spacing w:before="280" w:after="280"/>
        <w:jc w:val="center"/>
      </w:pPr>
      <w:r>
        <w:rPr>
          <w:rFonts w:ascii="Times New Roman" w:hAnsi="Times New Roman" w:cs="Times New Roman"/>
          <w:b/>
          <w:color w:val="0B1B33"/>
          <w:sz w:val="26"/>
        </w:rPr>
        <w:t>EXECUTION NOW HAS PRIORITY OVER ARCHITECTURE.</w:t>
      </w:r>
    </w:p>
    <w:p>
      <w:pPr>
        <w:pStyle w:val="Heading1"/>
        <w:keepNext/>
        <w:spacing w:before="480" w:after="200"/>
      </w:pPr>
      <w:r>
        <w:rPr>
          <w:rFonts w:ascii="Times New Roman" w:hAnsi="Times New Roman" w:cs="Times New Roman"/>
          <w:b/>
          <w:color w:val="0B1B33"/>
          <w:sz w:val="36"/>
        </w:rPr>
        <w:t>EXECUTION STATUS UPDATE — Market Activation System v1.0</w:t>
      </w:r>
    </w:p>
    <w:p>
      <w:pPr>
        <w:pStyle w:val="Heading2"/>
        <w:keepNext/>
        <w:spacing w:before="320" w:after="120"/>
      </w:pPr>
      <w:r>
        <w:rPr>
          <w:rFonts w:ascii="Times New Roman" w:hAnsi="Times New Roman" w:cs="Times New Roman"/>
          <w:b/>
          <w:color w:val="0B1B33"/>
          <w:sz w:val="28"/>
        </w:rPr>
        <w:t>1.  Market Activation Machinery — Status</w:t>
      </w:r>
    </w:p>
    <w:p>
      <w:pPr>
        <w:spacing w:line="312" w:lineRule="auto" w:before="0" w:after="120"/>
        <w:ind w:firstLine="283"/>
        <w:jc w:val="both"/>
      </w:pPr>
      <w:r>
        <w:rPr>
          <w:rFonts w:ascii="Calibri" w:hAnsi="Calibri" w:cs="Calibri"/>
          <w:b w:val="0"/>
          <w:i w:val="0"/>
          <w:color w:val="000000"/>
          <w:sz w:val="22"/>
        </w:rPr>
        <w:t>AURIENTA's market activation machinery is now complete. The First 100 Target Account Engine, the Founder Outreach System, the Discovery Methodology, the Evidence Hierarchy (E0 through E9), the Daily Command (Top 5), and the Weekly Review are defined, instrumented, and ready for execution. This is execution tooling, not new architecture. It extends the Market Execution System (MES) v1.0 synchronised in the preceding Execution Status Update and introduces no new foundational system, no new module, and no new repository. The internal architecture across the eleven frozen volumes remains unchanged and complete. What has been added is the operating machinery the Founder will use, daily and weekly, to convert architectural readiness into real-world outcomes.</w:t>
      </w:r>
    </w:p>
    <w:p>
      <w:pPr>
        <w:spacing w:line="312" w:lineRule="auto" w:before="0" w:after="120"/>
        <w:ind w:firstLine="283"/>
        <w:jc w:val="both"/>
      </w:pPr>
      <w:r>
        <w:rPr>
          <w:rFonts w:ascii="Calibri" w:hAnsi="Calibri" w:cs="Calibri"/>
          <w:b w:val="0"/>
          <w:i w:val="0"/>
          <w:color w:val="000000"/>
          <w:sz w:val="22"/>
        </w:rPr>
        <w:t>The current factual baseline is unchanged. AURIENTA has 0 Enterprises under signed instrument, 0 partners under executed agreement, 0 collected revenue, 0 active pilots, 0 issued certifications, 0 published case studies, and 0 Market Validation Gates passed. Every capability in the register below is therefore recorded as READY — meaning the methodology, schema, and review cadence exist — with an honest execution count of zero. No capability is recorded as operational, no target is recorded as achieved, and no evidence is claimed. The register is evidence-bound by the same Execution Integrity Rule codified in the preceding section: a claim may not be stated as achieved without linked evidence. Until evidence is produced, every row below remains at zero.</w:t>
      </w:r>
    </w:p>
    <w:p>
      <w:pPr>
        <w:pStyle w:val="Heading2"/>
        <w:keepNext/>
        <w:spacing w:before="320" w:after="120"/>
      </w:pPr>
      <w:r>
        <w:rPr>
          <w:rFonts w:ascii="Times New Roman" w:hAnsi="Times New Roman" w:cs="Times New Roman"/>
          <w:b/>
          <w:color w:val="0B1B33"/>
          <w:sz w:val="28"/>
        </w:rPr>
        <w:t>2.  Market Activation Capability Register</w:t>
      </w:r>
    </w:p>
    <w:p>
      <w:pPr>
        <w:spacing w:line="312" w:lineRule="auto" w:before="0" w:after="120"/>
        <w:ind w:firstLine="283"/>
        <w:jc w:val="both"/>
      </w:pPr>
      <w:r>
        <w:rPr>
          <w:rFonts w:ascii="Calibri" w:hAnsi="Calibri" w:cs="Calibri"/>
          <w:b w:val="0"/>
          <w:i w:val="0"/>
          <w:color w:val="000000"/>
          <w:sz w:val="22"/>
        </w:rPr>
        <w:t>The register below records the readiness status of each component of the Market Activation System. A capability is recorded as READY where the methodology, schema, and review cadence have been defined; it is recorded as ACHIEVED only where linked evidence exists. Every row currently carries an honest execution count of zero. The register is the single authoritative source of truth for market-activation status and is to be refreshed each operating week as execution begins.</w:t>
      </w:r>
    </w:p>
    <w:tbl>
      <w:tblPr>
        <w:tblW w:type="auto" w:w="0"/>
        <w:jc w:val="center"/>
        <w:tblLook w:firstColumn="0" w:firstRow="1" w:lastColumn="0" w:lastRow="0" w:noHBand="0" w:noVBand="1" w:val="04A0"/>
        <w:tblLayout w:type="autofit"/>
        <w:tblBorders>
          <w:top w:val="single" w:sz="6" w:space="0" w:color="D4AF37"/>
          <w:left w:val="single" w:sz="6" w:space="0" w:color="D4AF37"/>
          <w:bottom w:val="single" w:sz="6" w:space="0" w:color="D4AF37"/>
          <w:right w:val="single" w:sz="6" w:space="0" w:color="D4AF37"/>
          <w:insideH w:val="single" w:sz="6" w:space="0" w:color="D4AF37"/>
          <w:insideV w:val="single" w:sz="6" w:space="0" w:color="D4AF37"/>
        </w:tblBorders>
      </w:tblPr>
      <w:tblGrid>
        <w:gridCol w:w="2197"/>
        <w:gridCol w:w="2197"/>
        <w:gridCol w:w="2197"/>
        <w:gridCol w:w="2197"/>
      </w:tblGrid>
      <w:tr>
        <w:trPr>
          <w:cantSplit/>
          <w:tblHeader/>
        </w:trPr>
        <w:tc>
          <w:tcPr>
            <w:tcW w:type="dxa" w:w="27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Capability</w:t>
            </w:r>
          </w:p>
        </w:tc>
        <w:tc>
          <w:tcPr>
            <w:tcW w:type="dxa" w:w="19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Status</w:t>
            </w:r>
          </w:p>
        </w:tc>
        <w:tc>
          <w:tcPr>
            <w:tcW w:type="dxa" w:w="25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Evidence</w:t>
            </w:r>
          </w:p>
        </w:tc>
        <w:tc>
          <w:tcPr>
            <w:tcW w:type="dxa" w:w="2100"/>
            <w:shd w:val="clear" w:color="auto" w:fill="0B1B33"/>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Times New Roman" w:hAnsi="Times New Roman" w:cs="Times New Roman"/>
                <w:b/>
                <w:i w:val="0"/>
                <w:color w:val="FFFFFF"/>
                <w:sz w:val="19"/>
              </w:rPr>
              <w:t>Notes</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First 100 Target Account Engine</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Methodology defined; schema and review cadence in place.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target accounts entered in the engine. Population of the First 100 list is the Founder's first execution action.</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Target Sourcing Methodology</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Confidence levels HIGH / MEDIUM / LOW defined; sourcing rubric documented.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targets sourced. Each candidate must carry a confidence level and an evidence trail before admission to the First 100.</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First 25 Priority Process</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Priority-selection rule documented; weighting rubric in place.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priority accounts identified. The First 25 are a subset of the First 100 ranked by Founder-led weighting.</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Founder Outreach System</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14-stage outreach pipeline defined; stage entry/exit criteria documented.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outreach messages sent. Stage 1 (Send) is the entry point; cold outreach is required before any warm introduction.</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Discovery Methodology</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Discovery question set and outcome-evidence template documented.</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discovery conversations completed. A discovery is recorded only when the question set has been worked through with a named Enterprise contact.</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Evidence Hierarchy (E0–E9)</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Ten evidence levels (E0 founder assumption through E9 repeatable outcome) defined.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evidence artefacts above E0. Current highest evidence level across all targets and accounts: E0.</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Relationship Map</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0–5 relationship-strength scale defined; relationship schema in place.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relationships recorded. No account contact has yet been logged with a strength rating.</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Introduction Engine</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Introduction-request template and acceptance-rule documented.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introductions requested or accepted. Cold outreach remains the required first channel until warm introductions are earned.</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Daily Command (Top 5)</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Top-5 daily-action template defined; daily-commitment discipline in place.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All five slots empty. Execution begins on the next Founder working day.</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Weekly Review</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Weekly review template and review cadence (every Friday) documented.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weekly reviews produced. The first review will cover the first execution week.</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Conversion Funnel</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Funnel stages defined: Contact → Conversation → Discovery → Commitment → Deployment → Outcome.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All stages at 0. Conversion rates are INSUFFICIENT DATA; no rates may be quoted until each stage has at least one entry.</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Lost Deal Analysis</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Loss-reason taxonomy and post-loss review template documented.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0 losses recorded. No opportunities have yet been opened, so no losses can exist; analysis begins after the first loss.</w:t>
            </w:r>
          </w:p>
        </w:tc>
      </w:tr>
      <w:tr>
        <w:trPr>
          <w:cantSplit/>
        </w:trPr>
        <w:tc>
          <w:tcPr>
            <w:tcW w:type="dxa" w:w="27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Brain AI Founder Market Agent</w:t>
            </w:r>
          </w:p>
        </w:tc>
        <w:tc>
          <w:tcPr>
            <w:tcW w:type="dxa" w:w="19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READY</w:t>
            </w:r>
          </w:p>
        </w:tc>
        <w:tc>
          <w:tcPr>
            <w:tcW w:type="dxa" w:w="25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Agent configured to be action-oriented, evidence-bound, and never to fabricate.</w:t>
            </w:r>
          </w:p>
        </w:tc>
        <w:tc>
          <w:tcPr>
            <w:tcW w:type="dxa" w:w="2100"/>
            <w:shd w:val="clear" w:color="auto" w:fill="FAF6E8"/>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Agent will surface the next Founder action, flag fabrication risk, and enforce the E0–E9 hierarchy on every claim.</w:t>
            </w:r>
          </w:p>
        </w:tc>
      </w:tr>
      <w:tr>
        <w:trPr>
          <w:cantSplit/>
        </w:trPr>
        <w:tc>
          <w:tcPr>
            <w:tcW w:type="dxa" w:w="27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Certification (market-activation)</w:t>
            </w:r>
          </w:p>
        </w:tc>
        <w:tc>
          <w:tcPr>
            <w:tcW w:type="dxa" w:w="19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EXECUTION-READY — NOT Enterprise-validated</w:t>
            </w:r>
          </w:p>
        </w:tc>
        <w:tc>
          <w:tcPr>
            <w:tcW w:type="dxa" w:w="25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Methodology is complete and synchronised with MES v1.0; no Enterprise has validated the methodology in the field.</w:t>
            </w:r>
          </w:p>
        </w:tc>
        <w:tc>
          <w:tcPr>
            <w:tcW w:type="dxa" w:w="2100"/>
            <w:shd w:val="clear" w:color="auto" w:fill="FFFFFF"/>
            <w:tcBorders>
              <w:top w:val="single" w:sz="6" w:space="0" w:color="D4AF37"/>
              <w:left w:val="single" w:sz="6" w:space="0" w:color="D4AF37"/>
              <w:bottom w:val="single" w:sz="6" w:space="0" w:color="D4AF37"/>
              <w:right w:val="single" w:sz="6" w:space="0" w:color="D4AF37"/>
            </w:tcBorders>
            <w:vAlign w:val="center"/>
            <w:tcMar>
              <w:top w:w="60" w:type="dxa"/>
              <w:bottom w:w="60" w:type="dxa"/>
              <w:start w:w="100" w:type="dxa"/>
              <w:end w:w="100" w:type="dxa"/>
              <w:left w:w="100" w:type="dxa"/>
              <w:right w:w="100" w:type="dxa"/>
            </w:tcMar>
          </w:tcPr>
          <w:p>
            <w:pPr>
              <w:spacing w:before="0" w:after="0" w:line="276" w:lineRule="auto"/>
              <w:jc w:val="left"/>
            </w:pPr>
            <w:r/>
            <w:r>
              <w:rPr>
                <w:rFonts w:ascii="Calibri" w:hAnsi="Calibri" w:cs="Calibri"/>
                <w:b w:val="0"/>
                <w:i w:val="0"/>
                <w:color w:val="000000"/>
                <w:sz w:val="18"/>
              </w:rPr>
              <w:t>Enterprise validation of the methodology requires at least one Enterprise to traverse Contact → Outcome under the framework. None has yet.</w:t>
            </w:r>
          </w:p>
        </w:tc>
      </w:tr>
    </w:tbl>
    <w:p>
      <w:pPr>
        <w:spacing w:after="120"/>
      </w:pPr>
    </w:p>
    <w:p>
      <w:pPr>
        <w:pStyle w:val="Heading2"/>
        <w:keepNext/>
        <w:spacing w:before="320" w:after="120"/>
      </w:pPr>
      <w:r>
        <w:rPr>
          <w:rFonts w:ascii="Times New Roman" w:hAnsi="Times New Roman" w:cs="Times New Roman"/>
          <w:b/>
          <w:color w:val="0B1B33"/>
          <w:sz w:val="28"/>
        </w:rPr>
        <w:t>3.  Evidence Hierarchy (E0–E9)</w:t>
      </w:r>
    </w:p>
    <w:p>
      <w:pPr>
        <w:spacing w:before="200" w:after="200" w:line="312" w:lineRule="auto"/>
        <w:ind w:left="200" w:right="100"/>
        <w:pBdr>
          <w:top w:val="single" w:sz="4" w:space="6" w:color="D4AF37"/>
          <w:bottom w:val="single" w:sz="4" w:space="6" w:color="D4AF37"/>
          <w:left w:val="single" w:sz="24" w:space="6" w:color="D4AF37"/>
          <w:right w:val="single" w:sz="4" w:space="6" w:color="D4AF37"/>
        </w:pBdr>
        <w:shd w:val="clear" w:color="auto" w:fill="FAF6E8"/>
      </w:pPr>
      <w:r>
        <w:rPr>
          <w:rFonts w:ascii="Calibri" w:hAnsi="Calibri" w:cs="Calibri"/>
          <w:b/>
          <w:color w:val="9C7C1A"/>
          <w:sz w:val="22"/>
        </w:rPr>
        <w:t xml:space="preserve">Evidence Hierarchy (E0–E9)  </w:t>
      </w:r>
      <w:r>
        <w:rPr>
          <w:rFonts w:ascii="Calibri" w:hAnsi="Calibri" w:cs="Calibri"/>
          <w:i/>
          <w:color w:val="000000"/>
          <w:sz w:val="22"/>
        </w:rPr>
        <w:t>The Market Activation System records evidence against a ten-level hierarchy. E0 — Founder assumption (no external contact). E1 — Target identified and researched (publicly verifiable). E2 — Contact verified (named contact, valid channel). E3 — Conversation started (two-way coordination channel logged). E4 — Discovery completed (question set worked through). E5 — Commitment obtained (verbal or written intent to proceed). E6 — Signed instrument executed (contract, pilot agreement, or partnership). E7 — Deployment live (the Constitutional Infrastructure is in production use by the Enterprise). E8 — Outcome delivered (a pre-defined business or constitutional outcome measured and recorded). E9 — Repeatable outcome across multiple Enterprises (the outcome has been produced for more than one independent Enterprise). The current highest evidence level across the entire Market Activation System is E0 — no market evidence yet exists. No claim, dashboard, communication, or due-diligence artefact may represent a higher evidence level until the corresponding artefact is produced and linked.</w:t>
      </w:r>
    </w:p>
    <w:p>
      <w:pPr>
        <w:pStyle w:val="Heading2"/>
        <w:keepNext/>
        <w:spacing w:before="320" w:after="120"/>
      </w:pPr>
      <w:r>
        <w:rPr>
          <w:rFonts w:ascii="Times New Roman" w:hAnsi="Times New Roman" w:cs="Times New Roman"/>
          <w:b/>
          <w:color w:val="0B1B33"/>
          <w:sz w:val="28"/>
        </w:rPr>
        <w:t>4.  Closing</w:t>
      </w:r>
    </w:p>
    <w:p>
      <w:pPr>
        <w:spacing w:before="280" w:after="280"/>
        <w:jc w:val="center"/>
      </w:pPr>
      <w:r>
        <w:rPr>
          <w:rFonts w:ascii="Times New Roman" w:hAnsi="Times New Roman" w:cs="Times New Roman"/>
          <w:b/>
          <w:color w:val="0B1B33"/>
          <w:sz w:val="24"/>
        </w:rPr>
        <w:t>MARKET EXECUTION IS NOW THE PRODUCT.  CONTACT → CONVERSATION → COMMITMENT → DEPLOYMENT → OUTCOME → REVENUE → EVIDENCE → REPEATABILITY → SCALE.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6" w:space="6"/>
      </w:pBdr>
      <w:spacing w:before="100"/>
      <w:jc w:val="center"/>
    </w:pPr>
    <w:r>
      <w:rPr>
        <w:rFonts w:ascii="Times New Roman"/>
        <w:color w:val="5B6B7D"/>
        <w:sz w:val="16"/>
        <w:szCs w:val="16"/>
      </w:rPr>
      <w:t xml:space="preserve">AURIENTA Modified Blueprint   |   </w:t>
    </w:r>
    <w:r>
      <w:rPr>
        <w:rFonts w:ascii="Times New Roman"/>
        <w:b/>
        <w:bCs/>
        <w:color w:val="0B1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6" w:space="6"/>
      </w:pBdr>
      <w:spacing w:before="100"/>
      <w:jc w:val="center"/>
    </w:pPr>
    <w:r>
      <w:rPr>
        <w:rFonts w:ascii="Times New Roman"/>
        <w:color w:val="5B6B7D"/>
        <w:sz w:val="16"/>
        <w:szCs w:val="16"/>
      </w:rPr>
      <w:t xml:space="preserve">AURIENTA Modified Blueprint   |   </w:t>
    </w:r>
    <w:r>
      <w:rPr>
        <w:rFonts w:ascii="Times New Roman"/>
        <w:b/>
        <w:bCs/>
        <w:color w:val="0B1B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jc w:val="right"/>
    </w:pPr>
    <w:r>
      <w:rPr>
        <w:rFonts w:ascii="Times New Roman"/>
        <w:i/>
        <w:iCs/>
        <w:color w:val="5B6B7D"/>
        <w:sz w:val="16"/>
        <w:szCs w:val="16"/>
      </w:rPr>
      <w:t xml:space="preserve">AURIENTA — Constitutional Enterprise Infrastructure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jc w:val="right"/>
    </w:pPr>
    <w:r>
      <w:rPr>
        <w:rFonts w:ascii="Times New Roman"/>
        <w:i/>
        <w:iCs/>
        <w:color w:val="5B6B7D"/>
        <w:sz w:val="16"/>
        <w:szCs w:val="16"/>
      </w:rPr>
      <w:t xml:space="preserve">AURIENTA — Constitutional Enterprise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2330"/>
        <w:sz w:val="22"/>
        <w:szCs w:val="22"/>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b/>
      <w:bCs/>
      <w:color w:val="0B1B33"/>
      <w:sz w:val="36"/>
      <w:szCs w:val="36"/>
    </w:rPr>
  </w:style>
  <w:style w:type="paragraph" w:styleId="Heading2">
    <w:name w:val="Heading 2"/>
    <w:basedOn w:val="Normal"/>
    <w:next w:val="Normal"/>
    <w:qFormat/>
    <w:pPr>
      <w:spacing w:after="160" w:before="360" w:line="340"/>
      <w:outlineLvl w:val="1"/>
    </w:pPr>
    <w:rPr>
      <w:rFonts w:ascii="Times New Roman" w:eastAsia="Times New Roman"/>
      <w:b/>
      <w:bCs/>
      <w:color w:val="0B1B33"/>
      <w:sz w:val="28"/>
      <w:szCs w:val="28"/>
    </w:rPr>
  </w:style>
  <w:style w:type="paragraph" w:styleId="Heading3">
    <w:name w:val="Heading 3"/>
    <w:basedOn w:val="Normal"/>
    <w:next w:val="Normal"/>
    <w:qFormat/>
    <w:pPr>
      <w:spacing w:after="120" w:before="260" w:line="320"/>
      <w:outlineLvl w:val="2"/>
    </w:pPr>
    <w:rPr>
      <w:rFonts w:ascii="Times New Roman" w:eastAsia="Times New Roman"/>
      <w:b/>
      <w:bCs/>
      <w:color w:val="9C7C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 Constitutional Enterprise Infrastructure (Modified Blueprint)</dc:title>
  <dc:creator>AURIENTA Holding Group</dc:creator>
  <dc:description>Modified Blueprint incorporating Prompt 1 (Constitutional Terminology Refactor) and Prompt 2 (Institutional Architecture Synchronization).</dc:description>
  <cp:lastModifiedBy>Un-named</cp:lastModifiedBy>
  <cp:revision>1</cp:revision>
  <dcterms:created xsi:type="dcterms:W3CDTF">2026-08-06T23:44:45.042Z</dcterms:created>
  <dcterms:modified xsi:type="dcterms:W3CDTF">2026-08-06T23:44:45.043Z</dcterms:modified>
</cp:coreProperties>
</file>

<file path=docProps/custom.xml><?xml version="1.0" encoding="utf-8"?>
<Properties xmlns="http://schemas.openxmlformats.org/officeDocument/2006/custom-properties" xmlns:vt="http://schemas.openxmlformats.org/officeDocument/2006/docPropsVTypes"/>
</file>