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2027" w:val="clear"/>
          </w:tcPr>
          <w:p>
            <w:pPr>
              <w:spacing w:before="1400"/>
            </w:pPr>
          </w:p>
          <w:p>
            <w:pPr>
              <w:pBdr>
                <w:bottom w:val="single" w:color="D4AF37" w:sz="6" w:space="8"/>
              </w:pBdr>
              <w:spacing w:after="500"/>
              <w:ind w:left="1200" w:right="800"/>
            </w:pPr>
            <w:r>
              <w:rPr>
                <w:rFonts w:ascii="Calibri" w:eastAsia="Microsoft YaHei"/>
                <w:color w:val="D4AF37"/>
                <w:spacing w:val="40"/>
                <w:sz w:val="18"/>
                <w:szCs w:val="18"/>
              </w:rPr>
              <w:t xml:space="preserve">C O N S T I T U T I O N A L   A M E N D M E N T   ·   I X</w:t>
            </w:r>
          </w:p>
          <w:p>
            <w:pPr>
              <w:spacing w:after="100" w:line="800" w:lineRule="atLeast"/>
              <w:ind w:left="1200"/>
            </w:pPr>
            <w:r>
              <w:rPr>
                <w:rFonts w:ascii="Calibri" w:eastAsia="Microsoft YaHei"/>
                <w:b/>
                <w:bCs/>
                <w:color w:val="FFFFFF"/>
                <w:sz w:val="80"/>
                <w:szCs w:val="80"/>
              </w:rPr>
              <w:t xml:space="preserve">AURIENTA</w:t>
            </w:r>
          </w:p>
          <w:p>
            <w:pPr>
              <w:spacing w:after="240" w:line="520" w:lineRule="atLeast"/>
              <w:ind w:left="1200"/>
            </w:pPr>
            <w:r>
              <w:rPr>
                <w:rFonts w:ascii="Calibri" w:eastAsia="Microsoft YaHei"/>
                <w:color w:val="E8D9A8"/>
                <w:sz w:val="32"/>
                <w:szCs w:val="32"/>
              </w:rPr>
              <w:t xml:space="preserve">Amendment IX</w:t>
            </w:r>
          </w:p>
          <w:p>
            <w:pPr>
              <w:spacing w:after="800"/>
              <w:ind w:left="1200"/>
            </w:pPr>
            <w:r>
              <w:rPr>
                <w:rFonts w:ascii="Calibri" w:eastAsia="Microsoft YaHei"/>
                <w:i/>
                <w:iCs/>
                <w:color w:val="D4AF37"/>
                <w:sz w:val="22"/>
                <w:szCs w:val="22"/>
              </w:rPr>
              <w:t xml:space="preserve">Direct Law-Firm Transfer Model</w:t>
            </w:r>
          </w:p>
          <w:p>
            <w:pPr>
              <w:pBdr>
                <w:left w:val="single" w:color="D4AF37" w:sz="8" w:space="12"/>
              </w:pBdr>
              <w:spacing w:after="100"/>
              <w:ind w:left="1400"/>
            </w:pPr>
            <w:r>
              <w:rPr>
                <w:rFonts w:ascii="Calibri" w:eastAsia="Microsoft YaHei"/>
                <w:color w:val="D4AF37"/>
                <w:sz w:val="22"/>
                <w:szCs w:val="22"/>
              </w:rPr>
              <w:t xml:space="preserve">A Formal Amendment to the Constitutional Charter</w:t>
            </w:r>
          </w:p>
          <w:p>
            <w:pPr>
              <w:pBdr>
                <w:left w:val="single" w:color="D4AF37" w:sz="8" w:space="12"/>
              </w:pBdr>
              <w:spacing w:after="100"/>
              <w:ind w:left="1400"/>
            </w:pPr>
            <w:r>
              <w:rPr>
                <w:rFonts w:ascii="Calibri" w:eastAsia="Microsoft YaHei"/>
                <w:color w:val="D4AF37"/>
                <w:sz w:val="22"/>
                <w:szCs w:val="22"/>
              </w:rPr>
              <w:t xml:space="preserve">Pursuant to Article V of the Charter</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75% Supermajority  ·  90-Day Cooling  ·  14-Day Voting</w:t>
            </w:r>
          </w:p>
          <w:p>
            <w:pPr>
              <w:pBdr>
                <w:left w:val="single" w:color="D4AF37" w:sz="8" w:space="12"/>
              </w:pBdr>
              <w:spacing w:after="100"/>
              <w:ind w:left="1400"/>
            </w:pPr>
            <w:r>
              <w:rPr>
                <w:rFonts w:ascii="Calibri" w:eastAsia="Microsoft YaHei"/>
                <w:color w:val="D4AF37"/>
                <w:sz w:val="22"/>
                <w:szCs w:val="22"/>
              </w:rPr>
              <w:t xml:space="preserve">Non-Amendable: Direct-Transfer Requirement</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Root Hash:  0xB4F8D3E2F6A0B5D9E7F2A1C4B8E3D6A0F2C5B9E7D1A</w:t>
            </w:r>
          </w:p>
          <w:p>
            <w:pPr>
              <w:pBdr>
                <w:left w:val="single" w:color="D4AF37" w:sz="8" w:space="12"/>
              </w:pBdr>
              <w:spacing w:after="100"/>
              <w:ind w:left="1400"/>
            </w:pPr>
            <w:r>
              <w:rPr>
                <w:rFonts w:ascii="Calibri" w:eastAsia="Microsoft YaHei"/>
                <w:color w:val="D4AF37"/>
                <w:sz w:val="22"/>
                <w:szCs w:val="22"/>
              </w:rPr>
              <w:t xml:space="preserve">Amendment Hash:  0xA9C7E1D4F0B3A825E6F1C9D2B7E4A0C3F6D8B1E5A2</w:t>
            </w:r>
          </w:p>
          <w:p>
            <w:pPr>
              <w:spacing w:before="1200"/>
            </w:pPr>
          </w:p>
          <w:p>
            <w:pPr>
              <w:pBdr>
                <w:top w:val="single" w:color="D4AF37" w:sz="2" w:space="8"/>
              </w:pBdr>
              <w:spacing w:before="200"/>
              <w:ind w:left="1200" w:right="800"/>
            </w:pPr>
            <w:r>
              <w:rPr>
                <w:rFonts w:ascii="Calibri" w:eastAsia="Microsoft YaHei"/>
                <w:color w:val="9AAEB8"/>
                <w:sz w:val="16"/>
                <w:szCs w:val="16"/>
              </w:rPr>
              <w:t xml:space="preserve">AURIENTA Constitutional Office  ·  Confidential — Legal Instrument</w:t>
            </w:r>
            <w:r>
              <w:t xml:space="preserve">                                        </w:t>
            </w:r>
            <w:r>
              <w:rPr>
                <w:rFonts w:ascii="Calibri" w:eastAsia="Microsoft YaHei"/>
                <w:color w:val="9AAEB8"/>
                <w:sz w:val="16"/>
                <w:szCs w:val="16"/>
              </w:rPr>
              <w:t xml:space="preserve">DOC-AM-009  ·  v1.0  ·  Constitutional Office</w:t>
            </w:r>
          </w:p>
        </w:tc>
      </w:tr>
    </w:tbl>
    <w:p>
      <w:pPr>
        <w:sectPr>
          <w:pgSz w:w="11906" w:h="16838" w:orient="portrait"/>
          <w:pgMar w:top="0" w:right="0" w:bottom="0" w:left="0" w:header="708" w:footer="708" w:gutter="0"/>
          <w:pgNumType/>
          <w:docGrid w:linePitch="360"/>
        </w:sectPr>
      </w:pPr>
    </w:p>
    <w:p>
      <w:pPr>
        <w:spacing w:after="80" w:before="0"/>
        <w:jc w:val="center"/>
      </w:pPr>
      <w:r>
        <w:rPr>
          <w:rFonts w:ascii="Calibri" w:eastAsia="Microsoft YaHei"/>
          <w:b/>
          <w:bCs/>
          <w:color w:val="4A6575"/>
          <w:spacing w:val="80"/>
          <w:sz w:val="24"/>
          <w:szCs w:val="24"/>
        </w:rPr>
        <w:t xml:space="preserve">CONSTITUTIONAL CHARTER</w:t>
      </w:r>
    </w:p>
    <w:p>
      <w:pPr>
        <w:spacing w:after="80"/>
        <w:jc w:val="center"/>
      </w:pPr>
      <w:r>
        <w:rPr>
          <w:rFonts w:ascii="Calibri" w:eastAsia="Microsoft YaHei"/>
          <w:b/>
          <w:bCs/>
          <w:color w:val="0F2027"/>
          <w:spacing w:val="80"/>
          <w:sz w:val="56"/>
          <w:szCs w:val="56"/>
        </w:rPr>
        <w:t xml:space="preserve">AMENDMENT IX</w:t>
      </w:r>
    </w:p>
    <w:p>
      <w:pPr>
        <w:spacing w:after="240"/>
        <w:jc w:val="center"/>
      </w:pPr>
      <w:r>
        <w:rPr>
          <w:rFonts w:ascii="Calibri" w:eastAsia="Microsoft YaHei"/>
          <w:b/>
          <w:bCs/>
          <w:color w:val="B8860B"/>
          <w:sz w:val="30"/>
          <w:szCs w:val="30"/>
        </w:rPr>
        <w:t xml:space="preserve">Direct Law-Firm Transfer Model</w:t>
      </w:r>
    </w:p>
    <w:p>
      <w:pPr>
        <w:pBdr>
          <w:bottom w:val="single" w:color="D4AF37" w:sz="8" w:space="6"/>
        </w:pBdr>
        <w:spacing w:after="360"/>
        <w:jc w:val="center"/>
      </w:pPr>
      <w:r>
        <w:rPr>
          <w:rFonts w:ascii="Calibri" w:eastAsia="Microsoft YaHei"/>
          <w:i/>
          <w:iCs/>
          <w:color w:val="4A6575"/>
          <w:sz w:val="20"/>
          <w:szCs w:val="20"/>
        </w:rPr>
        <w:t xml:space="preserve">A Formal Amendment to the AURIENTA Constitutional Charter  ·  Pursuant to Article V of the Charter</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tblGrid>
      <w:tr>
        <w:trPr>
          <w:cantSplit/>
          <w:tblHeader/>
        </w:trPr>
        <w:tc>
          <w:tcPr>
            <w:tcW w:type="pct" w:w="4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Amendment Field</w:t>
            </w:r>
          </w:p>
        </w:tc>
        <w:tc>
          <w:tcPr>
            <w:tcW w:type="pct" w:w="6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Value</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Amendment Number</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IX (nine)</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Short Title</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Direct Law-Firm Transfer Model</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Authority</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Article V of the AURIENTA Constitutional Charter</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Supermajority Required for Passage</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75% of global voting power</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Cooling Period</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90 (ninety) days from filing</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Voting Period</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14 (fourteen) days</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Filing Fee</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EGP 2,000 (refundable if the amendment passes)</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Legal Basis</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Egyptian Lawyers' Code (Law 17/1983, Art. 47); Companies Law 159/1981; FRA No-Action Letter</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Effective Date</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Upon 75% supermajority passage, following the cooling and voting periods</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 Hash (Root)</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0xB4F8D3E2F6A0B5D9E7F2A1C4B8E3D6A0F2C5B9E7D1A</w:t>
            </w:r>
          </w:p>
        </w:tc>
      </w:tr>
      <w:tr>
        <w:trPr>
          <w:cantSplit/>
        </w:trPr>
        <w:tc>
          <w:tcPr>
            <w:tcW w:type="pct" w:w="4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Amendment Hash (post-passage)</w:t>
            </w:r>
          </w:p>
        </w:tc>
        <w:tc>
          <w:tcPr>
            <w:tcW w:type="pct" w:w="6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0xA9C7E1D4F0B3A825E6F1C9D2B7E4A0C3F6D8B1E5A2</w:t>
            </w:r>
          </w:p>
        </w:tc>
      </w:tr>
      <w:tr>
        <w:trPr>
          <w:cantSplit/>
        </w:trPr>
        <w:tc>
          <w:tcPr>
            <w:tcW w:type="pct" w:w="4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Re-Signing</w:t>
            </w:r>
          </w:p>
        </w:tc>
        <w:tc>
          <w:tcPr>
            <w:tcW w:type="pct" w:w="6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 hash to be re-signed upon passage; all prior signatures preserved on the immutable ledger</w:t>
            </w:r>
          </w:p>
        </w:tc>
      </w:tr>
    </w:tbl>
    <w:p>
      <w:pPr>
        <w:spacing w:before="160"/>
      </w:pPr>
    </w:p>
    <w:p>
      <w:pPr>
        <w:spacing w:after="60" w:before="420"/>
        <w:jc w:val="center"/>
      </w:pPr>
      <w:r>
        <w:rPr>
          <w:rFonts w:ascii="Calibri" w:eastAsia="Microsoft YaHei"/>
          <w:b/>
          <w:bCs/>
          <w:color w:val="0F2027"/>
          <w:spacing w:val="30"/>
          <w:sz w:val="28"/>
          <w:szCs w:val="28"/>
        </w:rPr>
        <w:t xml:space="preserve">ARTICLE I</w:t>
      </w:r>
    </w:p>
    <w:p>
      <w:pPr>
        <w:pBdr>
          <w:bottom w:val="single" w:color="D4AF37" w:sz="8" w:space="6"/>
        </w:pBdr>
        <w:spacing w:after="220"/>
        <w:jc w:val="center"/>
      </w:pPr>
      <w:r>
        <w:rPr>
          <w:rFonts w:ascii="Calibri" w:eastAsia="Microsoft YaHei"/>
          <w:b/>
          <w:bCs/>
          <w:color w:val="B8860B"/>
          <w:spacing w:val="20"/>
          <w:sz w:val="22"/>
          <w:szCs w:val="22"/>
        </w:rPr>
        <w:t xml:space="preserve">RECITALS AND STATEMENT OF PURPOSE</w:t>
      </w:r>
    </w:p>
    <w:p>
      <w:pPr>
        <w:spacing w:after="140" w:line="312"/>
        <w:ind w:left="720" w:hanging="540"/>
        <w:jc w:val="both"/>
      </w:pPr>
      <w:r>
        <w:rPr>
          <w:rFonts w:ascii="Calibri" w:eastAsia="Microsoft YaHei"/>
          <w:b/>
          <w:bCs/>
          <w:color w:val="0F2027"/>
          <w:sz w:val="22"/>
          <w:szCs w:val="22"/>
        </w:rPr>
        <w:t xml:space="preserve">1.1	</w:t>
      </w:r>
      <w:r>
        <w:rPr>
          <w:rFonts w:ascii="Calibri" w:eastAsia="Microsoft YaHei"/>
          <w:color w:val="000000"/>
          <w:sz w:val="22"/>
          <w:szCs w:val="22"/>
        </w:rPr>
        <w:t xml:space="preserve">The Constitutional Partners of AURIENTA, exercising their reserved authority under Article V of the Constitutional Charter, hereby adopt this Amendment IX (the "Amendment") to restructure the platform's capital-handling architecture from a Constitutional Escrow Vault model to a Direct Law-Firm Transfer Model.</w:t>
      </w:r>
    </w:p>
    <w:p>
      <w:pPr>
        <w:spacing w:after="140" w:line="312"/>
        <w:ind w:left="720" w:hanging="540"/>
        <w:jc w:val="both"/>
      </w:pPr>
      <w:r>
        <w:rPr>
          <w:rFonts w:ascii="Calibri" w:eastAsia="Microsoft YaHei"/>
          <w:b/>
          <w:bCs/>
          <w:color w:val="0F2027"/>
          <w:sz w:val="22"/>
          <w:szCs w:val="22"/>
        </w:rPr>
        <w:t xml:space="preserve">1.2	</w:t>
      </w:r>
      <w:r>
        <w:rPr>
          <w:rFonts w:ascii="Calibri" w:eastAsia="Microsoft YaHei"/>
          <w:color w:val="000000"/>
          <w:sz w:val="22"/>
          <w:szCs w:val="22"/>
        </w:rPr>
        <w:t xml:space="preserve">This Amendment is necessitated by (a) the explicit permission granted to licensed lawyers under Article 47 of the Egyptian Lawyers' Code (Law No. 17 of 1983) to hold client funds in segregated client accounts, (b) the Companies Law No. 159 of 1981 framework for the formation and governance of Egyptian companies, and (c) the FRA No-Action Letter classifying AURIENTA as technology, governance, and matchmaking infrastructure — and not as a crowdfunding platform, broker, custodian, or financial intermediary — confirming that the direct transfer of capital partner funds to a licensed law firm's client account does not require FRA licensing on the part of AURIENTA.</w:t>
      </w:r>
    </w:p>
    <w:p>
      <w:pPr>
        <w:spacing w:after="140" w:line="312"/>
        <w:ind w:left="720" w:hanging="540"/>
        <w:jc w:val="both"/>
      </w:pPr>
      <w:r>
        <w:rPr>
          <w:rFonts w:ascii="Calibri" w:eastAsia="Microsoft YaHei"/>
          <w:b/>
          <w:bCs/>
          <w:color w:val="0F2027"/>
          <w:sz w:val="22"/>
          <w:szCs w:val="22"/>
        </w:rPr>
        <w:t xml:space="preserve">1.3	</w:t>
      </w:r>
      <w:r>
        <w:rPr>
          <w:rFonts w:ascii="Calibri" w:eastAsia="Microsoft YaHei"/>
          <w:color w:val="000000"/>
          <w:sz w:val="22"/>
          <w:szCs w:val="22"/>
        </w:rPr>
        <w:t xml:space="preserve">The purpose of this Amendment is to (a) eliminate any structural ambiguity about AURIENTA's non-custodial status, (b) align the Charter with the Lawyers' Code's express client-fund-holding authority, (c) strengthen bankruptcy-remote protection of capital partner funds by anchoring them in a licensed-law-firm client account rather than in a platform-managed escrow construct, and (d) preserve the Zero Custody rule — that AURIENTA never holds, touches, or controls any capital — as the platform's foundational non-amendable invariant.</w:t>
      </w:r>
    </w:p>
    <w:p>
      <w:pPr>
        <w:spacing w:after="60" w:before="420"/>
        <w:jc w:val="center"/>
      </w:pPr>
      <w:r>
        <w:rPr>
          <w:rFonts w:ascii="Calibri" w:eastAsia="Microsoft YaHei"/>
          <w:b/>
          <w:bCs/>
          <w:color w:val="0F2027"/>
          <w:spacing w:val="30"/>
          <w:sz w:val="28"/>
          <w:szCs w:val="28"/>
        </w:rPr>
        <w:t xml:space="preserve">ARTICLE II</w:t>
      </w:r>
    </w:p>
    <w:p>
      <w:pPr>
        <w:pBdr>
          <w:bottom w:val="single" w:color="D4AF37" w:sz="8" w:space="6"/>
        </w:pBdr>
        <w:spacing w:after="220"/>
        <w:jc w:val="center"/>
      </w:pPr>
      <w:r>
        <w:rPr>
          <w:rFonts w:ascii="Calibri" w:eastAsia="Microsoft YaHei"/>
          <w:b/>
          <w:bCs/>
          <w:color w:val="B8860B"/>
          <w:spacing w:val="20"/>
          <w:sz w:val="22"/>
          <w:szCs w:val="22"/>
        </w:rPr>
        <w:t xml:space="preserve">ADOPTION PROCEDURE</w:t>
      </w:r>
    </w:p>
    <w:p>
      <w:pPr>
        <w:spacing w:after="140" w:line="312"/>
        <w:ind w:left="720" w:hanging="540"/>
        <w:jc w:val="both"/>
      </w:pPr>
      <w:r>
        <w:rPr>
          <w:rFonts w:ascii="Calibri" w:eastAsia="Microsoft YaHei"/>
          <w:b/>
          <w:bCs/>
          <w:color w:val="0F2027"/>
          <w:sz w:val="22"/>
          <w:szCs w:val="22"/>
        </w:rPr>
        <w:t xml:space="preserve">2.1	</w:t>
      </w:r>
      <w:r>
        <w:rPr>
          <w:rFonts w:ascii="Calibri" w:eastAsia="Microsoft YaHei"/>
          <w:color w:val="000000"/>
          <w:sz w:val="22"/>
          <w:szCs w:val="22"/>
        </w:rPr>
        <w:t xml:space="preserve">Authority. This Amendment is adopted pursuant to Article V of the Constitutional Charter, which requires a 75% supermajority of global voting power for constitutional amendments, a 90-day cooling period from filing, and a 14-day voting period.</w:t>
      </w:r>
    </w:p>
    <w:p>
      <w:pPr>
        <w:spacing w:after="140" w:line="312"/>
        <w:ind w:left="720" w:hanging="540"/>
        <w:jc w:val="both"/>
      </w:pPr>
      <w:r>
        <w:rPr>
          <w:rFonts w:ascii="Calibri" w:eastAsia="Microsoft YaHei"/>
          <w:b/>
          <w:bCs/>
          <w:color w:val="0F2027"/>
          <w:sz w:val="22"/>
          <w:szCs w:val="22"/>
        </w:rPr>
        <w:t xml:space="preserve">2.2	</w:t>
      </w:r>
      <w:r>
        <w:rPr>
          <w:rFonts w:ascii="Calibri" w:eastAsia="Microsoft YaHei"/>
          <w:color w:val="000000"/>
          <w:sz w:val="22"/>
          <w:szCs w:val="22"/>
        </w:rPr>
        <w:t xml:space="preserve">Cooling Period. The 90-day cooling period shall commence on the date the Amendment is filed with the Constitutional Office and published to the immutable ledger. During the cooling period, Constitutional Partners may debate, propose non-substantive drafting clarifications, and submit written analyses. No vote shall be recorded during the cooling period.</w:t>
      </w:r>
    </w:p>
    <w:p>
      <w:pPr>
        <w:spacing w:after="140" w:line="312"/>
        <w:ind w:left="720" w:hanging="540"/>
        <w:jc w:val="both"/>
      </w:pPr>
      <w:r>
        <w:rPr>
          <w:rFonts w:ascii="Calibri" w:eastAsia="Microsoft YaHei"/>
          <w:b/>
          <w:bCs/>
          <w:color w:val="0F2027"/>
          <w:sz w:val="22"/>
          <w:szCs w:val="22"/>
        </w:rPr>
        <w:t xml:space="preserve">2.3	</w:t>
      </w:r>
      <w:r>
        <w:rPr>
          <w:rFonts w:ascii="Calibri" w:eastAsia="Microsoft YaHei"/>
          <w:color w:val="000000"/>
          <w:sz w:val="22"/>
          <w:szCs w:val="22"/>
        </w:rPr>
        <w:t xml:space="preserve">Voting Period. The 14-day voting period shall commence on the day following the expiration of the cooling period. Voting shall be conducted through the Constitutional Runtime Engine (CRE), with each Equity Unit representing one vote. Votes may be cast at any time during the voting period and may be changed until the period closes.</w:t>
      </w:r>
    </w:p>
    <w:p>
      <w:pPr>
        <w:spacing w:after="140" w:line="312"/>
        <w:ind w:left="720" w:hanging="540"/>
        <w:jc w:val="both"/>
      </w:pPr>
      <w:r>
        <w:rPr>
          <w:rFonts w:ascii="Calibri" w:eastAsia="Microsoft YaHei"/>
          <w:b/>
          <w:bCs/>
          <w:color w:val="0F2027"/>
          <w:sz w:val="22"/>
          <w:szCs w:val="22"/>
        </w:rPr>
        <w:t xml:space="preserve">2.4	</w:t>
      </w:r>
      <w:r>
        <w:rPr>
          <w:rFonts w:ascii="Calibri" w:eastAsia="Microsoft YaHei"/>
          <w:color w:val="000000"/>
          <w:sz w:val="22"/>
          <w:szCs w:val="22"/>
        </w:rPr>
        <w:t xml:space="preserve">Supermajority Threshold. The Amendment shall be deemed adopted if and only if votes in favor constitute not less than 75% of the total outstanding voting power of all Constitutional Partners — not merely of those voting. Quorum requirements shall not apply to constitutional amendment votes.</w:t>
      </w:r>
    </w:p>
    <w:p>
      <w:pPr>
        <w:spacing w:after="140" w:line="312"/>
        <w:ind w:left="720" w:hanging="540"/>
        <w:jc w:val="both"/>
      </w:pPr>
      <w:r>
        <w:rPr>
          <w:rFonts w:ascii="Calibri" w:eastAsia="Microsoft YaHei"/>
          <w:b/>
          <w:bCs/>
          <w:color w:val="0F2027"/>
          <w:sz w:val="22"/>
          <w:szCs w:val="22"/>
        </w:rPr>
        <w:t xml:space="preserve">2.5	</w:t>
      </w:r>
      <w:r>
        <w:rPr>
          <w:rFonts w:ascii="Calibri" w:eastAsia="Microsoft YaHei"/>
          <w:color w:val="000000"/>
          <w:sz w:val="22"/>
          <w:szCs w:val="22"/>
        </w:rPr>
        <w:t xml:space="preserve">Mathematical Determination. The CRE shall count votes in real time and may declare the Amendment adopted — or defeated — prior to the close of the voting period once the outcome becomes mathematically determined. All vote tallies shall be published to the immutable ledger.</w:t>
      </w:r>
    </w:p>
    <w:p>
      <w:pPr>
        <w:spacing w:after="140" w:line="312"/>
        <w:ind w:left="720" w:hanging="540"/>
        <w:jc w:val="both"/>
      </w:pPr>
      <w:r>
        <w:rPr>
          <w:rFonts w:ascii="Calibri" w:eastAsia="Microsoft YaHei"/>
          <w:b/>
          <w:bCs/>
          <w:color w:val="0F2027"/>
          <w:sz w:val="22"/>
          <w:szCs w:val="22"/>
        </w:rPr>
        <w:t xml:space="preserve">2.6	</w:t>
      </w:r>
      <w:r>
        <w:rPr>
          <w:rFonts w:ascii="Calibri" w:eastAsia="Microsoft YaHei"/>
          <w:color w:val="000000"/>
          <w:sz w:val="22"/>
          <w:szCs w:val="22"/>
        </w:rPr>
        <w:t xml:space="preserve">Filing Fee. A non-refundable-at-filing fee of EGP 2,000 shall be paid by the proposing Constitutional Partner(s) at the time of filing. The fee shall be refunded in full if the Amendment passes; the fee shall be forfeited if the Amendment fails.</w:t>
      </w:r>
    </w:p>
    <w:p>
      <w:pPr>
        <w:spacing w:after="60" w:before="420"/>
        <w:jc w:val="center"/>
      </w:pPr>
      <w:r>
        <w:rPr>
          <w:rFonts w:ascii="Calibri" w:eastAsia="Microsoft YaHei"/>
          <w:b/>
          <w:bCs/>
          <w:color w:val="0F2027"/>
          <w:spacing w:val="30"/>
          <w:sz w:val="28"/>
          <w:szCs w:val="28"/>
        </w:rPr>
        <w:t xml:space="preserve">ARTICLE III</w:t>
      </w:r>
    </w:p>
    <w:p>
      <w:pPr>
        <w:pBdr>
          <w:bottom w:val="single" w:color="D4AF37" w:sz="8" w:space="6"/>
        </w:pBdr>
        <w:spacing w:after="220"/>
        <w:jc w:val="center"/>
      </w:pPr>
      <w:r>
        <w:rPr>
          <w:rFonts w:ascii="Calibri" w:eastAsia="Microsoft YaHei"/>
          <w:b/>
          <w:bCs/>
          <w:color w:val="B8860B"/>
          <w:spacing w:val="20"/>
          <w:sz w:val="22"/>
          <w:szCs w:val="22"/>
        </w:rPr>
        <w:t xml:space="preserve">DEFINITIONS</w:t>
      </w:r>
    </w:p>
    <w:p>
      <w:pPr>
        <w:spacing w:after="140" w:line="312"/>
        <w:ind w:left="720" w:hanging="540"/>
        <w:jc w:val="both"/>
      </w:pPr>
      <w:r>
        <w:rPr>
          <w:rFonts w:ascii="Calibri" w:eastAsia="Microsoft YaHei"/>
          <w:b/>
          <w:bCs/>
          <w:color w:val="0F2027"/>
          <w:sz w:val="22"/>
          <w:szCs w:val="22"/>
        </w:rPr>
        <w:t xml:space="preserve">3.1	</w:t>
      </w:r>
      <w:r>
        <w:rPr>
          <w:rFonts w:ascii="Calibri" w:eastAsia="Microsoft YaHei"/>
          <w:color w:val="000000"/>
          <w:sz w:val="22"/>
          <w:szCs w:val="22"/>
        </w:rPr>
        <w:t xml:space="preserve">"Law Firm Client Account" means a segregated bank account opened and maintained by a licensed Egyptian law firm at an Egyptian-licensed bank, designated exclusively for the deposit, holding, and release of capital partner funds contributed to an Enterprise, and held under Article 47 of the Egyptian Lawyers' Code (Law No. 17 of 1983). The Law Firm Client Account is the successor-in-interest to the former "Constitutional Escrow Vault" concept throughout the Charter.</w:t>
      </w:r>
    </w:p>
    <w:p>
      <w:pPr>
        <w:spacing w:after="140" w:line="312"/>
        <w:ind w:left="720" w:hanging="540"/>
        <w:jc w:val="both"/>
      </w:pPr>
      <w:r>
        <w:rPr>
          <w:rFonts w:ascii="Calibri" w:eastAsia="Microsoft YaHei"/>
          <w:b/>
          <w:bCs/>
          <w:color w:val="0F2027"/>
          <w:sz w:val="22"/>
          <w:szCs w:val="22"/>
        </w:rPr>
        <w:t xml:space="preserve">3.2	</w:t>
      </w:r>
      <w:r>
        <w:rPr>
          <w:rFonts w:ascii="Calibri" w:eastAsia="Microsoft YaHei"/>
          <w:color w:val="000000"/>
          <w:sz w:val="22"/>
          <w:szCs w:val="22"/>
        </w:rPr>
        <w:t xml:space="preserve">"Direct Law-Firm Transfer Model" means the fund-flow architecture established by this Amendment, under which capital partner funds flow directly from the Capital Partner to the Law Firm Client Account, are held by the Law Firm under Article 47 of the Lawyers' Code, and are released only upon the dual authorization of (a) Enterprise board approval and (b) Accounting Firm evidence verification.</w:t>
      </w:r>
    </w:p>
    <w:p>
      <w:pPr>
        <w:spacing w:after="140" w:line="312"/>
        <w:ind w:left="720" w:hanging="540"/>
        <w:jc w:val="both"/>
      </w:pPr>
      <w:r>
        <w:rPr>
          <w:rFonts w:ascii="Calibri" w:eastAsia="Microsoft YaHei"/>
          <w:b/>
          <w:bCs/>
          <w:color w:val="0F2027"/>
          <w:sz w:val="22"/>
          <w:szCs w:val="22"/>
        </w:rPr>
        <w:t xml:space="preserve">3.3	</w:t>
      </w:r>
      <w:r>
        <w:rPr>
          <w:rFonts w:ascii="Calibri" w:eastAsia="Microsoft YaHei"/>
          <w:color w:val="000000"/>
          <w:sz w:val="22"/>
          <w:szCs w:val="22"/>
        </w:rPr>
        <w:t xml:space="preserve">"Constitutional Escrow Vault" means the former capital-handling construct referenced throughout the Charter prior to this Amendment. As of the Effective Date, all references to "Constitutional Escrow Vault" in the Charter shall be construed as references to "Law Firm Client Account," except where the context clearly requires otherwise.</w:t>
      </w:r>
    </w:p>
    <w:p>
      <w:pPr>
        <w:spacing w:after="140" w:line="312"/>
        <w:ind w:left="720" w:hanging="540"/>
        <w:jc w:val="both"/>
      </w:pPr>
      <w:r>
        <w:rPr>
          <w:rFonts w:ascii="Calibri" w:eastAsia="Microsoft YaHei"/>
          <w:b/>
          <w:bCs/>
          <w:color w:val="0F2027"/>
          <w:sz w:val="22"/>
          <w:szCs w:val="22"/>
        </w:rPr>
        <w:t xml:space="preserve">3.4	</w:t>
      </w:r>
      <w:r>
        <w:rPr>
          <w:rFonts w:ascii="Calibri" w:eastAsia="Microsoft YaHei"/>
          <w:color w:val="000000"/>
          <w:sz w:val="22"/>
          <w:szCs w:val="22"/>
        </w:rPr>
        <w:t xml:space="preserve">"Dual-Authorization Protocol" means the conjunctive release condition requiring both (a) Board Approval and (b) Accounting Firm Evidence Verification, as further specified in the Charter and in the ancillary agreements adopted under this Amendment.</w:t>
      </w:r>
    </w:p>
    <w:p>
      <w:pPr>
        <w:spacing w:after="60" w:before="420"/>
        <w:jc w:val="center"/>
      </w:pPr>
      <w:r>
        <w:rPr>
          <w:rFonts w:ascii="Calibri" w:eastAsia="Microsoft YaHei"/>
          <w:b/>
          <w:bCs/>
          <w:color w:val="0F2027"/>
          <w:spacing w:val="30"/>
          <w:sz w:val="28"/>
          <w:szCs w:val="28"/>
        </w:rPr>
        <w:t xml:space="preserve">ARTICLE IV</w:t>
      </w:r>
    </w:p>
    <w:p>
      <w:pPr>
        <w:pBdr>
          <w:bottom w:val="single" w:color="D4AF37" w:sz="8" w:space="6"/>
        </w:pBdr>
        <w:spacing w:after="220"/>
        <w:jc w:val="center"/>
      </w:pPr>
      <w:r>
        <w:rPr>
          <w:rFonts w:ascii="Calibri" w:eastAsia="Microsoft YaHei"/>
          <w:b/>
          <w:bCs/>
          <w:color w:val="B8860B"/>
          <w:spacing w:val="20"/>
          <w:sz w:val="22"/>
          <w:szCs w:val="22"/>
        </w:rPr>
        <w:t xml:space="preserve">SUBSTANTIVE AMENDMENTS TO THE CHARTER</w:t>
      </w:r>
    </w:p>
    <w:p>
      <w:pPr>
        <w:spacing w:after="140" w:line="312"/>
        <w:ind w:left="720" w:hanging="540"/>
        <w:jc w:val="both"/>
      </w:pPr>
      <w:r>
        <w:rPr>
          <w:rFonts w:ascii="Calibri" w:eastAsia="Microsoft YaHei"/>
          <w:b/>
          <w:bCs/>
          <w:color w:val="0F2027"/>
          <w:sz w:val="22"/>
          <w:szCs w:val="22"/>
        </w:rPr>
        <w:t xml:space="preserve">4.1	</w:t>
      </w:r>
      <w:r>
        <w:rPr>
          <w:rFonts w:ascii="Calibri" w:eastAsia="Microsoft YaHei"/>
          <w:color w:val="000000"/>
          <w:sz w:val="22"/>
          <w:szCs w:val="22"/>
        </w:rPr>
        <w:t xml:space="preserve">Textual Substitution. As of the Effective Date, the term "Constitutional Escrow Vault" — and each of its grammatical variants ("Escrow Vault," "the Vault," "constitutional escrow," "platform escrow," etc.) — shall be replaced throughout the Charter with "Law Firm Client Account," with corresponding grammatical adjustments. This substitution applies to all Volumes, Parts, Sections, Articles, Tables, Figures, and Appendices of the Charter.</w:t>
      </w:r>
    </w:p>
    <w:p>
      <w:pPr>
        <w:spacing w:after="140" w:line="312"/>
        <w:ind w:left="720" w:hanging="540"/>
        <w:jc w:val="both"/>
      </w:pPr>
      <w:r>
        <w:rPr>
          <w:rFonts w:ascii="Calibri" w:eastAsia="Microsoft YaHei"/>
          <w:b/>
          <w:bCs/>
          <w:color w:val="0F2027"/>
          <w:sz w:val="22"/>
          <w:szCs w:val="22"/>
        </w:rPr>
        <w:t xml:space="preserve">4.2	</w:t>
      </w:r>
      <w:r>
        <w:rPr>
          <w:rFonts w:ascii="Calibri" w:eastAsia="Microsoft YaHei"/>
          <w:color w:val="000000"/>
          <w:sz w:val="22"/>
          <w:szCs w:val="22"/>
        </w:rPr>
        <w:t xml:space="preserve">Fund Flow Architecture. The Charter's fund-flow architecture is hereby amended to provide that:</w:t>
      </w:r>
    </w:p>
    <w:p>
      <w:pPr>
        <w:spacing w:after="80" w:line="300"/>
        <w:ind w:left="720" w:hanging="280"/>
        <w:jc w:val="left"/>
      </w:pPr>
      <w:r>
        <w:rPr>
          <w:b/>
          <w:bCs/>
          <w:color w:val="D4AF37"/>
          <w:sz w:val="22"/>
          <w:szCs w:val="22"/>
        </w:rPr>
        <w:t xml:space="preserve">•  </w:t>
      </w:r>
      <w:r>
        <w:rPr>
          <w:rFonts w:ascii="Calibri" w:eastAsia="Microsoft YaHei"/>
          <w:b/>
          <w:bCs/>
          <w:i w:val="false"/>
          <w:iCs w:val="false"/>
          <w:color w:val="B8860B"/>
          <w:sz w:val="22"/>
          <w:szCs w:val="22"/>
        </w:rPr>
        <w:t xml:space="preserve">Step 1 — Capital Partner Deposit. </w:t>
      </w:r>
      <w:r>
        <w:rPr>
          <w:rFonts w:ascii="Calibri" w:eastAsia="Microsoft YaHei"/>
          <w:b w:val="false"/>
          <w:bCs w:val="false"/>
          <w:i w:val="false"/>
          <w:iCs w:val="false"/>
          <w:color w:val="000000"/>
          <w:sz w:val="22"/>
          <w:szCs w:val="22"/>
        </w:rPr>
        <w:t xml:space="preserve">Each Capital Partner's contribution is transferred directly by the Capital Partner to the Law Firm Client Account, by bank wire or other Egyptian-licensed banking channel. AURIENTA is not a remitter, payee, intermediary, custodian, signatory, or beneficial owner of any capital partner funds.</w:t>
      </w:r>
    </w:p>
    <w:p>
      <w:pPr>
        <w:spacing w:after="80" w:line="300"/>
        <w:ind w:left="720" w:hanging="280"/>
        <w:jc w:val="left"/>
      </w:pPr>
      <w:r>
        <w:rPr>
          <w:b/>
          <w:bCs/>
          <w:color w:val="D4AF37"/>
          <w:sz w:val="22"/>
          <w:szCs w:val="22"/>
        </w:rPr>
        <w:t xml:space="preserve">•  </w:t>
      </w:r>
      <w:r>
        <w:rPr>
          <w:rFonts w:ascii="Calibri" w:eastAsia="Microsoft YaHei"/>
          <w:b/>
          <w:bCs/>
          <w:i w:val="false"/>
          <w:iCs w:val="false"/>
          <w:color w:val="B8860B"/>
          <w:sz w:val="22"/>
          <w:szCs w:val="22"/>
        </w:rPr>
        <w:t xml:space="preserve">Step 2 — Law Firm Holding. </w:t>
      </w:r>
      <w:r>
        <w:rPr>
          <w:rFonts w:ascii="Calibri" w:eastAsia="Microsoft YaHei"/>
          <w:b w:val="false"/>
          <w:bCs w:val="false"/>
          <w:i w:val="false"/>
          <w:iCs w:val="false"/>
          <w:color w:val="000000"/>
          <w:sz w:val="22"/>
          <w:szCs w:val="22"/>
        </w:rPr>
        <w:t xml:space="preserve">The Law Firm holds the funds in the Law Firm Client Account under Article 47 of the Egyptian Lawyers' Code, in a segregated, bankruptcy-remote status. The Law Firm observes all professional, fiduciary, and record-keeping duties imposed by the Lawyers' Code and the Egyptian Bar Association by-laws.</w:t>
      </w:r>
    </w:p>
    <w:p>
      <w:pPr>
        <w:spacing w:after="80" w:line="300"/>
        <w:ind w:left="720" w:hanging="280"/>
        <w:jc w:val="left"/>
      </w:pPr>
      <w:r>
        <w:rPr>
          <w:b/>
          <w:bCs/>
          <w:color w:val="D4AF37"/>
          <w:sz w:val="22"/>
          <w:szCs w:val="22"/>
        </w:rPr>
        <w:t xml:space="preserve">•  </w:t>
      </w:r>
      <w:r>
        <w:rPr>
          <w:rFonts w:ascii="Calibri" w:eastAsia="Microsoft YaHei"/>
          <w:b/>
          <w:bCs/>
          <w:i w:val="false"/>
          <w:iCs w:val="false"/>
          <w:color w:val="B8860B"/>
          <w:sz w:val="22"/>
          <w:szCs w:val="22"/>
        </w:rPr>
        <w:t xml:space="preserve">Step 3 — Accounting Firm Verification. </w:t>
      </w:r>
      <w:r>
        <w:rPr>
          <w:rFonts w:ascii="Calibri" w:eastAsia="Microsoft YaHei"/>
          <w:b w:val="false"/>
          <w:bCs w:val="false"/>
          <w:i w:val="false"/>
          <w:iCs w:val="false"/>
          <w:color w:val="000000"/>
          <w:sz w:val="22"/>
          <w:szCs w:val="22"/>
        </w:rPr>
        <w:t xml:space="preserve">Upon Enterprise request, the Certified Accounting Firm appointed to the Enterprise independently verifies Milestone Evidence in accordance with ESAA standards and issues (or refuses) a Verification Certification, which is published to the immutable ledger.</w:t>
      </w:r>
    </w:p>
    <w:p>
      <w:pPr>
        <w:spacing w:after="80" w:line="300"/>
        <w:ind w:left="720" w:hanging="280"/>
        <w:jc w:val="left"/>
      </w:pPr>
      <w:r>
        <w:rPr>
          <w:b/>
          <w:bCs/>
          <w:color w:val="D4AF37"/>
          <w:sz w:val="22"/>
          <w:szCs w:val="22"/>
        </w:rPr>
        <w:t xml:space="preserve">•  </w:t>
      </w:r>
      <w:r>
        <w:rPr>
          <w:rFonts w:ascii="Calibri" w:eastAsia="Microsoft YaHei"/>
          <w:b/>
          <w:bCs/>
          <w:i w:val="false"/>
          <w:iCs w:val="false"/>
          <w:color w:val="B8860B"/>
          <w:sz w:val="22"/>
          <w:szCs w:val="22"/>
        </w:rPr>
        <w:t xml:space="preserve">Step 4 — Dual-Authorization Release. </w:t>
      </w:r>
      <w:r>
        <w:rPr>
          <w:rFonts w:ascii="Calibri" w:eastAsia="Microsoft YaHei"/>
          <w:b w:val="false"/>
          <w:bCs w:val="false"/>
          <w:i w:val="false"/>
          <w:iCs w:val="false"/>
          <w:color w:val="000000"/>
          <w:sz w:val="22"/>
          <w:szCs w:val="22"/>
        </w:rPr>
        <w:t xml:space="preserve">Upon receipt of both (a) Board Approval and (b) Accounting Firm Evidence Verification, the Law Firm releases the specified amount from the Law Firm Client Account to the specified payee bank account (vendor or operating account) within two (2) business days.</w:t>
      </w:r>
    </w:p>
    <w:p>
      <w:pPr>
        <w:spacing w:after="80" w:line="300"/>
        <w:ind w:left="720" w:hanging="280"/>
        <w:jc w:val="left"/>
      </w:pPr>
      <w:r>
        <w:rPr>
          <w:b/>
          <w:bCs/>
          <w:color w:val="D4AF37"/>
          <w:sz w:val="22"/>
          <w:szCs w:val="22"/>
        </w:rPr>
        <w:t xml:space="preserve">•  </w:t>
      </w:r>
      <w:r>
        <w:rPr>
          <w:rFonts w:ascii="Calibri" w:eastAsia="Microsoft YaHei"/>
          <w:b/>
          <w:bCs/>
          <w:i w:val="false"/>
          <w:iCs w:val="false"/>
          <w:color w:val="B8860B"/>
          <w:sz w:val="22"/>
          <w:szCs w:val="22"/>
        </w:rPr>
        <w:t xml:space="preserve">Step 5 — Zero Custody Preservation. </w:t>
      </w:r>
      <w:r>
        <w:rPr>
          <w:rFonts w:ascii="Calibri" w:eastAsia="Microsoft YaHei"/>
          <w:b w:val="false"/>
          <w:bCs w:val="false"/>
          <w:i w:val="false"/>
          <w:iCs w:val="false"/>
          <w:color w:val="000000"/>
          <w:sz w:val="22"/>
          <w:szCs w:val="22"/>
        </w:rPr>
        <w:t xml:space="preserve">AURIENTA never holds, touches, or controls any capital partner funds at any point in the fund flow. AURIENTA's role is strictly limited to matching, governance, runtime enforcement, and ledger publication.</w:t>
      </w:r>
    </w:p>
    <w:p>
      <w:pPr>
        <w:spacing w:after="140" w:line="312"/>
        <w:ind w:left="720" w:hanging="540"/>
        <w:jc w:val="both"/>
      </w:pPr>
      <w:r>
        <w:rPr>
          <w:rFonts w:ascii="Calibri" w:eastAsia="Microsoft YaHei"/>
          <w:b/>
          <w:bCs/>
          <w:color w:val="0F2027"/>
          <w:sz w:val="22"/>
          <w:szCs w:val="22"/>
        </w:rPr>
        <w:t xml:space="preserve">4.3	</w:t>
      </w:r>
      <w:r>
        <w:rPr>
          <w:rFonts w:ascii="Calibri" w:eastAsia="Microsoft YaHei"/>
          <w:color w:val="000000"/>
          <w:sz w:val="22"/>
          <w:szCs w:val="22"/>
        </w:rPr>
        <w:t xml:space="preserve">Bankruptcy-Remote Status. The Charter's bankruptcy-remote provisions are hereby amended to provide that capital partner funds held in the Law Firm Client Account (a) are not part of the Law Firm's bankruptcy estate, (b) are not subject to set-off against Law Firm liabilities, (c) are not subject to attachment by Law Firm creditors, and (d) are traceable and recoverable by the Enterprise and its Capital Partners in the event of Law Firm insolvency, dissolution, or regulatory intervention — all by operation of Article 47 of the Lawyers' Code.</w:t>
      </w:r>
    </w:p>
    <w:p>
      <w:pPr>
        <w:spacing w:after="140" w:line="312"/>
        <w:ind w:left="720" w:hanging="540"/>
        <w:jc w:val="both"/>
      </w:pPr>
      <w:r>
        <w:rPr>
          <w:rFonts w:ascii="Calibri" w:eastAsia="Microsoft YaHei"/>
          <w:b/>
          <w:bCs/>
          <w:color w:val="0F2027"/>
          <w:sz w:val="22"/>
          <w:szCs w:val="22"/>
        </w:rPr>
        <w:t xml:space="preserve">4.4	</w:t>
      </w:r>
      <w:r>
        <w:rPr>
          <w:rFonts w:ascii="Calibri" w:eastAsia="Microsoft YaHei"/>
          <w:color w:val="000000"/>
          <w:sz w:val="22"/>
          <w:szCs w:val="22"/>
        </w:rPr>
        <w:t xml:space="preserve">Multi-Firm Redundancy. The Charter's multi-firm redundancy provisions are preserved and adapted: each Enterprise shall, at formation, designate a primary Law Firm and at least one (1) backup Law Firm, each duly licensed under the Lawyers' Code. Constitutional Partners may, after the first twelve (12) months of operation, replace the Law Firm through the Charter's law-firm-replacement procedure (5% voting-power proposal, 14-day cooling period, 7-day voting period).</w:t>
      </w:r>
    </w:p>
    <w:p>
      <w:pPr>
        <w:spacing w:after="140" w:line="312"/>
        <w:ind w:left="720" w:hanging="540"/>
        <w:jc w:val="both"/>
      </w:pPr>
      <w:r>
        <w:rPr>
          <w:rFonts w:ascii="Calibri" w:eastAsia="Microsoft YaHei"/>
          <w:b/>
          <w:bCs/>
          <w:color w:val="0F2027"/>
          <w:sz w:val="22"/>
          <w:szCs w:val="22"/>
        </w:rPr>
        <w:t xml:space="preserve">4.5	</w:t>
      </w:r>
      <w:r>
        <w:rPr>
          <w:rFonts w:ascii="Calibri" w:eastAsia="Microsoft YaHei"/>
          <w:color w:val="000000"/>
          <w:sz w:val="22"/>
          <w:szCs w:val="22"/>
        </w:rPr>
        <w:t xml:space="preserve">Anti-Fragility Vault Contribution. The 0.5% Anti-Fragility Vault contribution mechanism is preserved. Such contribution shall be released from the Law Firm Client Account to the Anti-Fragility Vault (an AURIENTA-administered contingency reserve that does not constitute custody of capital partner funds, as it holds only platform-allocated reserves, not partner contributions) on a recurring schedule determined by the Charter.</w:t>
      </w:r>
    </w:p>
    <w:p>
      <w:pPr>
        <w:spacing w:after="140" w:line="312"/>
        <w:ind w:left="720" w:hanging="540"/>
        <w:jc w:val="both"/>
      </w:pPr>
      <w:r>
        <w:rPr>
          <w:rFonts w:ascii="Calibri" w:eastAsia="Microsoft YaHei"/>
          <w:b/>
          <w:bCs/>
          <w:color w:val="0F2027"/>
          <w:sz w:val="22"/>
          <w:szCs w:val="22"/>
        </w:rPr>
        <w:t xml:space="preserve">4.6	</w:t>
      </w:r>
      <w:r>
        <w:rPr>
          <w:rFonts w:ascii="Calibri" w:eastAsia="Microsoft YaHei"/>
          <w:color w:val="000000"/>
          <w:sz w:val="22"/>
          <w:szCs w:val="22"/>
        </w:rPr>
        <w:t xml:space="preserve">Indefinite Segregated-Trust Protocol. The Charter's indefinite segregated-trust protocol for failed transfers and unclaimed dividends is preserved. Such funds shall be held in the Law Firm Client Account (or a successor Law Firm Client Account) indefinitely, with no right of reversion to the Law Firm.</w:t>
      </w:r>
    </w:p>
    <w:p>
      <w:pPr>
        <w:spacing w:after="60" w:before="420"/>
        <w:jc w:val="center"/>
      </w:pPr>
      <w:r>
        <w:rPr>
          <w:rFonts w:ascii="Calibri" w:eastAsia="Microsoft YaHei"/>
          <w:b/>
          <w:bCs/>
          <w:color w:val="0F2027"/>
          <w:spacing w:val="30"/>
          <w:sz w:val="28"/>
          <w:szCs w:val="28"/>
        </w:rPr>
        <w:t xml:space="preserve">ARTICLE V</w:t>
      </w:r>
    </w:p>
    <w:p>
      <w:pPr>
        <w:pBdr>
          <w:bottom w:val="single" w:color="D4AF37" w:sz="8" w:space="6"/>
        </w:pBdr>
        <w:spacing w:after="220"/>
        <w:jc w:val="center"/>
      </w:pPr>
      <w:r>
        <w:rPr>
          <w:rFonts w:ascii="Calibri" w:eastAsia="Microsoft YaHei"/>
          <w:b/>
          <w:bCs/>
          <w:color w:val="B8860B"/>
          <w:spacing w:val="20"/>
          <w:sz w:val="22"/>
          <w:szCs w:val="22"/>
        </w:rPr>
        <w:t xml:space="preserve">ANCILLARY AGREEMENTS</w:t>
      </w:r>
    </w:p>
    <w:p>
      <w:pPr>
        <w:spacing w:after="140" w:line="312"/>
        <w:ind w:left="720" w:hanging="540"/>
        <w:jc w:val="both"/>
      </w:pPr>
      <w:r>
        <w:rPr>
          <w:rFonts w:ascii="Calibri" w:eastAsia="Microsoft YaHei"/>
          <w:b/>
          <w:bCs/>
          <w:color w:val="0F2027"/>
          <w:sz w:val="22"/>
          <w:szCs w:val="22"/>
        </w:rPr>
        <w:t xml:space="preserve">5.1	</w:t>
      </w:r>
      <w:r>
        <w:rPr>
          <w:rFonts w:ascii="Calibri" w:eastAsia="Microsoft YaHei"/>
          <w:color w:val="000000"/>
          <w:sz w:val="22"/>
          <w:szCs w:val="22"/>
        </w:rPr>
        <w:t xml:space="preserve">Law Firm Escrow Waiver. The Constitutional Office shall, in coordination with each Law Firm and Enterprise, execute a Law Firm Escrow Waiver and Client Account Authorization in substantially the form approved by the Constitutional Office, memorializing the Law Firm's acceptance of direct transfer, the segregation duty, the Dual-Authorization Protocol, the bankruptcy-remote status, the insurance requirement, and the FRA license verification.</w:t>
      </w:r>
    </w:p>
    <w:p>
      <w:pPr>
        <w:spacing w:after="140" w:line="312"/>
        <w:ind w:left="720" w:hanging="540"/>
        <w:jc w:val="both"/>
      </w:pPr>
      <w:r>
        <w:rPr>
          <w:rFonts w:ascii="Calibri" w:eastAsia="Microsoft YaHei"/>
          <w:b/>
          <w:bCs/>
          <w:color w:val="0F2027"/>
          <w:sz w:val="22"/>
          <w:szCs w:val="22"/>
        </w:rPr>
        <w:t xml:space="preserve">5.2	</w:t>
      </w:r>
      <w:r>
        <w:rPr>
          <w:rFonts w:ascii="Calibri" w:eastAsia="Microsoft YaHei"/>
          <w:color w:val="000000"/>
          <w:sz w:val="22"/>
          <w:szCs w:val="22"/>
        </w:rPr>
        <w:t xml:space="preserve">Certified Accountant Milestone Release Authorization. The Constitutional Office shall, in coordination with each Enterprise and Accounting Firm, execute a Certified Accountant Milestone Release Authorization in substantially the form approved by the Constitutional Office, memorializing the Accounting Firm's appointment as the final gate for milestone releases, the Evidence Verification methodology, the audit-trail requirements, the liability provisions, and the fee structure paid from the 2.5% Consulting Fee.</w:t>
      </w:r>
    </w:p>
    <w:p>
      <w:pPr>
        <w:spacing w:after="140" w:line="312"/>
        <w:ind w:left="720" w:hanging="540"/>
        <w:jc w:val="both"/>
      </w:pPr>
      <w:r>
        <w:rPr>
          <w:rFonts w:ascii="Calibri" w:eastAsia="Microsoft YaHei"/>
          <w:b/>
          <w:bCs/>
          <w:color w:val="0F2027"/>
          <w:sz w:val="22"/>
          <w:szCs w:val="22"/>
        </w:rPr>
        <w:t xml:space="preserve">5.3	</w:t>
      </w:r>
      <w:r>
        <w:rPr>
          <w:rFonts w:ascii="Calibri" w:eastAsia="Microsoft YaHei"/>
          <w:color w:val="000000"/>
          <w:sz w:val="22"/>
          <w:szCs w:val="22"/>
        </w:rPr>
        <w:t xml:space="preserve">Consistency Requirement. The ancillary agreements referred to in this Article V shall be consistent with, and subordinate to, the Charter as amended by this Amendment. In the event of any conflict, the Charter shall control with respect to constitutional matters and the relevant ancillary agreement shall control with respect to operational matters.</w:t>
      </w:r>
    </w:p>
    <w:p>
      <w:pPr>
        <w:spacing w:after="60" w:before="420"/>
        <w:jc w:val="center"/>
      </w:pPr>
      <w:r>
        <w:rPr>
          <w:rFonts w:ascii="Calibri" w:eastAsia="Microsoft YaHei"/>
          <w:b/>
          <w:bCs/>
          <w:color w:val="0F2027"/>
          <w:spacing w:val="30"/>
          <w:sz w:val="28"/>
          <w:szCs w:val="28"/>
        </w:rPr>
        <w:t xml:space="preserve">ARTICLE VI</w:t>
      </w:r>
    </w:p>
    <w:p>
      <w:pPr>
        <w:pBdr>
          <w:bottom w:val="single" w:color="D4AF37" w:sz="8" w:space="6"/>
        </w:pBdr>
        <w:spacing w:after="220"/>
        <w:jc w:val="center"/>
      </w:pPr>
      <w:r>
        <w:rPr>
          <w:rFonts w:ascii="Calibri" w:eastAsia="Microsoft YaHei"/>
          <w:b/>
          <w:bCs/>
          <w:color w:val="B8860B"/>
          <w:spacing w:val="20"/>
          <w:sz w:val="22"/>
          <w:szCs w:val="22"/>
        </w:rPr>
        <w:t xml:space="preserve">LEGAL BASIS</w:t>
      </w:r>
    </w:p>
    <w:p>
      <w:pPr>
        <w:spacing w:after="140" w:line="312"/>
        <w:ind w:left="720" w:hanging="540"/>
        <w:jc w:val="both"/>
      </w:pPr>
      <w:r>
        <w:rPr>
          <w:rFonts w:ascii="Calibri" w:eastAsia="Microsoft YaHei"/>
          <w:b/>
          <w:bCs/>
          <w:color w:val="0F2027"/>
          <w:sz w:val="22"/>
          <w:szCs w:val="22"/>
        </w:rPr>
        <w:t xml:space="preserve">6.1	</w:t>
      </w:r>
      <w:r>
        <w:rPr>
          <w:rFonts w:ascii="Calibri" w:eastAsia="Microsoft YaHei"/>
          <w:color w:val="000000"/>
          <w:sz w:val="22"/>
          <w:szCs w:val="22"/>
        </w:rPr>
        <w:t xml:space="preserve">Egyptian Lawyers' Code. This Amendment is grounded in, and operates under, Article 47 of the Egyptian Lawyers' Code (Law No. 17 of 1983), which expressly permits licensed lawyers to hold client funds in segregated client accounts, subject to the professional and fiduciary duties set forth in the Lawyers' Code and the Egyptian Bar Association by-laws.</w:t>
      </w:r>
    </w:p>
    <w:p>
      <w:pPr>
        <w:spacing w:after="140" w:line="312"/>
        <w:ind w:left="720" w:hanging="540"/>
        <w:jc w:val="both"/>
      </w:pPr>
      <w:r>
        <w:rPr>
          <w:rFonts w:ascii="Calibri" w:eastAsia="Microsoft YaHei"/>
          <w:b/>
          <w:bCs/>
          <w:color w:val="0F2027"/>
          <w:sz w:val="22"/>
          <w:szCs w:val="22"/>
        </w:rPr>
        <w:t xml:space="preserve">6.2	</w:t>
      </w:r>
      <w:r>
        <w:rPr>
          <w:rFonts w:ascii="Calibri" w:eastAsia="Microsoft YaHei"/>
          <w:color w:val="000000"/>
          <w:sz w:val="22"/>
          <w:szCs w:val="22"/>
        </w:rPr>
        <w:t xml:space="preserve">Companies Law. This Amendment is consistent with Companies Law No. 159 of 1981, which governs the formation and governance of Egyptian limited-liability companies and joint-stock companies onboarded onto the AURIENTA platform.</w:t>
      </w:r>
    </w:p>
    <w:p>
      <w:pPr>
        <w:spacing w:after="140" w:line="312"/>
        <w:ind w:left="720" w:hanging="540"/>
        <w:jc w:val="both"/>
      </w:pPr>
      <w:r>
        <w:rPr>
          <w:rFonts w:ascii="Calibri" w:eastAsia="Microsoft YaHei"/>
          <w:b/>
          <w:bCs/>
          <w:color w:val="0F2027"/>
          <w:sz w:val="22"/>
          <w:szCs w:val="22"/>
        </w:rPr>
        <w:t xml:space="preserve">6.3	</w:t>
      </w:r>
      <w:r>
        <w:rPr>
          <w:rFonts w:ascii="Calibri" w:eastAsia="Microsoft YaHei"/>
          <w:color w:val="000000"/>
          <w:sz w:val="22"/>
          <w:szCs w:val="22"/>
        </w:rPr>
        <w:t xml:space="preserve">FRA No-Action Letter. This Amendment is consistent with, and depends upon, the FRA No-Action Letter classifying AURIENTA as technology, governance, and matchmaking infrastructure (and not as a crowdfunding platform, broker, custodian, or financial intermediary). The Constitutional Office shall maintain the No-Action Letter in good standing, and shall promptly notify Constitutional Partners of any modification, withdrawal, or reconsideration by the FRA.</w:t>
      </w:r>
    </w:p>
    <w:p>
      <w:pPr>
        <w:spacing w:after="140" w:line="312"/>
        <w:ind w:left="720" w:hanging="540"/>
        <w:jc w:val="both"/>
      </w:pPr>
      <w:r>
        <w:rPr>
          <w:rFonts w:ascii="Calibri" w:eastAsia="Microsoft YaHei"/>
          <w:b/>
          <w:bCs/>
          <w:color w:val="0F2027"/>
          <w:sz w:val="22"/>
          <w:szCs w:val="22"/>
        </w:rPr>
        <w:t xml:space="preserve">6.4	</w:t>
      </w:r>
      <w:r>
        <w:rPr>
          <w:rFonts w:ascii="Calibri" w:eastAsia="Microsoft YaHei"/>
          <w:color w:val="000000"/>
          <w:sz w:val="22"/>
          <w:szCs w:val="22"/>
        </w:rPr>
        <w:t xml:space="preserve">ESAA Framework. This Amendment relies upon the Egyptian Society of Accountants and Auditors (ESAA) framework for the certification, independence, and quality-control standards applicable to the Accounting Firm's Evidence Verification function.</w:t>
      </w:r>
    </w:p>
    <w:p>
      <w:pPr>
        <w:spacing w:after="140" w:line="312"/>
        <w:ind w:left="720" w:hanging="540"/>
        <w:jc w:val="both"/>
      </w:pPr>
      <w:r>
        <w:rPr>
          <w:rFonts w:ascii="Calibri" w:eastAsia="Microsoft YaHei"/>
          <w:b/>
          <w:bCs/>
          <w:color w:val="0F2027"/>
          <w:sz w:val="22"/>
          <w:szCs w:val="22"/>
        </w:rPr>
        <w:t xml:space="preserve">6.5	</w:t>
      </w:r>
      <w:r>
        <w:rPr>
          <w:rFonts w:ascii="Calibri" w:eastAsia="Microsoft YaHei"/>
          <w:color w:val="000000"/>
          <w:sz w:val="22"/>
          <w:szCs w:val="22"/>
        </w:rPr>
        <w:t xml:space="preserve">No Conflict. The Constitutional Office has reviewed the Amendment against the Egyptian Lawyers' Code, Companies Law, the FRA No-Action Letter, and ESAA by-laws, and has determined that the Amendment does not conflict with any of them. Should any future Egyptian legislative or regulatory change cause a conflict, the Constitutional Office shall promptly propose a further constitutional amendment to restore compliance.</w:t>
      </w:r>
    </w:p>
    <w:p>
      <w:pPr>
        <w:spacing w:after="60" w:before="420"/>
        <w:jc w:val="center"/>
      </w:pPr>
      <w:r>
        <w:rPr>
          <w:rFonts w:ascii="Calibri" w:eastAsia="Microsoft YaHei"/>
          <w:b/>
          <w:bCs/>
          <w:color w:val="0F2027"/>
          <w:spacing w:val="30"/>
          <w:sz w:val="28"/>
          <w:szCs w:val="28"/>
        </w:rPr>
        <w:t xml:space="preserve">ARTICLE VII</w:t>
      </w:r>
    </w:p>
    <w:p>
      <w:pPr>
        <w:pBdr>
          <w:bottom w:val="single" w:color="D4AF37" w:sz="8" w:space="6"/>
        </w:pBdr>
        <w:spacing w:after="220"/>
        <w:jc w:val="center"/>
      </w:pPr>
      <w:r>
        <w:rPr>
          <w:rFonts w:ascii="Calibri" w:eastAsia="Microsoft YaHei"/>
          <w:b/>
          <w:bCs/>
          <w:color w:val="B8860B"/>
          <w:spacing w:val="20"/>
          <w:sz w:val="22"/>
          <w:szCs w:val="22"/>
        </w:rPr>
        <w:t xml:space="preserve">ZERO CUSTODY PRESERVATION</w:t>
      </w:r>
    </w:p>
    <w:p>
      <w:pPr>
        <w:spacing w:after="140" w:line="312"/>
        <w:ind w:left="720" w:hanging="540"/>
        <w:jc w:val="both"/>
      </w:pPr>
      <w:r>
        <w:rPr>
          <w:rFonts w:ascii="Calibri" w:eastAsia="Microsoft YaHei"/>
          <w:b/>
          <w:bCs/>
          <w:color w:val="0F2027"/>
          <w:sz w:val="22"/>
          <w:szCs w:val="22"/>
        </w:rPr>
        <w:t xml:space="preserve">7.1	</w:t>
      </w:r>
      <w:r>
        <w:rPr>
          <w:rFonts w:ascii="Calibri" w:eastAsia="Microsoft YaHei"/>
          <w:color w:val="000000"/>
          <w:sz w:val="22"/>
          <w:szCs w:val="22"/>
        </w:rPr>
        <w:t xml:space="preserve">Non-Amendable Invariant. The Zero Custody rule — that AURIENTA never holds, touches, or controls any capital partner funds at any point in the fund flow — is hereby reaffirmed as a non-amendable constitutional invariant of the platform. Nothing in this Amendment, and nothing in any future amendment, shall be construed to impose any custodial, holding, or control obligation on AURIENTA.</w:t>
      </w:r>
    </w:p>
    <w:p>
      <w:pPr>
        <w:spacing w:after="140" w:line="312"/>
        <w:ind w:left="720" w:hanging="540"/>
        <w:jc w:val="both"/>
      </w:pPr>
      <w:r>
        <w:rPr>
          <w:rFonts w:ascii="Calibri" w:eastAsia="Microsoft YaHei"/>
          <w:b/>
          <w:bCs/>
          <w:color w:val="0F2027"/>
          <w:sz w:val="22"/>
          <w:szCs w:val="22"/>
        </w:rPr>
        <w:t xml:space="preserve">7.2	</w:t>
      </w:r>
      <w:r>
        <w:rPr>
          <w:rFonts w:ascii="Calibri" w:eastAsia="Microsoft YaHei"/>
          <w:color w:val="000000"/>
          <w:sz w:val="22"/>
          <w:szCs w:val="22"/>
        </w:rPr>
        <w:t xml:space="preserve">Conformance. The Direct Law-Firm Transfer Model established by this Amendment is in conformance with the Zero Custody rule: capital flows from the Capital Partner directly to the Law Firm Client Account, is held by the Law Firm under Article 47 of the Lawyers' Code, and is released by the Law Firm upon dual authorization — without AURIENTA ever holding, touching, or controlling any capital partner funds.</w:t>
      </w:r>
    </w:p>
    <w:p>
      <w:pPr>
        <w:spacing w:after="140" w:line="312"/>
        <w:ind w:left="720" w:hanging="540"/>
        <w:jc w:val="both"/>
      </w:pPr>
      <w:r>
        <w:rPr>
          <w:rFonts w:ascii="Calibri" w:eastAsia="Microsoft YaHei"/>
          <w:b/>
          <w:bCs/>
          <w:color w:val="0F2027"/>
          <w:sz w:val="22"/>
          <w:szCs w:val="22"/>
        </w:rPr>
        <w:t xml:space="preserve">7.3	</w:t>
      </w:r>
      <w:r>
        <w:rPr>
          <w:rFonts w:ascii="Calibri" w:eastAsia="Microsoft YaHei"/>
          <w:color w:val="000000"/>
          <w:sz w:val="22"/>
          <w:szCs w:val="22"/>
        </w:rPr>
        <w:t xml:space="preserve">Non-Amendable in Part. The direct-transfer requirement established by this Amendment is non-amendable and may not be reverted to an AURIENTA-held escrow model. The Constitutional Partners expressly waive their right to propose, vote upon, or adopt any future amendment that would restore a platform-held escrow, custody, or intermediary capital-handling construct. Any such proposed amendment shall be deemed facially unconstitutional and shall be rejected by the CRE without submission to a vote.</w:t>
      </w:r>
    </w:p>
    <w:p>
      <w:pPr>
        <w:spacing w:after="140" w:line="312"/>
        <w:ind w:left="720" w:hanging="540"/>
        <w:jc w:val="both"/>
      </w:pPr>
      <w:r>
        <w:rPr>
          <w:rFonts w:ascii="Calibri" w:eastAsia="Microsoft YaHei"/>
          <w:b/>
          <w:bCs/>
          <w:color w:val="0F2027"/>
          <w:sz w:val="22"/>
          <w:szCs w:val="22"/>
        </w:rPr>
        <w:t xml:space="preserve">7.4	</w:t>
      </w:r>
      <w:r>
        <w:rPr>
          <w:rFonts w:ascii="Calibri" w:eastAsia="Microsoft YaHei"/>
          <w:color w:val="000000"/>
          <w:sz w:val="22"/>
          <w:szCs w:val="22"/>
        </w:rPr>
        <w:t xml:space="preserve">Limited Permitted Amendments. Notwithstanding Article VII.3, the Constitutional Partners retain the right to propose amendments that (a) refine the operational details of the Direct Law-Firm Transfer Model, (b) update references to Egyptian legislation as such legislation is amended, (c) add additional safeguards to the Dual-Authorization Protocol, or (d) adjust the fee allocation between the Law Firm, the Accounting Firm, and AURIENTA — provided that no such amendment shall cause AURIENTA to hold, touch, or control any capital partner funds.</w:t>
      </w:r>
    </w:p>
    <w:p>
      <w:pPr>
        <w:spacing w:after="60" w:before="420"/>
        <w:jc w:val="center"/>
      </w:pPr>
      <w:r>
        <w:rPr>
          <w:rFonts w:ascii="Calibri" w:eastAsia="Microsoft YaHei"/>
          <w:b/>
          <w:bCs/>
          <w:color w:val="0F2027"/>
          <w:spacing w:val="30"/>
          <w:sz w:val="28"/>
          <w:szCs w:val="28"/>
        </w:rPr>
        <w:t xml:space="preserve">ARTICLE VIII</w:t>
      </w:r>
    </w:p>
    <w:p>
      <w:pPr>
        <w:pBdr>
          <w:bottom w:val="single" w:color="D4AF37" w:sz="8" w:space="6"/>
        </w:pBdr>
        <w:spacing w:after="220"/>
        <w:jc w:val="center"/>
      </w:pPr>
      <w:r>
        <w:rPr>
          <w:rFonts w:ascii="Calibri" w:eastAsia="Microsoft YaHei"/>
          <w:b/>
          <w:bCs/>
          <w:color w:val="B8860B"/>
          <w:spacing w:val="20"/>
          <w:sz w:val="22"/>
          <w:szCs w:val="22"/>
        </w:rPr>
        <w:t xml:space="preserve">TRANSITION PROVISIONS</w:t>
      </w:r>
    </w:p>
    <w:p>
      <w:pPr>
        <w:spacing w:after="140" w:line="312"/>
        <w:ind w:left="720" w:hanging="540"/>
        <w:jc w:val="both"/>
      </w:pPr>
      <w:r>
        <w:rPr>
          <w:rFonts w:ascii="Calibri" w:eastAsia="Microsoft YaHei"/>
          <w:b/>
          <w:bCs/>
          <w:color w:val="0F2027"/>
          <w:sz w:val="22"/>
          <w:szCs w:val="22"/>
        </w:rPr>
        <w:t xml:space="preserve">8.1	</w:t>
      </w:r>
      <w:r>
        <w:rPr>
          <w:rFonts w:ascii="Calibri" w:eastAsia="Microsoft YaHei"/>
          <w:color w:val="000000"/>
          <w:sz w:val="22"/>
          <w:szCs w:val="22"/>
        </w:rPr>
        <w:t xml:space="preserve">Effective Date. This Amendment shall become effective upon the date on which the 75% supermajority threshold is reached (the "Effective Date"). The CRE shall record the Effective Date and the final vote tally on the immutable ledger.</w:t>
      </w:r>
    </w:p>
    <w:p>
      <w:pPr>
        <w:spacing w:after="140" w:line="312"/>
        <w:ind w:left="720" w:hanging="540"/>
        <w:jc w:val="both"/>
      </w:pPr>
      <w:r>
        <w:rPr>
          <w:rFonts w:ascii="Calibri" w:eastAsia="Microsoft YaHei"/>
          <w:b/>
          <w:bCs/>
          <w:color w:val="0F2027"/>
          <w:sz w:val="22"/>
          <w:szCs w:val="22"/>
        </w:rPr>
        <w:t xml:space="preserve">8.2	</w:t>
      </w:r>
      <w:r>
        <w:rPr>
          <w:rFonts w:ascii="Calibri" w:eastAsia="Microsoft YaHei"/>
          <w:color w:val="000000"/>
          <w:sz w:val="22"/>
          <w:szCs w:val="22"/>
        </w:rPr>
        <w:t xml:space="preserve">Existing Enterprises. Enterprises onboarded prior to the Effective Date shall transition to the Direct Law-Firm Transfer Model within ninety (90) days of the Effective Date. During the transition period, any capital partner funds held in a pre-existing escrow construct shall be transferred to a Law Firm Client Account in accordance with a transition plan approved by the Constitutional Office. No new capital partner contributions shall be accepted into a pre-existing escrow construct after the Effective Date.</w:t>
      </w:r>
    </w:p>
    <w:p>
      <w:pPr>
        <w:spacing w:after="140" w:line="312"/>
        <w:ind w:left="720" w:hanging="540"/>
        <w:jc w:val="both"/>
      </w:pPr>
      <w:r>
        <w:rPr>
          <w:rFonts w:ascii="Calibri" w:eastAsia="Microsoft YaHei"/>
          <w:b/>
          <w:bCs/>
          <w:color w:val="0F2027"/>
          <w:sz w:val="22"/>
          <w:szCs w:val="22"/>
        </w:rPr>
        <w:t xml:space="preserve">8.3	</w:t>
      </w:r>
      <w:r>
        <w:rPr>
          <w:rFonts w:ascii="Calibri" w:eastAsia="Microsoft YaHei"/>
          <w:color w:val="000000"/>
          <w:sz w:val="22"/>
          <w:szCs w:val="22"/>
        </w:rPr>
        <w:t xml:space="preserve">Existing Agreements. Any law firm engagement, accounting firm engagement, or ancillary agreement in effect prior to the Effective Date shall be conformed to this Amendment within the 90-day transition period. The Constitutional Office shall publish a conformance checklist to the immutable ledger.</w:t>
      </w:r>
    </w:p>
    <w:p>
      <w:pPr>
        <w:spacing w:after="140" w:line="312"/>
        <w:ind w:left="720" w:hanging="540"/>
        <w:jc w:val="both"/>
      </w:pPr>
      <w:r>
        <w:rPr>
          <w:rFonts w:ascii="Calibri" w:eastAsia="Microsoft YaHei"/>
          <w:b/>
          <w:bCs/>
          <w:color w:val="0F2027"/>
          <w:sz w:val="22"/>
          <w:szCs w:val="22"/>
        </w:rPr>
        <w:t xml:space="preserve">8.4	</w:t>
      </w:r>
      <w:r>
        <w:rPr>
          <w:rFonts w:ascii="Calibri" w:eastAsia="Microsoft YaHei"/>
          <w:color w:val="000000"/>
          <w:sz w:val="22"/>
          <w:szCs w:val="22"/>
        </w:rPr>
        <w:t xml:space="preserve">No Disruption. The transition shall not disrupt any Enterprise's operations, any pending milestone release, or any Capital Partner's rights. Pending milestone releases shall be completed under the prior architecture and any subsequent release shall follow the Direct Law-Firm Transfer Model.</w:t>
      </w:r>
    </w:p>
    <w:p>
      <w:pPr>
        <w:spacing w:after="60" w:before="420"/>
        <w:jc w:val="center"/>
      </w:pPr>
      <w:r>
        <w:rPr>
          <w:rFonts w:ascii="Calibri" w:eastAsia="Microsoft YaHei"/>
          <w:b/>
          <w:bCs/>
          <w:color w:val="0F2027"/>
          <w:spacing w:val="30"/>
          <w:sz w:val="28"/>
          <w:szCs w:val="28"/>
        </w:rPr>
        <w:t xml:space="preserve">ARTICLE IX</w:t>
      </w:r>
    </w:p>
    <w:p>
      <w:pPr>
        <w:pBdr>
          <w:bottom w:val="single" w:color="D4AF37" w:sz="8" w:space="6"/>
        </w:pBdr>
        <w:spacing w:after="220"/>
        <w:jc w:val="center"/>
      </w:pPr>
      <w:r>
        <w:rPr>
          <w:rFonts w:ascii="Calibri" w:eastAsia="Microsoft YaHei"/>
          <w:b/>
          <w:bCs/>
          <w:color w:val="B8860B"/>
          <w:spacing w:val="20"/>
          <w:sz w:val="22"/>
          <w:szCs w:val="22"/>
        </w:rPr>
        <w:t xml:space="preserve">RE-SIGNING OF THE CONSTITUTIONAL HASH</w:t>
      </w:r>
    </w:p>
    <w:p>
      <w:pPr>
        <w:spacing w:after="140" w:line="312"/>
        <w:ind w:left="720" w:hanging="540"/>
        <w:jc w:val="both"/>
      </w:pPr>
      <w:r>
        <w:rPr>
          <w:rFonts w:ascii="Calibri" w:eastAsia="Microsoft YaHei"/>
          <w:b/>
          <w:bCs/>
          <w:color w:val="0F2027"/>
          <w:sz w:val="22"/>
          <w:szCs w:val="22"/>
        </w:rPr>
        <w:t xml:space="preserve">9.1	</w:t>
      </w:r>
      <w:r>
        <w:rPr>
          <w:rFonts w:ascii="Calibri" w:eastAsia="Microsoft YaHei"/>
          <w:color w:val="000000"/>
          <w:sz w:val="22"/>
          <w:szCs w:val="22"/>
        </w:rPr>
        <w:t xml:space="preserve">Re-Signing. Upon the Effective Date, the Constitutional Office shall re-sign the constitutional hash to reflect the adoption of this Amendment. The new constitutional hash shall be 0xA9C7E1D4F0B3A825E6F1C9D2B7E4A0C3F6D8B1E5A2 (the "Amendment Hash").</w:t>
      </w:r>
    </w:p>
    <w:p>
      <w:pPr>
        <w:spacing w:after="140" w:line="312"/>
        <w:ind w:left="720" w:hanging="540"/>
        <w:jc w:val="both"/>
      </w:pPr>
      <w:r>
        <w:rPr>
          <w:rFonts w:ascii="Calibri" w:eastAsia="Microsoft YaHei"/>
          <w:b/>
          <w:bCs/>
          <w:color w:val="0F2027"/>
          <w:sz w:val="22"/>
          <w:szCs w:val="22"/>
        </w:rPr>
        <w:t xml:space="preserve">9.2	</w:t>
      </w:r>
      <w:r>
        <w:rPr>
          <w:rFonts w:ascii="Calibri" w:eastAsia="Microsoft YaHei"/>
          <w:color w:val="000000"/>
          <w:sz w:val="22"/>
          <w:szCs w:val="22"/>
        </w:rPr>
        <w:t xml:space="preserve">Signature Preservation. All prior signatures on the constitutional hash (the Root Hash 0xB4F8D3E2F6A0B5D9E7F2A1C4B8E3D6A0F2C5B9E7D1A) shall be preserved on the immutable ledger and shall remain verifiable. The Amendment Hash shall incorporate, by cryptographic reference, the Root Hash and all prior amendments (I through VIII).</w:t>
      </w:r>
    </w:p>
    <w:p>
      <w:pPr>
        <w:spacing w:after="140" w:line="312"/>
        <w:ind w:left="720" w:hanging="540"/>
        <w:jc w:val="both"/>
      </w:pPr>
      <w:r>
        <w:rPr>
          <w:rFonts w:ascii="Calibri" w:eastAsia="Microsoft YaHei"/>
          <w:b/>
          <w:bCs/>
          <w:color w:val="0F2027"/>
          <w:sz w:val="22"/>
          <w:szCs w:val="22"/>
        </w:rPr>
        <w:t xml:space="preserve">9.3	</w:t>
      </w:r>
      <w:r>
        <w:rPr>
          <w:rFonts w:ascii="Calibri" w:eastAsia="Microsoft YaHei"/>
          <w:color w:val="000000"/>
          <w:sz w:val="22"/>
          <w:szCs w:val="22"/>
        </w:rPr>
        <w:t xml:space="preserve">CRE Re-Anchoring. The CRE shall be re-anchored to the Amendment Hash within twenty-four (24) hours of the Effective Date. All policy decisions issued by the CRE after re-anchoring shall bear the Amendment Hash as their constitutional reference.</w:t>
      </w:r>
    </w:p>
    <w:p>
      <w:pPr>
        <w:spacing w:after="140" w:line="312"/>
        <w:ind w:left="720" w:hanging="540"/>
        <w:jc w:val="both"/>
      </w:pPr>
      <w:r>
        <w:rPr>
          <w:rFonts w:ascii="Calibri" w:eastAsia="Microsoft YaHei"/>
          <w:b/>
          <w:bCs/>
          <w:color w:val="0F2027"/>
          <w:sz w:val="22"/>
          <w:szCs w:val="22"/>
        </w:rPr>
        <w:t xml:space="preserve">9.4	</w:t>
      </w:r>
      <w:r>
        <w:rPr>
          <w:rFonts w:ascii="Calibri" w:eastAsia="Microsoft YaHei"/>
          <w:color w:val="000000"/>
          <w:sz w:val="22"/>
          <w:szCs w:val="22"/>
        </w:rPr>
        <w:t xml:space="preserve">Public Verification. The Amendment Hash, the full text of this Amendment, the final vote tally, and the signatures of all Constitutional Partners voting in favor shall be published to the immutable ledger and to a public verification endpoint. Any third party may verify the Amendment's adoption at any time.</w:t>
      </w:r>
    </w:p>
    <w:p>
      <w:pPr>
        <w:spacing w:after="140" w:line="312"/>
        <w:ind w:left="720" w:hanging="540"/>
        <w:jc w:val="both"/>
      </w:pPr>
      <w:r>
        <w:rPr>
          <w:rFonts w:ascii="Calibri" w:eastAsia="Microsoft YaHei"/>
          <w:b/>
          <w:bCs/>
          <w:color w:val="0F2027"/>
          <w:sz w:val="22"/>
          <w:szCs w:val="22"/>
        </w:rPr>
        <w:t xml:space="preserve">9.5	</w:t>
      </w:r>
      <w:r>
        <w:rPr>
          <w:rFonts w:ascii="Calibri" w:eastAsia="Microsoft YaHei"/>
          <w:color w:val="000000"/>
          <w:sz w:val="22"/>
          <w:szCs w:val="22"/>
        </w:rPr>
        <w:t xml:space="preserve">No Retroactive Effect. The Amendment shall have no retroactive effect on prior constitutional decisions, ledger entries, or partner rights. All such prior acts shall remain valid and enforceable under the Charter as it existed at the time of the act.</w:t>
      </w:r>
    </w:p>
    <w:p>
      <w:pPr>
        <w:spacing w:after="60" w:before="420"/>
        <w:jc w:val="center"/>
      </w:pPr>
      <w:r>
        <w:rPr>
          <w:rFonts w:ascii="Calibri" w:eastAsia="Microsoft YaHei"/>
          <w:b/>
          <w:bCs/>
          <w:color w:val="0F2027"/>
          <w:spacing w:val="30"/>
          <w:sz w:val="28"/>
          <w:szCs w:val="28"/>
        </w:rPr>
        <w:t xml:space="preserve">ARTICLE X</w:t>
      </w:r>
    </w:p>
    <w:p>
      <w:pPr>
        <w:pBdr>
          <w:bottom w:val="single" w:color="D4AF37" w:sz="8" w:space="6"/>
        </w:pBdr>
        <w:spacing w:after="220"/>
        <w:jc w:val="center"/>
      </w:pPr>
      <w:r>
        <w:rPr>
          <w:rFonts w:ascii="Calibri" w:eastAsia="Microsoft YaHei"/>
          <w:b/>
          <w:bCs/>
          <w:color w:val="B8860B"/>
          <w:spacing w:val="20"/>
          <w:sz w:val="22"/>
          <w:szCs w:val="22"/>
        </w:rPr>
        <w:t xml:space="preserve">RATIFICATION AND CERTIFICATION</w:t>
      </w:r>
    </w:p>
    <w:p>
      <w:pPr>
        <w:spacing w:after="140" w:line="312"/>
        <w:ind w:left="720" w:hanging="540"/>
        <w:jc w:val="both"/>
      </w:pPr>
      <w:r>
        <w:rPr>
          <w:rFonts w:ascii="Calibri" w:eastAsia="Microsoft YaHei"/>
          <w:b/>
          <w:bCs/>
          <w:color w:val="0F2027"/>
          <w:sz w:val="22"/>
          <w:szCs w:val="22"/>
        </w:rPr>
        <w:t xml:space="preserve">10.1	</w:t>
      </w:r>
      <w:r>
        <w:rPr>
          <w:rFonts w:ascii="Calibri" w:eastAsia="Microsoft YaHei"/>
          <w:color w:val="000000"/>
          <w:sz w:val="22"/>
          <w:szCs w:val="22"/>
        </w:rPr>
        <w:t xml:space="preserve">Ratification. The Constitutional Partners, having voted in favor of this Amendment by the requisite 75% supermajority, hereby ratify this Amendment as a valid and binding part of the AURIENTA Constitutional Charter.</w:t>
      </w:r>
    </w:p>
    <w:p>
      <w:pPr>
        <w:spacing w:after="140" w:line="312"/>
        <w:ind w:left="720" w:hanging="540"/>
        <w:jc w:val="both"/>
      </w:pPr>
      <w:r>
        <w:rPr>
          <w:rFonts w:ascii="Calibri" w:eastAsia="Microsoft YaHei"/>
          <w:b/>
          <w:bCs/>
          <w:color w:val="0F2027"/>
          <w:sz w:val="22"/>
          <w:szCs w:val="22"/>
        </w:rPr>
        <w:t xml:space="preserve">10.2	</w:t>
      </w:r>
      <w:r>
        <w:rPr>
          <w:rFonts w:ascii="Calibri" w:eastAsia="Microsoft YaHei"/>
          <w:color w:val="000000"/>
          <w:sz w:val="22"/>
          <w:szCs w:val="22"/>
        </w:rPr>
        <w:t xml:space="preserve">Certification. The Constitutional Office hereby certifies that the procedures set forth in Article V of the Charter — including the 90-day cooling period, the 14-day voting period, the 75% supermajority threshold, and the real-time CRE vote-tallying — have been observed in the adoption of this Amendment.</w:t>
      </w:r>
    </w:p>
    <w:p>
      <w:pPr>
        <w:spacing w:after="140" w:line="312"/>
        <w:ind w:left="720" w:hanging="540"/>
        <w:jc w:val="both"/>
      </w:pPr>
      <w:r>
        <w:rPr>
          <w:rFonts w:ascii="Calibri" w:eastAsia="Microsoft YaHei"/>
          <w:b/>
          <w:bCs/>
          <w:color w:val="0F2027"/>
          <w:sz w:val="22"/>
          <w:szCs w:val="22"/>
        </w:rPr>
        <w:t xml:space="preserve">10.3	</w:t>
      </w:r>
      <w:r>
        <w:rPr>
          <w:rFonts w:ascii="Calibri" w:eastAsia="Microsoft YaHei"/>
          <w:color w:val="000000"/>
          <w:sz w:val="22"/>
          <w:szCs w:val="22"/>
        </w:rPr>
        <w:t xml:space="preserve">Publication. This Amendment, in its full text, together with the final vote tally and the Amendment Hash, shall be published to the immutable ledger and made publicly accessible at the AURIENTA Constitutional Office.</w:t>
      </w:r>
    </w:p>
    <w:p>
      <w:pPr>
        <w:pBdr>
          <w:bottom w:val="single" w:color="D4AF37" w:sz="6" w:space="6"/>
        </w:pBdr>
        <w:spacing w:after="200" w:before="200"/>
        <w:jc w:val="center"/>
      </w:pPr>
      <w:r>
        <w:rPr>
          <w:rFonts w:ascii="Calibri" w:eastAsia="Microsoft YaHei"/>
          <w:color w:val="D4AF37"/>
          <w:sz w:val="18"/>
          <w:szCs w:val="18"/>
        </w:rPr>
        <w:t xml:space="preserve">§ § §</w:t>
      </w:r>
    </w:p>
    <w:p>
      <w:pPr>
        <w:spacing w:after="200" w:before="200"/>
        <w:jc w:val="center"/>
      </w:pPr>
      <w:r>
        <w:rPr>
          <w:rFonts w:ascii="Calibri" w:eastAsia="Microsoft YaHei"/>
          <w:b/>
          <w:bCs/>
          <w:color w:val="0F2027"/>
          <w:spacing w:val="60"/>
          <w:sz w:val="26"/>
          <w:szCs w:val="26"/>
        </w:rPr>
        <w:t xml:space="preserve">CERTIFICATION PAGE</w:t>
      </w:r>
    </w:p>
    <w:p>
      <w:pPr>
        <w:spacing w:after="320" w:line="312"/>
        <w:jc w:val="both"/>
      </w:pPr>
      <w:r>
        <w:rPr>
          <w:rFonts w:ascii="Calibri" w:eastAsia="Microsoft YaHei"/>
          <w:color w:val="000000"/>
          <w:sz w:val="22"/>
          <w:szCs w:val="22"/>
        </w:rPr>
        <w:t xml:space="preserve">IN WITNESS WHEREOF, the Constitutional Office, on behalf of the Constitutional Partners of AURIENTA, has certified the adoption of this Amendment IX to the Constitutional Charter in accordance with Article V of the Charter.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val="false"/>
        </w:trPr>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AURIENTA CONSTITUTIONAL OFFICE</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Layla Mostafa</w:t>
            </w:r>
          </w:p>
          <w:p>
            <w:pPr>
              <w:spacing w:after="40"/>
            </w:pPr>
            <w:r>
              <w:rPr>
                <w:rFonts w:ascii="Calibri" w:eastAsia="Microsoft YaHei"/>
                <w:color w:val="000000"/>
                <w:sz w:val="20"/>
                <w:szCs w:val="20"/>
              </w:rPr>
              <w:t xml:space="preserve">Title: Constitutional Officer</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AURIENTA Representative</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CRE SIGNATORY NODE</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[CRE Node Identifier]</w:t>
            </w:r>
          </w:p>
          <w:p>
            <w:pPr>
              <w:spacing w:after="40"/>
            </w:pPr>
            <w:r>
              <w:rPr>
                <w:rFonts w:ascii="Calibri" w:eastAsia="Microsoft YaHei"/>
                <w:color w:val="000000"/>
                <w:sz w:val="20"/>
                <w:szCs w:val="20"/>
              </w:rPr>
              <w:t xml:space="preserve">Title: CRE Witness</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Hash-Anchored</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CONSTITUTIONAL PARTNERS</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[Tally Witness]</w:t>
            </w:r>
          </w:p>
          <w:p>
            <w:pPr>
              <w:spacing w:after="40"/>
            </w:pPr>
            <w:r>
              <w:rPr>
                <w:rFonts w:ascii="Calibri" w:eastAsia="Microsoft YaHei"/>
                <w:color w:val="000000"/>
                <w:sz w:val="20"/>
                <w:szCs w:val="20"/>
              </w:rPr>
              <w:t xml:space="preserve">Title: 75% Supermajority</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Ledger-Recorded</w:t>
            </w:r>
          </w:p>
        </w:tc>
      </w:tr>
    </w:tbl>
    <w:p>
      <w:pPr>
        <w:spacing w:before="240"/>
      </w:pPr>
    </w:p>
    <w:p>
      <w:pPr>
        <w:pStyle w:val="Heading3"/>
        <w:spacing w:after="120" w:before="240"/>
      </w:pPr>
      <w:r>
        <w:rPr>
          <w:rFonts w:ascii="Calibri" w:eastAsia="Microsoft YaHei"/>
          <w:b/>
          <w:bCs/>
          <w:color w:val="B8860B"/>
          <w:sz w:val="24"/>
          <w:szCs w:val="24"/>
        </w:rPr>
        <w:t xml:space="preserve">APPENDIX A — DEFINITIONAL CROSSWALK</w:t>
      </w:r>
    </w:p>
    <w:p>
      <w:pPr>
        <w:spacing w:after="120" w:line="312"/>
        <w:ind w:firstLine="360"/>
        <w:jc w:val="both"/>
      </w:pPr>
      <w:r>
        <w:rPr>
          <w:rFonts w:ascii="Calibri" w:eastAsia="Microsoft YaHei"/>
          <w:color w:val="000000"/>
          <w:sz w:val="22"/>
          <w:szCs w:val="22"/>
        </w:rPr>
        <w:t xml:space="preserve">The following table crosswalks the pre-Amendment and post-Amendment terminology. Where the Charter (prior to this Amendment) used the term in the left column, the Charter (as amended by this Amendment) shall use the term in the right column, with corresponding grammatical adjustments:</w:t>
      </w:r>
    </w:p>
    <w:tbl>
      <w:tblPr>
        <w:tblW w:type="pct" w:w="100%"/>
        <w:tblBorders>
          <w:top w:val="single" w:color="D6D6D6" w:sz="6"/>
          <w:left w:val="single" w:color="D6D6D6" w:sz="4"/>
          <w:bottom w:val="single" w:color="D6D6D6" w:sz="6"/>
          <w:right w:val="single" w:color="D6D6D6" w:sz="4"/>
          <w:insideH w:val="single" w:color="D6D6D6" w:sz="4"/>
          <w:insideV w:val="single" w:color="D6D6D6" w:sz="4"/>
        </w:tblBorders>
        <w:tblLayout w:type="fixed"/>
      </w:tblPr>
      <w:tblGrid>
        <w:gridCol w:w="100"/>
        <w:gridCol w:w="100"/>
      </w:tblGrid>
      <w:tr>
        <w:trPr>
          <w:cantSplit/>
          <w:tblHeader/>
        </w:trPr>
        <w:tc>
          <w:tcPr>
            <w:tcW w:type="pct" w:w="5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Pre-Amendment Term</w:t>
            </w:r>
          </w:p>
        </w:tc>
        <w:tc>
          <w:tcPr>
            <w:tcW w:type="pct" w:w="50%"/>
            <w:shd w:fill="0F2027" w:val="clear"/>
            <w:tcMar>
              <w:top w:type="dxa" w:w="100"/>
              <w:left w:type="dxa" w:w="120"/>
              <w:bottom w:type="dxa" w:w="100"/>
              <w:right w:type="dxa" w:w="120"/>
            </w:tcMar>
            <w:vAlign w:val="center"/>
          </w:tcPr>
          <w:p>
            <w:pPr>
              <w:spacing w:after="0" w:line="260"/>
              <w:jc w:val="center"/>
            </w:pPr>
            <w:r>
              <w:rPr>
                <w:rFonts w:ascii="Calibri" w:eastAsia="Microsoft YaHei"/>
                <w:b/>
                <w:bCs/>
                <w:color w:val="FFFFFF"/>
                <w:sz w:val="18"/>
                <w:szCs w:val="18"/>
              </w:rPr>
              <w:t xml:space="preserve">Post-Amendment Term</w:t>
            </w:r>
          </w:p>
        </w:tc>
      </w:tr>
      <w:tr>
        <w:trPr>
          <w:cantSplit/>
        </w:trPr>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 Escrow Vault</w:t>
            </w:r>
          </w:p>
        </w:tc>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Client Account</w:t>
            </w:r>
          </w:p>
        </w:tc>
      </w:tr>
      <w:tr>
        <w:trPr>
          <w:cantSplit/>
        </w:trPr>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Vault</w:t>
            </w:r>
          </w:p>
        </w:tc>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Client Account</w:t>
            </w:r>
          </w:p>
        </w:tc>
      </w:tr>
      <w:tr>
        <w:trPr>
          <w:cantSplit/>
        </w:trPr>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The Vault</w:t>
            </w:r>
          </w:p>
        </w:tc>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The Law Firm Client Account</w:t>
            </w:r>
          </w:p>
        </w:tc>
      </w:tr>
      <w:tr>
        <w:trPr>
          <w:cantSplit/>
        </w:trPr>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Constitutional Escrow</w:t>
            </w:r>
          </w:p>
        </w:tc>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Client Account</w:t>
            </w:r>
          </w:p>
        </w:tc>
      </w:tr>
      <w:tr>
        <w:trPr>
          <w:cantSplit/>
        </w:trPr>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Platform-managed escrow</w:t>
            </w:r>
          </w:p>
        </w:tc>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Firm-held Client Account</w:t>
            </w:r>
          </w:p>
        </w:tc>
      </w:tr>
      <w:tr>
        <w:trPr>
          <w:cantSplit/>
        </w:trPr>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agent</w:t>
            </w:r>
          </w:p>
        </w:tc>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(under Article 47 of the Lawyers' Code)</w:t>
            </w:r>
          </w:p>
        </w:tc>
      </w:tr>
      <w:tr>
        <w:trPr>
          <w:cantSplit/>
        </w:trPr>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account</w:t>
            </w:r>
          </w:p>
        </w:tc>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Client Account</w:t>
            </w:r>
          </w:p>
        </w:tc>
      </w:tr>
      <w:tr>
        <w:trPr>
          <w:cantSplit/>
        </w:trPr>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fee</w:t>
            </w:r>
          </w:p>
        </w:tc>
        <w:tc>
          <w:tcPr>
            <w:tcW w:type="pct" w:w="50%"/>
            <w:shd w:fill="F5F7FA" w:val="clear"/>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administrative fee (Article VI.2 of the Law Firm Escrow Waiver)</w:t>
            </w:r>
          </w:p>
        </w:tc>
      </w:tr>
      <w:tr>
        <w:trPr>
          <w:cantSplit/>
        </w:trPr>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Escrow agent replacement</w:t>
            </w:r>
          </w:p>
        </w:tc>
        <w:tc>
          <w:tcPr>
            <w:tcW w:type="pct" w:w="50%"/>
            <w:tcMar>
              <w:top w:type="dxa" w:w="100"/>
              <w:left w:type="dxa" w:w="120"/>
              <w:bottom w:type="dxa" w:w="100"/>
              <w:right w:type="dxa" w:w="120"/>
            </w:tcMar>
            <w:vAlign w:val="center"/>
          </w:tcPr>
          <w:p>
            <w:pPr>
              <w:spacing w:after="0" w:line="260"/>
              <w:jc w:val="left"/>
            </w:pPr>
            <w:r>
              <w:rPr>
                <w:rFonts w:ascii="Calibri" w:eastAsia="Microsoft YaHei"/>
                <w:b w:val="false"/>
                <w:bCs w:val="false"/>
                <w:color w:val="000000"/>
                <w:sz w:val="18"/>
                <w:szCs w:val="18"/>
              </w:rPr>
              <w:t xml:space="preserve">Law Firm replacement (Charter §4.9)</w:t>
            </w:r>
          </w:p>
        </w:tc>
      </w:tr>
    </w:tbl>
    <w:p>
      <w:pPr>
        <w:spacing w:before="240"/>
      </w:pPr>
    </w:p>
    <w:p>
      <w:pPr>
        <w:pStyle w:val="Heading3"/>
        <w:spacing w:after="120" w:before="240"/>
      </w:pPr>
      <w:r>
        <w:rPr>
          <w:rFonts w:ascii="Calibri" w:eastAsia="Microsoft YaHei"/>
          <w:b/>
          <w:bCs/>
          <w:color w:val="B8860B"/>
          <w:sz w:val="24"/>
          <w:szCs w:val="24"/>
        </w:rPr>
        <w:t xml:space="preserve">APPENDIX B — LEGAL AUTHORITIES</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Egyptian Lawyers' Code — Law No. 17 of 1983, Article 47 (segregated client accounts).</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Companies Law — Law No. 159 of 1981 (formation and governance of LLCs and JSCs).</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FRA No-Action Letter — classification of AURIENTA as technology, governance, and matchmaking infrastructure.</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ESAA By-Laws — Egyptian Society of Accountants and Auditors, certification, independence, and quality-control standards.</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Egyptian AML Law — Law No. 80 of 2002 (source-of-funds verification, sanctions screening).</w:t>
      </w:r>
    </w:p>
    <w:p>
      <w:pPr>
        <w:spacing w:after="80" w:line="300"/>
        <w:ind w:left="720" w:hanging="280"/>
        <w:jc w:val="left"/>
      </w:pPr>
      <w:r>
        <w:rPr>
          <w:b/>
          <w:bCs/>
          <w:color w:val="D4AF37"/>
          <w:sz w:val="22"/>
          <w:szCs w:val="22"/>
        </w:rPr>
        <w:t xml:space="preserve">•  </w:t>
      </w:r>
      <w:r>
        <w:rPr>
          <w:rFonts w:ascii="Calibri" w:eastAsia="Microsoft YaHei"/>
          <w:color w:val="000000"/>
          <w:sz w:val="22"/>
          <w:szCs w:val="22"/>
        </w:rPr>
        <w:t xml:space="preserve">Egyptian Civil Code — general contract and liability principles.</w:t>
      </w:r>
    </w:p>
    <w:p>
      <w:pPr>
        <w:spacing w:before="36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AURIENTA CONSTITUTIONAL HASH (ROOT)</w:t>
            </w:r>
          </w:p>
          <w:p>
            <w:pPr>
              <w:spacing w:after="0"/>
              <w:jc w:val="center"/>
            </w:pPr>
            <w:r>
              <w:rPr>
                <w:rFonts w:ascii="Consolas" w:eastAsia="Microsoft YaHei"/>
                <w:color w:val="FFFFFF"/>
                <w:sz w:val="22"/>
                <w:szCs w:val="22"/>
              </w:rPr>
              <w:t xml:space="preserve">0xB4F8D3E2F6A0B5D9E7F2A1C4B8E3D6A0F2C5B9E7D1A</w:t>
            </w:r>
          </w:p>
        </w:tc>
      </w:tr>
    </w:tbl>
    <w:p>
      <w:pPr>
        <w:spacing w:before="12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AMENDMENT IX HASH (POST-PASSAGE)</w:t>
            </w:r>
          </w:p>
          <w:p>
            <w:pPr>
              <w:spacing w:after="0"/>
              <w:jc w:val="center"/>
            </w:pPr>
            <w:r>
              <w:rPr>
                <w:rFonts w:ascii="Consolas" w:eastAsia="Microsoft YaHei"/>
                <w:color w:val="FFFFFF"/>
                <w:sz w:val="22"/>
                <w:szCs w:val="22"/>
              </w:rPr>
              <w:t xml:space="preserve">0xA9C7E1D4F0B3A825E6F1C9D2B7E4A0C3F6D8B1E5A2</w:t>
            </w:r>
          </w:p>
        </w:tc>
      </w:tr>
    </w:tbl>
    <w:p>
      <w:pPr>
        <w:spacing w:before="120"/>
      </w:pPr>
    </w:p>
    <w:p>
      <w:pPr>
        <w:spacing w:after="0" w:before="200"/>
        <w:jc w:val="center"/>
      </w:pPr>
      <w:r>
        <w:rPr>
          <w:rFonts w:ascii="Calibri" w:eastAsia="Microsoft YaHei"/>
          <w:i/>
          <w:iCs/>
          <w:color w:val="4A6575"/>
          <w:sz w:val="16"/>
          <w:szCs w:val="16"/>
        </w:rPr>
        <w:t xml:space="preserve">— End of Amendment IX —</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spacing w:before="60"/>
      <w:jc w:val="center"/>
    </w:pPr>
    <w:r>
      <w:rPr>
        <w:rFonts w:ascii="Calibri" w:eastAsia="Microsoft YaHei"/>
        <w:color w:val="4A6575"/>
        <w:sz w:val="16"/>
        <w:szCs w:val="16"/>
      </w:rPr>
      <w:t xml:space="preserve">Constitutional Amendment IX   ·   </w:t>
    </w:r>
    <w:r>
      <w:rPr>
        <w:rFonts w:ascii="Calibri" w:eastAsia="Microsoft YaHei"/>
        <w:color w:val="4A6575"/>
        <w:sz w:val="16"/>
        <w:szCs w:val="16"/>
      </w:rPr>
      <w:fldChar w:fldCharType="begin"/>
      <w:instrText xml:space="preserve">PAGE</w:instrText>
      <w:fldChar w:fldCharType="separate"/>
      <w:fldChar w:fldCharType="end"/>
    </w:r>
    <w:r>
      <w:rPr>
        <w:rFonts w:ascii="Calibri" w:eastAsia="Microsoft YaHei"/>
        <w:color w:val="4A6575"/>
        <w:sz w:val="16"/>
        <w:szCs w:val="16"/>
      </w:rPr>
      <w:t xml:space="preserve"> / </w:t>
    </w:r>
    <w:r>
      <w:rPr>
        <w:rFonts w:ascii="Calibri" w:eastAsia="Microsoft YaHei"/>
        <w:color w:val="4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60"/>
      <w:jc w:val="right"/>
    </w:pPr>
    <w:r>
      <w:rPr>
        <w:rFonts w:ascii="Calibri" w:eastAsia="Microsoft YaHei"/>
        <w:i/>
        <w:iCs/>
        <w:color w:val="4A6575"/>
        <w:sz w:val="16"/>
        <w:szCs w:val="16"/>
      </w:rPr>
      <w:t xml:space="preserve">AURIENTA  ·  Constitutional Amendment 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eastAsia="Microsoft YaHei"/>
      <w:b/>
      <w:bCs/>
      <w:color w:val="0F2027"/>
      <w:sz w:val="32"/>
      <w:szCs w:val="32"/>
    </w:rPr>
  </w:style>
  <w:style w:type="paragraph" w:styleId="Heading2">
    <w:name w:val="Heading 2"/>
    <w:basedOn w:val="Normal"/>
    <w:next w:val="Normal"/>
    <w:qFormat/>
    <w:pPr>
      <w:spacing w:after="140" w:before="320"/>
      <w:outlineLvl w:val="1"/>
    </w:pPr>
    <w:rPr>
      <w:rFonts w:ascii="Calibri" w:eastAsia="Microsoft YaHei"/>
      <w:b/>
      <w:bCs/>
      <w:color w:val="0F2027"/>
      <w:sz w:val="26"/>
      <w:szCs w:val="26"/>
    </w:rPr>
  </w:style>
  <w:style w:type="paragraph" w:styleId="Heading3">
    <w:name w:val="Heading 3"/>
    <w:basedOn w:val="Normal"/>
    <w:next w:val="Normal"/>
    <w:qFormat/>
    <w:pPr>
      <w:spacing w:after="120" w:before="240"/>
      <w:outlineLvl w:val="2"/>
    </w:pPr>
    <w:rPr>
      <w:rFonts w:ascii="Calibri" w:eastAsia="Microsoft YaHe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Constitutional Amendment IX</dc:title>
  <dc:creator>AURIENTA Constitutional Office</dc:creator>
  <dc:description>Constitutional Amendment IX — Direct Law-Firm Transfer Model. A formal amendment to the AURIENTA Constitutional Charter.</dc:description>
  <cp:lastModifiedBy>Un-named</cp:lastModifiedBy>
  <cp:revision>1</cp:revision>
  <dcterms:created xsi:type="dcterms:W3CDTF">2026-07-08T09:54:58.215Z</dcterms:created>
  <dcterms:modified xsi:type="dcterms:W3CDTF">2026-07-08T09:54:58.215Z</dcterms:modified>
</cp:coreProperties>
</file>

<file path=docProps/custom.xml><?xml version="1.0" encoding="utf-8"?>
<Properties xmlns="http://schemas.openxmlformats.org/officeDocument/2006/custom-properties" xmlns:vt="http://schemas.openxmlformats.org/officeDocument/2006/docPropsVTypes"/>
</file>