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pct" w:w="1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00"/>
      </w:tblGrid>
      <w:tr>
        <w:trPr>
          <w:trHeight w:val="16838" w:hRule="exact"/>
        </w:trPr>
        <w:tc>
          <w:tcPr>
            <w:tcBorders>
              <w:top w:val="none" w:color="FFFFFF" w:sz="0"/>
              <w:left w:val="none" w:color="FFFFFF" w:sz="0"/>
              <w:bottom w:val="none" w:color="FFFFFF" w:sz="0"/>
              <w:right w:val="none" w:color="FFFFFF" w:sz="0"/>
            </w:tcBorders>
            <w:shd w:fill="0F2027" w:val="clear"/>
          </w:tcPr>
          <w:p>
            <w:pPr>
              <w:spacing w:before="1400"/>
            </w:pPr>
          </w:p>
          <w:p>
            <w:pPr>
              <w:pBdr>
                <w:bottom w:val="single" w:color="D4AF37" w:sz="6" w:space="8"/>
              </w:pBdr>
              <w:spacing w:after="500"/>
              <w:ind w:left="1200" w:right="800"/>
            </w:pPr>
            <w:r>
              <w:rPr>
                <w:rFonts w:ascii="Calibri" w:eastAsia="Microsoft YaHei"/>
                <w:color w:val="D4AF37"/>
                <w:spacing w:val="40"/>
                <w:sz w:val="18"/>
                <w:szCs w:val="18"/>
              </w:rPr>
              <w:t xml:space="preserve">C O N S T I T U T I O N A L   I N S T R U M E N T   ·   I</w:t>
            </w:r>
          </w:p>
          <w:p>
            <w:pPr>
              <w:spacing w:after="100" w:line="800" w:lineRule="atLeast"/>
              <w:ind w:left="1200"/>
            </w:pPr>
            <w:r>
              <w:rPr>
                <w:rFonts w:ascii="Calibri" w:eastAsia="Microsoft YaHei"/>
                <w:b/>
                <w:bCs/>
                <w:color w:val="FFFFFF"/>
                <w:sz w:val="80"/>
                <w:szCs w:val="80"/>
              </w:rPr>
              <w:t xml:space="preserve">AURIENTA</w:t>
            </w:r>
          </w:p>
          <w:p>
            <w:pPr>
              <w:spacing w:after="240" w:line="520" w:lineRule="atLeast"/>
              <w:ind w:left="1200"/>
            </w:pPr>
            <w:r>
              <w:rPr>
                <w:rFonts w:ascii="Calibri" w:eastAsia="Microsoft YaHei"/>
                <w:color w:val="E8D9A8"/>
                <w:sz w:val="32"/>
                <w:szCs w:val="32"/>
              </w:rPr>
              <w:t xml:space="preserve">Law Firm Escrow Waiver</w:t>
            </w:r>
          </w:p>
          <w:p>
            <w:pPr>
              <w:spacing w:after="800"/>
              <w:ind w:left="1200"/>
            </w:pPr>
            <w:r>
              <w:rPr>
                <w:rFonts w:ascii="Calibri" w:eastAsia="Microsoft YaHei"/>
                <w:i/>
                <w:iCs/>
                <w:color w:val="D4AF37"/>
                <w:sz w:val="22"/>
                <w:szCs w:val="22"/>
              </w:rPr>
              <w:t xml:space="preserve">&amp; Client Account Authorization</w:t>
            </w:r>
          </w:p>
          <w:p>
            <w:pPr>
              <w:pBdr>
                <w:left w:val="single" w:color="D4AF37" w:sz="8" w:space="12"/>
              </w:pBdr>
              <w:spacing w:after="100"/>
              <w:ind w:left="1400"/>
            </w:pPr>
            <w:r>
              <w:rPr>
                <w:rFonts w:ascii="Calibri" w:eastAsia="Microsoft YaHei"/>
                <w:color w:val="D4AF37"/>
                <w:sz w:val="22"/>
                <w:szCs w:val="22"/>
              </w:rPr>
              <w:t xml:space="preserve">Direct Law-Firm Transfer Model</w:t>
            </w:r>
          </w:p>
          <w:p>
            <w:pPr>
              <w:pBdr>
                <w:left w:val="single" w:color="D4AF37" w:sz="8" w:space="12"/>
              </w:pBdr>
              <w:spacing w:after="100"/>
              <w:ind w:left="1400"/>
            </w:pPr>
            <w:r>
              <w:rPr>
                <w:rFonts w:ascii="Calibri" w:eastAsia="Microsoft YaHei"/>
                <w:color w:val="D4AF37"/>
                <w:sz w:val="22"/>
                <w:szCs w:val="22"/>
              </w:rPr>
              <w:t xml:space="preserve">Pursuant to Amendment IX to the Constitutional Charter</w:t>
            </w:r>
          </w:p>
          <w:p>
            <w:pPr>
              <w:spacing w:after="80"/>
            </w:pPr>
            <w:r>
              <w:t xml:space="preserve"> </w:t>
            </w:r>
          </w:p>
          <w:p>
            <w:pPr>
              <w:pBdr>
                <w:left w:val="single" w:color="D4AF37" w:sz="8" w:space="12"/>
              </w:pBdr>
              <w:spacing w:after="100"/>
              <w:ind w:left="1400"/>
            </w:pPr>
            <w:r>
              <w:rPr>
                <w:rFonts w:ascii="Calibri" w:eastAsia="Microsoft YaHei"/>
                <w:color w:val="D4AF37"/>
                <w:sz w:val="22"/>
                <w:szCs w:val="22"/>
              </w:rPr>
              <w:t xml:space="preserve">Egyptian Lawyers' Code (Law 17/1983, Art. 47)</w:t>
            </w:r>
          </w:p>
          <w:p>
            <w:pPr>
              <w:pBdr>
                <w:left w:val="single" w:color="D4AF37" w:sz="8" w:space="12"/>
              </w:pBdr>
              <w:spacing w:after="100"/>
              <w:ind w:left="1400"/>
            </w:pPr>
            <w:r>
              <w:rPr>
                <w:rFonts w:ascii="Calibri" w:eastAsia="Microsoft YaHei"/>
                <w:color w:val="D4AF37"/>
                <w:sz w:val="22"/>
                <w:szCs w:val="22"/>
              </w:rPr>
              <w:t xml:space="preserve">Companies Law 159/1981  ·  FRA No-Action Letter</w:t>
            </w:r>
          </w:p>
          <w:p>
            <w:pPr>
              <w:spacing w:after="80"/>
            </w:pPr>
            <w:r>
              <w:t xml:space="preserve"> </w:t>
            </w:r>
          </w:p>
          <w:p>
            <w:pPr>
              <w:pBdr>
                <w:left w:val="single" w:color="D4AF37" w:sz="8" w:space="12"/>
              </w:pBdr>
              <w:spacing w:after="100"/>
              <w:ind w:left="1400"/>
            </w:pPr>
            <w:r>
              <w:rPr>
                <w:rFonts w:ascii="Calibri" w:eastAsia="Microsoft YaHei"/>
                <w:color w:val="D4AF37"/>
                <w:sz w:val="22"/>
                <w:szCs w:val="22"/>
              </w:rPr>
              <w:t xml:space="preserve">Constitutional Hash:  0xB4F8D3E2F6A0B5D9E7F2A1C4B8E3D6A0F2C5B9E7D1A</w:t>
            </w:r>
          </w:p>
          <w:p>
            <w:pPr>
              <w:spacing w:before="1200"/>
            </w:pPr>
          </w:p>
          <w:p>
            <w:pPr>
              <w:pBdr>
                <w:top w:val="single" w:color="D4AF37" w:sz="2" w:space="8"/>
              </w:pBdr>
              <w:spacing w:before="200"/>
              <w:ind w:left="1200" w:right="800"/>
            </w:pPr>
            <w:r>
              <w:rPr>
                <w:rFonts w:ascii="Calibri" w:eastAsia="Microsoft YaHei"/>
                <w:color w:val="9AAEB8"/>
                <w:sz w:val="16"/>
                <w:szCs w:val="16"/>
              </w:rPr>
              <w:t xml:space="preserve">AURIENTA Constitutional Office  ·  Confidential — Legal Instrument</w:t>
            </w:r>
            <w:r>
              <w:t xml:space="preserve">                                        </w:t>
            </w:r>
            <w:r>
              <w:rPr>
                <w:rFonts w:ascii="Calibri" w:eastAsia="Microsoft YaHei"/>
                <w:color w:val="9AAEB8"/>
                <w:sz w:val="16"/>
                <w:szCs w:val="16"/>
              </w:rPr>
              <w:t xml:space="preserve">DOC-LF-001  ·  v1.0  ·  Constitutional Office</w:t>
            </w:r>
          </w:p>
        </w:tc>
      </w:tr>
    </w:tbl>
    <w:p>
      <w:pPr>
        <w:sectPr>
          <w:pgSz w:w="11906" w:h="16838" w:orient="portrait"/>
          <w:pgMar w:top="0" w:right="0" w:bottom="0" w:left="0" w:header="708" w:footer="708" w:gutter="0"/>
          <w:pgNumType/>
          <w:docGrid w:linePitch="360"/>
        </w:sectPr>
      </w:pPr>
    </w:p>
    <w:p>
      <w:pPr>
        <w:spacing w:after="120" w:before="0"/>
        <w:jc w:val="center"/>
      </w:pPr>
      <w:r>
        <w:rPr>
          <w:rFonts w:ascii="Calibri" w:eastAsia="Microsoft YaHei"/>
          <w:b/>
          <w:bCs/>
          <w:color w:val="0F2027"/>
          <w:sz w:val="36"/>
          <w:szCs w:val="36"/>
        </w:rPr>
        <w:t xml:space="preserve">LAW FIRM ESCROW WAIVER</w:t>
      </w:r>
    </w:p>
    <w:p>
      <w:pPr>
        <w:spacing w:after="80"/>
        <w:jc w:val="center"/>
      </w:pPr>
      <w:r>
        <w:rPr>
          <w:rFonts w:ascii="Calibri" w:eastAsia="Microsoft YaHei"/>
          <w:b/>
          <w:bCs/>
          <w:color w:val="B8860B"/>
          <w:spacing w:val="80"/>
          <w:sz w:val="22"/>
          <w:szCs w:val="22"/>
        </w:rPr>
        <w:t xml:space="preserve">AND</w:t>
      </w:r>
    </w:p>
    <w:p>
      <w:pPr>
        <w:spacing w:after="240"/>
        <w:jc w:val="center"/>
      </w:pPr>
      <w:r>
        <w:rPr>
          <w:rFonts w:ascii="Calibri" w:eastAsia="Microsoft YaHei"/>
          <w:b/>
          <w:bCs/>
          <w:color w:val="0F2027"/>
          <w:sz w:val="30"/>
          <w:szCs w:val="30"/>
        </w:rPr>
        <w:t xml:space="preserve">CLIENT ACCOUNT AUTHORIZATION</w:t>
      </w:r>
    </w:p>
    <w:p>
      <w:pPr>
        <w:pBdr>
          <w:bottom w:val="single" w:color="D4AF37" w:sz="8" w:space="6"/>
        </w:pBdr>
        <w:spacing w:after="360"/>
        <w:jc w:val="center"/>
      </w:pPr>
      <w:r>
        <w:rPr>
          <w:rFonts w:ascii="Calibri" w:eastAsia="Microsoft YaHei"/>
          <w:i/>
          <w:iCs/>
          <w:color w:val="4A6575"/>
          <w:sz w:val="20"/>
          <w:szCs w:val="20"/>
        </w:rPr>
        <w:t xml:space="preserve">Direct Law-Firm Transfer Model  ·  Pursuant to Amendment IX to the Constitutional Charter</w:t>
      </w:r>
    </w:p>
    <w:p>
      <w:pPr>
        <w:spacing w:after="120" w:line="312"/>
        <w:ind w:firstLine="360"/>
        <w:jc w:val="both"/>
      </w:pPr>
      <w:r>
        <w:rPr>
          <w:rFonts w:ascii="Calibri" w:eastAsia="Microsoft YaHei"/>
          <w:color w:val="000000"/>
          <w:sz w:val="22"/>
          <w:szCs w:val="22"/>
        </w:rPr>
        <w:t xml:space="preserve">This Law Firm Escrow Waiver and Client Account Authorization (this "Agreement") is entered into as of the Effective Date defined in Article X below, by and among:</w:t>
      </w:r>
    </w:p>
    <w:p>
      <w:pPr>
        <w:spacing w:after="80" w:line="300"/>
        <w:ind w:left="720" w:hanging="280"/>
        <w:jc w:val="left"/>
      </w:pPr>
      <w:r>
        <w:rPr>
          <w:b/>
          <w:bCs/>
          <w:color w:val="D4AF37"/>
          <w:sz w:val="22"/>
          <w:szCs w:val="22"/>
        </w:rPr>
        <w:t xml:space="preserve">•  </w:t>
      </w:r>
      <w:r>
        <w:rPr>
          <w:rFonts w:ascii="Calibri" w:eastAsia="Microsoft YaHei"/>
          <w:b/>
          <w:bCs/>
          <w:i w:val="false"/>
          <w:iCs w:val="false"/>
          <w:color w:val="000000"/>
          <w:sz w:val="22"/>
          <w:szCs w:val="22"/>
        </w:rPr>
        <w:t xml:space="preserve">AURIENTA </w:t>
      </w:r>
      <w:r>
        <w:rPr>
          <w:rFonts w:ascii="Calibri" w:eastAsia="Microsoft YaHei"/>
          <w:b w:val="false"/>
          <w:bCs w:val="false"/>
          <w:i w:val="false"/>
          <w:iCs w:val="false"/>
          <w:color w:val="000000"/>
          <w:sz w:val="22"/>
          <w:szCs w:val="22"/>
        </w:rPr>
        <w:t xml:space="preserve">(the "Platform" or "AURIENTA"), a constitutional enterprise infrastructure provider operating under the AURIENTA Constitutional Charter (the "Charter"), with its constitutional hash </w:t>
      </w:r>
      <w:r>
        <w:rPr>
          <w:rFonts w:ascii="Calibri" w:eastAsia="Microsoft YaHei"/>
          <w:b/>
          <w:bCs/>
          <w:i w:val="false"/>
          <w:iCs w:val="false"/>
          <w:color w:val="0F2027"/>
          <w:sz w:val="22"/>
          <w:szCs w:val="22"/>
        </w:rPr>
        <w:t xml:space="preserve">0xB4F8D3E2F6A0B5D9E7F2A1C4B8E3D6A0F2C5B9E7D1A</w:t>
      </w:r>
      <w:r>
        <w:rPr>
          <w:rFonts w:ascii="Calibri" w:eastAsia="Microsoft YaHei"/>
          <w:b w:val="false"/>
          <w:bCs w:val="false"/>
          <w:i w:val="false"/>
          <w:iCs w:val="false"/>
          <w:color w:val="000000"/>
          <w:sz w:val="22"/>
          <w:szCs w:val="22"/>
        </w:rPr>
        <w:t xml:space="preserve">, acting by and through its Constitutional Office;</w:t>
      </w:r>
    </w:p>
    <w:p>
      <w:pPr>
        <w:spacing w:after="80" w:line="300"/>
        <w:ind w:left="720" w:hanging="280"/>
        <w:jc w:val="left"/>
      </w:pPr>
      <w:r>
        <w:rPr>
          <w:b/>
          <w:bCs/>
          <w:color w:val="D4AF37"/>
          <w:sz w:val="22"/>
          <w:szCs w:val="22"/>
        </w:rPr>
        <w:t xml:space="preserve">•  </w:t>
      </w:r>
      <w:r>
        <w:rPr>
          <w:rFonts w:ascii="Calibri" w:eastAsia="Microsoft YaHei"/>
          <w:b/>
          <w:bCs/>
          <w:i w:val="false"/>
          <w:iCs w:val="false"/>
          <w:color w:val="000000"/>
          <w:sz w:val="22"/>
          <w:szCs w:val="22"/>
        </w:rPr>
        <w:t xml:space="preserve">[LAW FIRM NAME] </w:t>
      </w:r>
      <w:r>
        <w:rPr>
          <w:rFonts w:ascii="Calibri" w:eastAsia="Microsoft YaHei"/>
          <w:b w:val="false"/>
          <w:bCs w:val="false"/>
          <w:i w:val="false"/>
          <w:iCs w:val="false"/>
          <w:color w:val="000000"/>
          <w:sz w:val="22"/>
          <w:szCs w:val="22"/>
        </w:rPr>
        <w:t xml:space="preserve">(the "Law Firm"), an Egyptian law firm duly registered and licensed under the Egyptian Lawyers' Code (Law No. 17 of 1983) (the "Lawyers' Code"), holding a valid license issued by the Egyptian Bar Association and registered with the Financial Regulatory Authority (the "FRA") under registration number [____], with its principal place of business at [____]; and</w:t>
      </w:r>
    </w:p>
    <w:p>
      <w:pPr>
        <w:spacing w:after="80" w:line="300"/>
        <w:ind w:left="720" w:hanging="280"/>
        <w:jc w:val="left"/>
      </w:pPr>
      <w:r>
        <w:rPr>
          <w:b/>
          <w:bCs/>
          <w:color w:val="D4AF37"/>
          <w:sz w:val="22"/>
          <w:szCs w:val="22"/>
        </w:rPr>
        <w:t xml:space="preserve">•  </w:t>
      </w:r>
      <w:r>
        <w:rPr>
          <w:rFonts w:ascii="Calibri" w:eastAsia="Microsoft YaHei"/>
          <w:b/>
          <w:bCs/>
          <w:i w:val="false"/>
          <w:iCs w:val="false"/>
          <w:color w:val="000000"/>
          <w:sz w:val="22"/>
          <w:szCs w:val="22"/>
        </w:rPr>
        <w:t xml:space="preserve">[ENTERPRISE NAME] </w:t>
      </w:r>
      <w:r>
        <w:rPr>
          <w:rFonts w:ascii="Calibri" w:eastAsia="Microsoft YaHei"/>
          <w:b w:val="false"/>
          <w:bCs w:val="false"/>
          <w:i w:val="false"/>
          <w:iCs w:val="false"/>
          <w:color w:val="000000"/>
          <w:sz w:val="22"/>
          <w:szCs w:val="22"/>
        </w:rPr>
        <w:t xml:space="preserve">(the "Enterprise"), an Egyptian company formed under Companies Law No. 159 of 1981 (the "Companies Law"), registered with the General Authority for Investment and Free Zones (GAFI) under commercial registration number [____], and onboarded onto the AURIENTA platform at Tier [A–F].</w:t>
      </w:r>
    </w:p>
    <w:p>
      <w:pPr>
        <w:spacing w:after="120" w:line="312"/>
        <w:ind w:firstLine="360"/>
        <w:jc w:val="both"/>
      </w:pPr>
      <w:r>
        <w:rPr>
          <w:rFonts w:ascii="Calibri" w:eastAsia="Microsoft YaHei"/>
          <w:color w:val="000000"/>
          <w:sz w:val="22"/>
          <w:szCs w:val="22"/>
        </w:rPr>
        <w:t xml:space="preserve">AURIENTA, the Law Firm, and the Enterprise are referred to herein individually as a "Party" and collectively as the "Parties."</w:t>
      </w:r>
    </w:p>
    <w:p>
      <w:pPr>
        <w:pBdr>
          <w:bottom w:val="single" w:color="D4AF37" w:sz="6" w:space="6"/>
        </w:pBdr>
        <w:spacing w:after="200" w:before="200"/>
        <w:jc w:val="center"/>
      </w:pPr>
      <w:r>
        <w:rPr>
          <w:rFonts w:ascii="Calibri" w:eastAsia="Microsoft YaHei"/>
          <w:color w:val="D4AF37"/>
          <w:sz w:val="18"/>
          <w:szCs w:val="18"/>
        </w:rPr>
        <w:t xml:space="preserve">§ § §</w:t>
      </w:r>
    </w:p>
    <w:p>
      <w:pPr>
        <w:spacing w:after="160" w:before="200"/>
        <w:jc w:val="center"/>
      </w:pPr>
      <w:r>
        <w:rPr>
          <w:rFonts w:ascii="Calibri" w:eastAsia="Microsoft YaHei"/>
          <w:b/>
          <w:bCs/>
          <w:color w:val="0F2027"/>
          <w:spacing w:val="60"/>
          <w:sz w:val="26"/>
          <w:szCs w:val="26"/>
        </w:rPr>
        <w:t xml:space="preserve">RECITALS</w:t>
      </w:r>
    </w:p>
    <w:p>
      <w:pPr>
        <w:spacing w:after="120" w:line="312"/>
        <w:ind w:left="720" w:hanging="540"/>
        <w:jc w:val="both"/>
      </w:pPr>
      <w:r>
        <w:rPr>
          <w:rFonts w:ascii="Calibri" w:eastAsia="Microsoft YaHei"/>
          <w:b/>
          <w:bCs/>
          <w:color w:val="B8860B"/>
          <w:sz w:val="22"/>
          <w:szCs w:val="22"/>
        </w:rPr>
        <w:t xml:space="preserve">A.	</w:t>
      </w:r>
      <w:r>
        <w:rPr>
          <w:rFonts w:ascii="Calibri" w:eastAsia="Microsoft YaHei"/>
          <w:color w:val="000000"/>
          <w:sz w:val="22"/>
          <w:szCs w:val="22"/>
        </w:rPr>
        <w:t xml:space="preserve">WHEREAS, AURIENTA has adopted Amendment IX to the Constitutional Charter, which restructures the platform's capital-handling architecture from a Constitutional Escrow Vault model to a Direct Law-Firm Transfer Model, such that AURIENTA never holds, touches, or controls any capital partner funds at any point in the fund flow;</w:t>
      </w:r>
    </w:p>
    <w:p>
      <w:pPr>
        <w:spacing w:after="120" w:line="312"/>
        <w:ind w:left="720" w:hanging="540"/>
        <w:jc w:val="both"/>
      </w:pPr>
      <w:r>
        <w:rPr>
          <w:rFonts w:ascii="Calibri" w:eastAsia="Microsoft YaHei"/>
          <w:b/>
          <w:bCs/>
          <w:color w:val="B8860B"/>
          <w:sz w:val="22"/>
          <w:szCs w:val="22"/>
        </w:rPr>
        <w:t xml:space="preserve">B.	</w:t>
      </w:r>
      <w:r>
        <w:rPr>
          <w:rFonts w:ascii="Calibri" w:eastAsia="Microsoft YaHei"/>
          <w:color w:val="000000"/>
          <w:sz w:val="22"/>
          <w:szCs w:val="22"/>
        </w:rPr>
        <w:t xml:space="preserve">WHEREAS, Article 47 of the Egyptian Lawyers' Code (Law No. 17 of 1983) expressly permits licensed lawyers to hold client funds in segregated client accounts maintained at Egyptian-licensed banks, subject to the professional and fiduciary duties set forth in the Lawyers' Code and the by-laws of the Egyptian Bar Association;</w:t>
      </w:r>
    </w:p>
    <w:p>
      <w:pPr>
        <w:spacing w:after="120" w:line="312"/>
        <w:ind w:left="720" w:hanging="540"/>
        <w:jc w:val="both"/>
      </w:pPr>
      <w:r>
        <w:rPr>
          <w:rFonts w:ascii="Calibri" w:eastAsia="Microsoft YaHei"/>
          <w:b/>
          <w:bCs/>
          <w:color w:val="B8860B"/>
          <w:sz w:val="22"/>
          <w:szCs w:val="22"/>
        </w:rPr>
        <w:t xml:space="preserve">C.	</w:t>
      </w:r>
      <w:r>
        <w:rPr>
          <w:rFonts w:ascii="Calibri" w:eastAsia="Microsoft YaHei"/>
          <w:color w:val="000000"/>
          <w:sz w:val="22"/>
          <w:szCs w:val="22"/>
        </w:rPr>
        <w:t xml:space="preserve">WHEREAS, the FRA has issued a No-Action Letter classifying AURIENTA as technology, governance, and matchmaking infrastructure — and not as a crowdfunding platform, broker, custodian, or financial intermediary — and confirming that the direct transfer of capital partner funds to a licensed law firm's client account does not constitute an activity requiring FRA licensing on the part of AURIENTA;</w:t>
      </w:r>
    </w:p>
    <w:p>
      <w:pPr>
        <w:spacing w:after="120" w:line="312"/>
        <w:ind w:left="720" w:hanging="540"/>
        <w:jc w:val="both"/>
      </w:pPr>
      <w:r>
        <w:rPr>
          <w:rFonts w:ascii="Calibri" w:eastAsia="Microsoft YaHei"/>
          <w:b/>
          <w:bCs/>
          <w:color w:val="B8860B"/>
          <w:sz w:val="22"/>
          <w:szCs w:val="22"/>
        </w:rPr>
        <w:t xml:space="preserve">D.	</w:t>
      </w:r>
      <w:r>
        <w:rPr>
          <w:rFonts w:ascii="Calibri" w:eastAsia="Microsoft YaHei"/>
          <w:color w:val="000000"/>
          <w:sz w:val="22"/>
          <w:szCs w:val="22"/>
        </w:rPr>
        <w:t xml:space="preserve">WHEREAS, the Law Firm is duly licensed under the Lawyers' Code, holds the requisite professional indemnity insurance, and is willing to accept direct transfer of capital partner funds into a segregated client account designated for the Enterprise, and to release such funds solely on the dual-authorization protocol set forth herein;</w:t>
      </w:r>
    </w:p>
    <w:p>
      <w:pPr>
        <w:spacing w:after="120" w:line="312"/>
        <w:ind w:left="720" w:hanging="540"/>
        <w:jc w:val="both"/>
      </w:pPr>
      <w:r>
        <w:rPr>
          <w:rFonts w:ascii="Calibri" w:eastAsia="Microsoft YaHei"/>
          <w:b/>
          <w:bCs/>
          <w:color w:val="B8860B"/>
          <w:sz w:val="22"/>
          <w:szCs w:val="22"/>
        </w:rPr>
        <w:t xml:space="preserve">E.	</w:t>
      </w:r>
      <w:r>
        <w:rPr>
          <w:rFonts w:ascii="Calibri" w:eastAsia="Microsoft YaHei"/>
          <w:color w:val="000000"/>
          <w:sz w:val="22"/>
          <w:szCs w:val="22"/>
        </w:rPr>
        <w:t xml:space="preserve">WHEREAS, the Parties desire to formally waive the requirement for any separate escrow arrangement, and to memorialize the rights, duties, and obligations of each Party under the Direct Law-Firm Transfer Model;</w:t>
      </w:r>
    </w:p>
    <w:p>
      <w:pPr>
        <w:spacing w:after="200" w:line="312"/>
        <w:ind w:firstLine="360"/>
        <w:jc w:val="both"/>
      </w:pPr>
      <w:r>
        <w:rPr>
          <w:rFonts w:ascii="Calibri" w:eastAsia="Microsoft YaHei"/>
          <w:color w:val="000000"/>
          <w:sz w:val="22"/>
          <w:szCs w:val="22"/>
        </w:rPr>
        <w:t xml:space="preserve">NOW, THEREFORE, in consideration of the mutual covenants and agreements set forth herein, and for other good and valuable consideration, the receipt and sufficiency of which are hereby acknowledged, the Parties agree as follows:</w:t>
      </w:r>
    </w:p>
    <w:p>
      <w:pPr>
        <w:spacing w:after="60" w:before="420"/>
        <w:jc w:val="center"/>
      </w:pPr>
      <w:r>
        <w:rPr>
          <w:rFonts w:ascii="Calibri" w:eastAsia="Microsoft YaHei"/>
          <w:b/>
          <w:bCs/>
          <w:color w:val="0F2027"/>
          <w:spacing w:val="30"/>
          <w:sz w:val="28"/>
          <w:szCs w:val="28"/>
        </w:rPr>
        <w:t xml:space="preserve">ARTICLE I</w:t>
      </w:r>
    </w:p>
    <w:p>
      <w:pPr>
        <w:pBdr>
          <w:bottom w:val="single" w:color="D4AF37" w:sz="8" w:space="6"/>
        </w:pBdr>
        <w:spacing w:after="220"/>
        <w:jc w:val="center"/>
      </w:pPr>
      <w:r>
        <w:rPr>
          <w:rFonts w:ascii="Calibri" w:eastAsia="Microsoft YaHei"/>
          <w:b/>
          <w:bCs/>
          <w:color w:val="B8860B"/>
          <w:spacing w:val="20"/>
          <w:sz w:val="22"/>
          <w:szCs w:val="22"/>
        </w:rPr>
        <w:t xml:space="preserve">DEFINITIONS</w:t>
      </w:r>
    </w:p>
    <w:p>
      <w:pPr>
        <w:spacing w:after="140" w:line="312"/>
        <w:ind w:left="720" w:hanging="540"/>
        <w:jc w:val="both"/>
      </w:pPr>
      <w:r>
        <w:rPr>
          <w:rFonts w:ascii="Calibri" w:eastAsia="Microsoft YaHei"/>
          <w:b/>
          <w:bCs/>
          <w:color w:val="0F2027"/>
          <w:sz w:val="22"/>
          <w:szCs w:val="22"/>
        </w:rPr>
        <w:t xml:space="preserve">1.1	</w:t>
      </w:r>
      <w:r>
        <w:rPr>
          <w:rFonts w:ascii="Calibri" w:eastAsia="Microsoft YaHei"/>
          <w:color w:val="000000"/>
          <w:sz w:val="22"/>
          <w:szCs w:val="22"/>
        </w:rPr>
        <w:t xml:space="preserve">"Client Account" means the segregated bank account opened and maintained by the Law Firm at an Egyptian-licensed bank, designated exclusively for the deposit, holding, and release of capital partner funds contributed to the Enterprise, and which is at all times held under Article 47 of the Lawyers' Code as client funds — not as Law Firm operating funds, not as Law Firm receivables, and not as Law Firm estate property.</w:t>
      </w:r>
    </w:p>
    <w:p>
      <w:pPr>
        <w:spacing w:after="140" w:line="312"/>
        <w:ind w:left="720" w:hanging="540"/>
        <w:jc w:val="both"/>
      </w:pPr>
      <w:r>
        <w:rPr>
          <w:rFonts w:ascii="Calibri" w:eastAsia="Microsoft YaHei"/>
          <w:b/>
          <w:bCs/>
          <w:color w:val="0F2027"/>
          <w:sz w:val="22"/>
          <w:szCs w:val="22"/>
        </w:rPr>
        <w:t xml:space="preserve">1.2	</w:t>
      </w:r>
      <w:r>
        <w:rPr>
          <w:rFonts w:ascii="Calibri" w:eastAsia="Microsoft YaHei"/>
          <w:color w:val="000000"/>
          <w:sz w:val="22"/>
          <w:szCs w:val="22"/>
        </w:rPr>
        <w:t xml:space="preserve">"Capital Partner Funds" means the aggregate amount of capital contributed by Capital Partners to the Enterprise under the Tier-appropriate minimum-investment rules of the Charter, together with any accruals thereon, exclusive of any AURIENTA platform service fee or consulting fee which is separately calculated and disclosed.</w:t>
      </w:r>
    </w:p>
    <w:p>
      <w:pPr>
        <w:spacing w:after="140" w:line="312"/>
        <w:ind w:left="720" w:hanging="540"/>
        <w:jc w:val="both"/>
      </w:pPr>
      <w:r>
        <w:rPr>
          <w:rFonts w:ascii="Calibri" w:eastAsia="Microsoft YaHei"/>
          <w:b/>
          <w:bCs/>
          <w:color w:val="0F2027"/>
          <w:sz w:val="22"/>
          <w:szCs w:val="22"/>
        </w:rPr>
        <w:t xml:space="preserve">1.3	</w:t>
      </w:r>
      <w:r>
        <w:rPr>
          <w:rFonts w:ascii="Calibri" w:eastAsia="Microsoft YaHei"/>
          <w:color w:val="000000"/>
          <w:sz w:val="22"/>
          <w:szCs w:val="22"/>
        </w:rPr>
        <w:t xml:space="preserve">"Dual-Authorization Protocol" means the release condition specified in Article IV requiring both (a) Board Approval of the Enterprise and (b) Accounting Firm Evidence Verification, each in the form and substance required by the Charter and this Agreement.</w:t>
      </w:r>
    </w:p>
    <w:p>
      <w:pPr>
        <w:spacing w:after="140" w:line="312"/>
        <w:ind w:left="720" w:hanging="540"/>
        <w:jc w:val="both"/>
      </w:pPr>
      <w:r>
        <w:rPr>
          <w:rFonts w:ascii="Calibri" w:eastAsia="Microsoft YaHei"/>
          <w:b/>
          <w:bCs/>
          <w:color w:val="0F2027"/>
          <w:sz w:val="22"/>
          <w:szCs w:val="22"/>
        </w:rPr>
        <w:t xml:space="preserve">1.4	</w:t>
      </w:r>
      <w:r>
        <w:rPr>
          <w:rFonts w:ascii="Calibri" w:eastAsia="Microsoft YaHei"/>
          <w:color w:val="000000"/>
          <w:sz w:val="22"/>
          <w:szCs w:val="22"/>
        </w:rPr>
        <w:t xml:space="preserve">"Board Approval" means a duly adopted resolution of the Enterprise's board of directors, recorded in the constitutional ledger, authorizing a specific milestone release, expense payment, or vendor disbursement, in compliance with the Charter's quorum and voting thresholds.</w:t>
      </w:r>
    </w:p>
    <w:p>
      <w:pPr>
        <w:spacing w:after="140" w:line="312"/>
        <w:ind w:left="720" w:hanging="540"/>
        <w:jc w:val="both"/>
      </w:pPr>
      <w:r>
        <w:rPr>
          <w:rFonts w:ascii="Calibri" w:eastAsia="Microsoft YaHei"/>
          <w:b/>
          <w:bCs/>
          <w:color w:val="0F2027"/>
          <w:sz w:val="22"/>
          <w:szCs w:val="22"/>
        </w:rPr>
        <w:t xml:space="preserve">1.5	</w:t>
      </w:r>
      <w:r>
        <w:rPr>
          <w:rFonts w:ascii="Calibri" w:eastAsia="Microsoft YaHei"/>
          <w:color w:val="000000"/>
          <w:sz w:val="22"/>
          <w:szCs w:val="22"/>
        </w:rPr>
        <w:t xml:space="preserve">"Accounting Firm Evidence Verification" means a written authorization issued by the Certified Accounting Firm appointed to the Enterprise under the Charter, certifying that the milestone or disbursement evidence (invoices, geotagged photographs, payroll registers, delivery receipts, etc.) has been independently verified in accordance with Egyptian Society of Accountants and Auditors (ESAA) standards.</w:t>
      </w:r>
    </w:p>
    <w:p>
      <w:pPr>
        <w:spacing w:after="140" w:line="312"/>
        <w:ind w:left="720" w:hanging="540"/>
        <w:jc w:val="both"/>
      </w:pPr>
      <w:r>
        <w:rPr>
          <w:rFonts w:ascii="Calibri" w:eastAsia="Microsoft YaHei"/>
          <w:b/>
          <w:bCs/>
          <w:color w:val="0F2027"/>
          <w:sz w:val="22"/>
          <w:szCs w:val="22"/>
        </w:rPr>
        <w:t xml:space="preserve">1.6	</w:t>
      </w:r>
      <w:r>
        <w:rPr>
          <w:rFonts w:ascii="Calibri" w:eastAsia="Microsoft YaHei"/>
          <w:color w:val="000000"/>
          <w:sz w:val="22"/>
          <w:szCs w:val="22"/>
        </w:rPr>
        <w:t xml:space="preserve">"Bankruptcy-Remote" means the legal status of Client Account funds under Article 47 of the Lawyers' Code, by which such funds are (a) not part of the Law Firm's bankruptcy estate, (b) not subject to set-off against Law Firm liabilities, (c) not subject to attachment by Law Firm creditors, and (d) traceable and recoverable by the Enterprise and its Capital Partners in the event of Law Firm insolvency, dissolution, or regulatory intervention.</w:t>
      </w:r>
    </w:p>
    <w:p>
      <w:pPr>
        <w:spacing w:after="140" w:line="312"/>
        <w:ind w:left="720" w:hanging="540"/>
        <w:jc w:val="both"/>
      </w:pPr>
      <w:r>
        <w:rPr>
          <w:rFonts w:ascii="Calibri" w:eastAsia="Microsoft YaHei"/>
          <w:b/>
          <w:bCs/>
          <w:color w:val="0F2027"/>
          <w:sz w:val="22"/>
          <w:szCs w:val="22"/>
        </w:rPr>
        <w:t xml:space="preserve">1.7	</w:t>
      </w:r>
      <w:r>
        <w:rPr>
          <w:rFonts w:ascii="Calibri" w:eastAsia="Microsoft YaHei"/>
          <w:color w:val="000000"/>
          <w:sz w:val="22"/>
          <w:szCs w:val="22"/>
        </w:rPr>
        <w:t xml:space="preserve">"Effective Date" means the date on which this Agreement has been executed by all three Parties and the Law Firm's FRA license verification has been confirmed in accordance with Article VIII.</w:t>
      </w:r>
    </w:p>
    <w:p>
      <w:pPr>
        <w:spacing w:after="60" w:before="420"/>
        <w:jc w:val="center"/>
      </w:pPr>
      <w:r>
        <w:rPr>
          <w:rFonts w:ascii="Calibri" w:eastAsia="Microsoft YaHei"/>
          <w:b/>
          <w:bCs/>
          <w:color w:val="0F2027"/>
          <w:spacing w:val="30"/>
          <w:sz w:val="28"/>
          <w:szCs w:val="28"/>
        </w:rPr>
        <w:t xml:space="preserve">ARTICLE II</w:t>
      </w:r>
    </w:p>
    <w:p>
      <w:pPr>
        <w:pBdr>
          <w:bottom w:val="single" w:color="D4AF37" w:sz="8" w:space="6"/>
        </w:pBdr>
        <w:spacing w:after="220"/>
        <w:jc w:val="center"/>
      </w:pPr>
      <w:r>
        <w:rPr>
          <w:rFonts w:ascii="Calibri" w:eastAsia="Microsoft YaHei"/>
          <w:b/>
          <w:bCs/>
          <w:color w:val="B8860B"/>
          <w:spacing w:val="20"/>
          <w:sz w:val="22"/>
          <w:szCs w:val="22"/>
        </w:rPr>
        <w:t xml:space="preserve">ACCEPTANCE OF DIRECT TRANSFER; ESCROW WAIVER</w:t>
      </w:r>
    </w:p>
    <w:p>
      <w:pPr>
        <w:spacing w:after="140" w:line="312"/>
        <w:ind w:left="720" w:hanging="540"/>
        <w:jc w:val="both"/>
      </w:pPr>
      <w:r>
        <w:rPr>
          <w:rFonts w:ascii="Calibri" w:eastAsia="Microsoft YaHei"/>
          <w:b/>
          <w:bCs/>
          <w:color w:val="0F2027"/>
          <w:sz w:val="22"/>
          <w:szCs w:val="22"/>
        </w:rPr>
        <w:t xml:space="preserve">2.1	</w:t>
      </w:r>
      <w:r>
        <w:rPr>
          <w:rFonts w:ascii="Calibri" w:eastAsia="Microsoft YaHei"/>
          <w:color w:val="000000"/>
          <w:sz w:val="22"/>
          <w:szCs w:val="22"/>
        </w:rPr>
        <w:t xml:space="preserve">Direct Transfer. Each Capital Partner's contribution shall be transferred by the Capital Partner directly to the Law Firm's Client Account, by bank wire or such other Egyptian-licensed banking channel as the Law Firm may designate in writing. AURIENTA shall at no time be a remitter, payee, intermediary, custodian, signatory, or beneficial owner of any Capital Partner Funds. AURIENTA's role is strictly limited to (a) matching Capital Partners to Enterprises, (b) providing constitutional governance and runtime enforcement services, and (c) publishing the immutable ledger record of each transfer.</w:t>
      </w:r>
    </w:p>
    <w:p>
      <w:pPr>
        <w:spacing w:after="140" w:line="312"/>
        <w:ind w:left="720" w:hanging="540"/>
        <w:jc w:val="both"/>
      </w:pPr>
      <w:r>
        <w:rPr>
          <w:rFonts w:ascii="Calibri" w:eastAsia="Microsoft YaHei"/>
          <w:b/>
          <w:bCs/>
          <w:color w:val="0F2027"/>
          <w:sz w:val="22"/>
          <w:szCs w:val="22"/>
        </w:rPr>
        <w:t xml:space="preserve">2.2	</w:t>
      </w:r>
      <w:r>
        <w:rPr>
          <w:rFonts w:ascii="Calibri" w:eastAsia="Microsoft YaHei"/>
          <w:color w:val="000000"/>
          <w:sz w:val="22"/>
          <w:szCs w:val="22"/>
        </w:rPr>
        <w:t xml:space="preserve">Segregated Client Account. The Law Firm shall maintain the Client Account at an Egyptian-licensed bank, titled in the form "[Law Firm Name] — Client Account — [Enterprise Name] — AURIENTA Constitutional Tier [A–F]," and shall ensure that Client Account funds are at all times segregated from the Law Firm's operating, trust, escrow, payroll, and tax accounts. The Law Firm shall not commingle Client Account funds with any other funds under any circumstances.</w:t>
      </w:r>
    </w:p>
    <w:p>
      <w:pPr>
        <w:spacing w:after="140" w:line="312"/>
        <w:ind w:left="720" w:hanging="540"/>
        <w:jc w:val="both"/>
      </w:pPr>
      <w:r>
        <w:rPr>
          <w:rFonts w:ascii="Calibri" w:eastAsia="Microsoft YaHei"/>
          <w:b/>
          <w:bCs/>
          <w:color w:val="0F2027"/>
          <w:sz w:val="22"/>
          <w:szCs w:val="22"/>
        </w:rPr>
        <w:t xml:space="preserve">2.3	</w:t>
      </w:r>
      <w:r>
        <w:rPr>
          <w:rFonts w:ascii="Calibri" w:eastAsia="Microsoft YaHei"/>
          <w:color w:val="000000"/>
          <w:sz w:val="22"/>
          <w:szCs w:val="22"/>
        </w:rPr>
        <w:t xml:space="preserve">Holding Under Article 47. The Law Firm acknowledges and agrees that Capital Partner Funds held in the Client Account are held under and subject to Article 47 of the Egyptian Lawyers' Code (Law No. 17 of 1983), and the Law Firm shall observe all professional, fiduciary, and record-keeping duties imposed by the Lawyers' Code and the Egyptian Bar Association by-laws with respect to client funds, including without limitation the duty of segregation, the duty of fidelity, the duty of accounting, and the duty of timely delivery.</w:t>
      </w:r>
    </w:p>
    <w:p>
      <w:pPr>
        <w:spacing w:after="140" w:line="312"/>
        <w:ind w:left="720" w:hanging="540"/>
        <w:jc w:val="both"/>
      </w:pPr>
      <w:r>
        <w:rPr>
          <w:rFonts w:ascii="Calibri" w:eastAsia="Microsoft YaHei"/>
          <w:b/>
          <w:bCs/>
          <w:color w:val="0F2027"/>
          <w:sz w:val="22"/>
          <w:szCs w:val="22"/>
        </w:rPr>
        <w:t xml:space="preserve">2.4	</w:t>
      </w:r>
      <w:r>
        <w:rPr>
          <w:rFonts w:ascii="Calibri" w:eastAsia="Microsoft YaHei"/>
          <w:color w:val="000000"/>
          <w:sz w:val="22"/>
          <w:szCs w:val="22"/>
        </w:rPr>
        <w:t xml:space="preserve">Waiver of Separate Escrow. The Parties hereby waive, and release each other from any obligation to establish or maintain, any separate escrow arrangement, escrow agent, escrow account, escrow agreement, or escrow fee structure of any kind. The Parties further agree that the Client Account held under Article 47 of the Lawyers' Code is the sole and exclusive holding mechanism for Capital Partner Funds under the Charter as amended by Amendment IX.</w:t>
      </w:r>
    </w:p>
    <w:p>
      <w:pPr>
        <w:spacing w:after="140" w:line="312"/>
        <w:ind w:left="720" w:hanging="540"/>
        <w:jc w:val="both"/>
      </w:pPr>
      <w:r>
        <w:rPr>
          <w:rFonts w:ascii="Calibri" w:eastAsia="Microsoft YaHei"/>
          <w:b/>
          <w:bCs/>
          <w:color w:val="0F2027"/>
          <w:sz w:val="22"/>
          <w:szCs w:val="22"/>
        </w:rPr>
        <w:t xml:space="preserve">2.5	</w:t>
      </w:r>
      <w:r>
        <w:rPr>
          <w:rFonts w:ascii="Calibri" w:eastAsia="Microsoft YaHei"/>
          <w:color w:val="000000"/>
          <w:sz w:val="22"/>
          <w:szCs w:val="22"/>
        </w:rPr>
        <w:t xml:space="preserve">No Escrow Label. The Parties agree that the Client Account shall not be labeled, marketed, or referred to as an "escrow account," "trust account," or "custody account" in any communication, ledger entry, bank document, regulatory filing, or marketing material. The Client Account is a lawyer's client account under Article 47 of the Lawyers' Code — and nothing more.</w:t>
      </w:r>
    </w:p>
    <w:p>
      <w:pPr>
        <w:spacing w:after="60" w:before="420"/>
        <w:jc w:val="center"/>
      </w:pPr>
      <w:r>
        <w:rPr>
          <w:rFonts w:ascii="Calibri" w:eastAsia="Microsoft YaHei"/>
          <w:b/>
          <w:bCs/>
          <w:color w:val="0F2027"/>
          <w:spacing w:val="30"/>
          <w:sz w:val="28"/>
          <w:szCs w:val="28"/>
        </w:rPr>
        <w:t xml:space="preserve">ARTICLE III</w:t>
      </w:r>
    </w:p>
    <w:p>
      <w:pPr>
        <w:pBdr>
          <w:bottom w:val="single" w:color="D4AF37" w:sz="8" w:space="6"/>
        </w:pBdr>
        <w:spacing w:after="220"/>
        <w:jc w:val="center"/>
      </w:pPr>
      <w:r>
        <w:rPr>
          <w:rFonts w:ascii="Calibri" w:eastAsia="Microsoft YaHei"/>
          <w:b/>
          <w:bCs/>
          <w:color w:val="B8860B"/>
          <w:spacing w:val="20"/>
          <w:sz w:val="22"/>
          <w:szCs w:val="22"/>
        </w:rPr>
        <w:t xml:space="preserve">BANKRUPTCY-REMOTE STATUS; SEGREGATION</w:t>
      </w:r>
    </w:p>
    <w:p>
      <w:pPr>
        <w:spacing w:after="140" w:line="312"/>
        <w:ind w:left="720" w:hanging="540"/>
        <w:jc w:val="both"/>
      </w:pPr>
      <w:r>
        <w:rPr>
          <w:rFonts w:ascii="Calibri" w:eastAsia="Microsoft YaHei"/>
          <w:b/>
          <w:bCs/>
          <w:color w:val="0F2027"/>
          <w:sz w:val="22"/>
          <w:szCs w:val="22"/>
        </w:rPr>
        <w:t xml:space="preserve">3.1	</w:t>
      </w:r>
      <w:r>
        <w:rPr>
          <w:rFonts w:ascii="Calibri" w:eastAsia="Microsoft YaHei"/>
          <w:color w:val="000000"/>
          <w:sz w:val="22"/>
          <w:szCs w:val="22"/>
        </w:rPr>
        <w:t xml:space="preserve">Non-Estate Status. The Parties expressly acknowledge and agree that Capital Partner Funds deposited in the Client Account are, by operation of Article 47 of the Lawyers' Code, the property of the Capital Partners and the Enterprise — and are not, under any circumstance, the property of the Law Firm. In the event of the Law Firm's bankruptcy, insolvency, receivership, dissolution, regulatory seizure, or any analogous proceeding, Client Account funds shall be excluded from the Law Firm's bankruptcy estate and shall not be available to satisfy any claim of Law Firm creditors.</w:t>
      </w:r>
    </w:p>
    <w:p>
      <w:pPr>
        <w:spacing w:after="140" w:line="312"/>
        <w:ind w:left="720" w:hanging="540"/>
        <w:jc w:val="both"/>
      </w:pPr>
      <w:r>
        <w:rPr>
          <w:rFonts w:ascii="Calibri" w:eastAsia="Microsoft YaHei"/>
          <w:b/>
          <w:bCs/>
          <w:color w:val="0F2027"/>
          <w:sz w:val="22"/>
          <w:szCs w:val="22"/>
        </w:rPr>
        <w:t xml:space="preserve">3.2	</w:t>
      </w:r>
      <w:r>
        <w:rPr>
          <w:rFonts w:ascii="Calibri" w:eastAsia="Microsoft YaHei"/>
          <w:color w:val="000000"/>
          <w:sz w:val="22"/>
          <w:szCs w:val="22"/>
        </w:rPr>
        <w:t xml:space="preserve">No Set-Off. The Law Firm shall not, and shall not permit its bank to, exercise any right of set-off, retention, lien, or compensation against the Client Account or any funds therein, whether in respect of Law Firm fees, Law Firm tax liabilities, Law Firm partner obligations, or any other Law Firm obligation of any nature.</w:t>
      </w:r>
    </w:p>
    <w:p>
      <w:pPr>
        <w:spacing w:after="140" w:line="312"/>
        <w:ind w:left="720" w:hanging="540"/>
        <w:jc w:val="both"/>
      </w:pPr>
      <w:r>
        <w:rPr>
          <w:rFonts w:ascii="Calibri" w:eastAsia="Microsoft YaHei"/>
          <w:b/>
          <w:bCs/>
          <w:color w:val="0F2027"/>
          <w:sz w:val="22"/>
          <w:szCs w:val="22"/>
        </w:rPr>
        <w:t xml:space="preserve">3.3	</w:t>
      </w:r>
      <w:r>
        <w:rPr>
          <w:rFonts w:ascii="Calibri" w:eastAsia="Microsoft YaHei"/>
          <w:color w:val="000000"/>
          <w:sz w:val="22"/>
          <w:szCs w:val="22"/>
        </w:rPr>
        <w:t xml:space="preserve">Traceability. The Law Firm shall maintain complete, contemporaneous, and auditable records sufficient to identify, at any moment, the precise amount of Capital Partner Funds attributable to each Capital Partner and to the Enterprise in the aggregate. Such records shall be (a) reconciled against the bank statement of the Client Account no less frequently than weekly, (b) published to the AURIENTA immutable ledger in real time as deposit and release events occur, and (c) made available to the Enterprise, the Accounting Firm, the FRA, and any court of competent jurisdiction upon request.</w:t>
      </w:r>
    </w:p>
    <w:p>
      <w:pPr>
        <w:spacing w:after="140" w:line="312"/>
        <w:ind w:left="720" w:hanging="540"/>
        <w:jc w:val="both"/>
      </w:pPr>
      <w:r>
        <w:rPr>
          <w:rFonts w:ascii="Calibri" w:eastAsia="Microsoft YaHei"/>
          <w:b/>
          <w:bCs/>
          <w:color w:val="0F2027"/>
          <w:sz w:val="22"/>
          <w:szCs w:val="22"/>
        </w:rPr>
        <w:t xml:space="preserve">3.4	</w:t>
      </w:r>
      <w:r>
        <w:rPr>
          <w:rFonts w:ascii="Calibri" w:eastAsia="Microsoft YaHei"/>
          <w:color w:val="000000"/>
          <w:sz w:val="22"/>
          <w:szCs w:val="22"/>
        </w:rPr>
        <w:t xml:space="preserve">Successor Law Firm. In the event of Law Firm termination, resignation, disqualification, or inability to act, the Capital Partner Funds in the Client Account shall be transferred, within five (5) business days, to the Client Account of a successor law firm appointed in accordance with the Charter's law-firm-replacement procedure, and the Law Firm shall provide all reasonable cooperation to effect such transfer. No Capital Partner Funds shall remain in the Client Account of a terminated Law Firm for longer than five (5) business days following termination.</w:t>
      </w:r>
    </w:p>
    <w:p>
      <w:pPr>
        <w:spacing w:after="60" w:before="420"/>
        <w:jc w:val="center"/>
      </w:pPr>
      <w:r>
        <w:rPr>
          <w:rFonts w:ascii="Calibri" w:eastAsia="Microsoft YaHei"/>
          <w:b/>
          <w:bCs/>
          <w:color w:val="0F2027"/>
          <w:spacing w:val="30"/>
          <w:sz w:val="28"/>
          <w:szCs w:val="28"/>
        </w:rPr>
        <w:t xml:space="preserve">ARTICLE IV</w:t>
      </w:r>
    </w:p>
    <w:p>
      <w:pPr>
        <w:pBdr>
          <w:bottom w:val="single" w:color="D4AF37" w:sz="8" w:space="6"/>
        </w:pBdr>
        <w:spacing w:after="220"/>
        <w:jc w:val="center"/>
      </w:pPr>
      <w:r>
        <w:rPr>
          <w:rFonts w:ascii="Calibri" w:eastAsia="Microsoft YaHei"/>
          <w:b/>
          <w:bCs/>
          <w:color w:val="B8860B"/>
          <w:spacing w:val="20"/>
          <w:sz w:val="22"/>
          <w:szCs w:val="22"/>
        </w:rPr>
        <w:t xml:space="preserve">DUAL-AUTHORIZATION RELEASE PROTOCOL</w:t>
      </w:r>
    </w:p>
    <w:p>
      <w:pPr>
        <w:spacing w:after="140" w:line="312"/>
        <w:ind w:left="720" w:hanging="540"/>
        <w:jc w:val="both"/>
      </w:pPr>
      <w:r>
        <w:rPr>
          <w:rFonts w:ascii="Calibri" w:eastAsia="Microsoft YaHei"/>
          <w:b/>
          <w:bCs/>
          <w:color w:val="0F2027"/>
          <w:sz w:val="22"/>
          <w:szCs w:val="22"/>
        </w:rPr>
        <w:t xml:space="preserve">4.1	</w:t>
      </w:r>
      <w:r>
        <w:rPr>
          <w:rFonts w:ascii="Calibri" w:eastAsia="Microsoft YaHei"/>
          <w:color w:val="000000"/>
          <w:sz w:val="22"/>
          <w:szCs w:val="22"/>
        </w:rPr>
        <w:t xml:space="preserve">Dual Authorization Required. The Law Firm shall release Capital Partner Funds from the Client Account only upon receipt of both (a) Board Approval and (b) Accounting Firm Evidence Verification, in each case in the form, substance, and ledger-recorded manner required by the Charter and this Agreement. The Law Firm shall not release any funds upon a single authorization alone — and shall not release any funds upon the instruction of AURIENTA alone, the Enterprise's manager alone, or any single Capital Partner alone.</w:t>
      </w:r>
    </w:p>
    <w:p>
      <w:pPr>
        <w:spacing w:after="140" w:line="312"/>
        <w:ind w:left="720" w:hanging="540"/>
        <w:jc w:val="both"/>
      </w:pPr>
      <w:r>
        <w:rPr>
          <w:rFonts w:ascii="Calibri" w:eastAsia="Microsoft YaHei"/>
          <w:b/>
          <w:bCs/>
          <w:color w:val="0F2027"/>
          <w:sz w:val="22"/>
          <w:szCs w:val="22"/>
        </w:rPr>
        <w:t xml:space="preserve">4.2	</w:t>
      </w:r>
      <w:r>
        <w:rPr>
          <w:rFonts w:ascii="Calibri" w:eastAsia="Microsoft YaHei"/>
          <w:color w:val="000000"/>
          <w:sz w:val="22"/>
          <w:szCs w:val="22"/>
        </w:rPr>
        <w:t xml:space="preserve">Form of Board Approval. Board Approval shall be delivered to the Law Firm in the form of a constitutional ledger entry signed by the requisite number of Enterprise directors under the Charter's quorum and voting rules, identifying (a) the amount to be released, (b) the payee bank account (vendor or operating account), (c) the milestone or budget line item to which the release corresponds, and (d) the CRE-issued decision token validating the constitutional compliance of the proposed release.</w:t>
      </w:r>
    </w:p>
    <w:p>
      <w:pPr>
        <w:spacing w:after="140" w:line="312"/>
        <w:ind w:left="720" w:hanging="540"/>
        <w:jc w:val="both"/>
      </w:pPr>
      <w:r>
        <w:rPr>
          <w:rFonts w:ascii="Calibri" w:eastAsia="Microsoft YaHei"/>
          <w:b/>
          <w:bCs/>
          <w:color w:val="0F2027"/>
          <w:sz w:val="22"/>
          <w:szCs w:val="22"/>
        </w:rPr>
        <w:t xml:space="preserve">4.3	</w:t>
      </w:r>
      <w:r>
        <w:rPr>
          <w:rFonts w:ascii="Calibri" w:eastAsia="Microsoft YaHei"/>
          <w:color w:val="000000"/>
          <w:sz w:val="22"/>
          <w:szCs w:val="22"/>
        </w:rPr>
        <w:t xml:space="preserve">Form of Accounting Firm Evidence Verification. Accounting Firm Evidence Verification shall be delivered to the Law Firm in the form of a signed certification issued by the Certified Accounting Firm appointed to the Enterprise, certifying that the milestone or disbursement evidence has been independently verified in accordance with ESAA standards and identifying (a) the evidence documents reviewed, (b) the verification methodology applied, (c) the verification date, and (d) the constitutional ledger reference of the underlying Board Approval.</w:t>
      </w:r>
    </w:p>
    <w:p>
      <w:pPr>
        <w:spacing w:after="140" w:line="312"/>
        <w:ind w:left="720" w:hanging="540"/>
        <w:jc w:val="both"/>
      </w:pPr>
      <w:r>
        <w:rPr>
          <w:rFonts w:ascii="Calibri" w:eastAsia="Microsoft YaHei"/>
          <w:b/>
          <w:bCs/>
          <w:color w:val="0F2027"/>
          <w:sz w:val="22"/>
          <w:szCs w:val="22"/>
        </w:rPr>
        <w:t xml:space="preserve">4.4	</w:t>
      </w:r>
      <w:r>
        <w:rPr>
          <w:rFonts w:ascii="Calibri" w:eastAsia="Microsoft YaHei"/>
          <w:color w:val="000000"/>
          <w:sz w:val="22"/>
          <w:szCs w:val="22"/>
        </w:rPr>
        <w:t xml:space="preserve">Order of Authorizations. The Law Firm shall not act upon Board Approval unless and until the corresponding Accounting Firm Evidence Verification has been received, and shall not act upon Accounting Firm Evidence Verification unless and until the corresponding Board Approval has been received. The two authorizations are conjunctive and cumulative, not alternative.</w:t>
      </w:r>
    </w:p>
    <w:p>
      <w:pPr>
        <w:spacing w:after="140" w:line="312"/>
        <w:ind w:left="720" w:hanging="540"/>
        <w:jc w:val="both"/>
      </w:pPr>
      <w:r>
        <w:rPr>
          <w:rFonts w:ascii="Calibri" w:eastAsia="Microsoft YaHei"/>
          <w:b/>
          <w:bCs/>
          <w:color w:val="0F2027"/>
          <w:sz w:val="22"/>
          <w:szCs w:val="22"/>
        </w:rPr>
        <w:t xml:space="preserve">4.5	</w:t>
      </w:r>
      <w:r>
        <w:rPr>
          <w:rFonts w:ascii="Calibri" w:eastAsia="Microsoft YaHei"/>
          <w:color w:val="000000"/>
          <w:sz w:val="22"/>
          <w:szCs w:val="22"/>
        </w:rPr>
        <w:t xml:space="preserve">Release Execution. Upon receipt of both authorizations in proper form, the Law Firm shall execute the release by bank transfer from the Client Account to the payee bank account identified in the Board Approval, within two (2) business days. The Law Firm shall publish the release event to the constitutional ledger contemporaneously with execution.</w:t>
      </w:r>
    </w:p>
    <w:p>
      <w:pPr>
        <w:spacing w:after="140" w:line="312"/>
        <w:ind w:left="720" w:hanging="540"/>
        <w:jc w:val="both"/>
      </w:pPr>
      <w:r>
        <w:rPr>
          <w:rFonts w:ascii="Calibri" w:eastAsia="Microsoft YaHei"/>
          <w:b/>
          <w:bCs/>
          <w:color w:val="0F2027"/>
          <w:sz w:val="22"/>
          <w:szCs w:val="22"/>
        </w:rPr>
        <w:t xml:space="preserve">4.6	</w:t>
      </w:r>
      <w:r>
        <w:rPr>
          <w:rFonts w:ascii="Calibri" w:eastAsia="Microsoft YaHei"/>
          <w:color w:val="000000"/>
          <w:sz w:val="22"/>
          <w:szCs w:val="22"/>
        </w:rPr>
        <w:t xml:space="preserve">Refusal Rights. The Law Firm shall refuse to execute any release that (a) lacks either required authorization, (b) is facially inconsistent with the Charter or this Agreement, (c) would cause the Client Account to be overdrawn, or (d) is the subject of a documented regulatory hold, court order, or lawful freeze. Any such refusal shall be recorded in the constitutional ledger with reasons.</w:t>
      </w:r>
    </w:p>
    <w:p>
      <w:pPr>
        <w:spacing w:after="60" w:before="420"/>
        <w:jc w:val="center"/>
      </w:pPr>
      <w:r>
        <w:rPr>
          <w:rFonts w:ascii="Calibri" w:eastAsia="Microsoft YaHei"/>
          <w:b/>
          <w:bCs/>
          <w:color w:val="0F2027"/>
          <w:spacing w:val="30"/>
          <w:sz w:val="28"/>
          <w:szCs w:val="28"/>
        </w:rPr>
        <w:t xml:space="preserve">ARTICLE V</w:t>
      </w:r>
    </w:p>
    <w:p>
      <w:pPr>
        <w:pBdr>
          <w:bottom w:val="single" w:color="D4AF37" w:sz="8" w:space="6"/>
        </w:pBdr>
        <w:spacing w:after="220"/>
        <w:jc w:val="center"/>
      </w:pPr>
      <w:r>
        <w:rPr>
          <w:rFonts w:ascii="Calibri" w:eastAsia="Microsoft YaHei"/>
          <w:b/>
          <w:bCs/>
          <w:color w:val="B8860B"/>
          <w:spacing w:val="20"/>
          <w:sz w:val="22"/>
          <w:szCs w:val="22"/>
        </w:rPr>
        <w:t xml:space="preserve">PROFESSIONAL INDEMNITY INSURANCE</w:t>
      </w:r>
    </w:p>
    <w:p>
      <w:pPr>
        <w:spacing w:after="140" w:line="312"/>
        <w:ind w:left="720" w:hanging="540"/>
        <w:jc w:val="both"/>
      </w:pPr>
      <w:r>
        <w:rPr>
          <w:rFonts w:ascii="Calibri" w:eastAsia="Microsoft YaHei"/>
          <w:b/>
          <w:bCs/>
          <w:color w:val="0F2027"/>
          <w:sz w:val="22"/>
          <w:szCs w:val="22"/>
        </w:rPr>
        <w:t xml:space="preserve">5.1	</w:t>
      </w:r>
      <w:r>
        <w:rPr>
          <w:rFonts w:ascii="Calibri" w:eastAsia="Microsoft YaHei"/>
          <w:color w:val="000000"/>
          <w:sz w:val="22"/>
          <w:szCs w:val="22"/>
        </w:rPr>
        <w:t xml:space="preserve">Minimum Coverage. The Law Firm shall, at its sole cost and at all times during the term of this Agreement, maintain professional indemnity insurance with a reputable, Egyptian-licensed insurer, in an aggregate amount of not less than ONE HUNDRED MILLION EGYPTIAN POUNDS (EGP 100,000,000) per claim and in the aggregate per policy year.</w:t>
      </w:r>
    </w:p>
    <w:p>
      <w:pPr>
        <w:spacing w:after="140" w:line="312"/>
        <w:ind w:left="720" w:hanging="540"/>
        <w:jc w:val="both"/>
      </w:pPr>
      <w:r>
        <w:rPr>
          <w:rFonts w:ascii="Calibri" w:eastAsia="Microsoft YaHei"/>
          <w:b/>
          <w:bCs/>
          <w:color w:val="0F2027"/>
          <w:sz w:val="22"/>
          <w:szCs w:val="22"/>
        </w:rPr>
        <w:t xml:space="preserve">5.2	</w:t>
      </w:r>
      <w:r>
        <w:rPr>
          <w:rFonts w:ascii="Calibri" w:eastAsia="Microsoft YaHei"/>
          <w:color w:val="000000"/>
          <w:sz w:val="22"/>
          <w:szCs w:val="22"/>
        </w:rPr>
        <w:t xml:space="preserve">Coverage Scope. Such insurance shall cover (a) loss of client funds, (b) misapplication or misdirection of client funds, (c) failure to segregate client funds, (d) release of client funds in violation of the Dual-Authorization Protocol, (e) cyber, fraud, and social-engineering events affecting the Client Account, and (f) any other act, error, or omission of the Law Firm, its partners, employees, or agents in connection with the holding or release of Capital Partner Funds.</w:t>
      </w:r>
    </w:p>
    <w:p>
      <w:pPr>
        <w:spacing w:after="140" w:line="312"/>
        <w:ind w:left="720" w:hanging="540"/>
        <w:jc w:val="both"/>
      </w:pPr>
      <w:r>
        <w:rPr>
          <w:rFonts w:ascii="Calibri" w:eastAsia="Microsoft YaHei"/>
          <w:b/>
          <w:bCs/>
          <w:color w:val="0F2027"/>
          <w:sz w:val="22"/>
          <w:szCs w:val="22"/>
        </w:rPr>
        <w:t xml:space="preserve">5.3	</w:t>
      </w:r>
      <w:r>
        <w:rPr>
          <w:rFonts w:ascii="Calibri" w:eastAsia="Microsoft YaHei"/>
          <w:color w:val="000000"/>
          <w:sz w:val="22"/>
          <w:szCs w:val="22"/>
        </w:rPr>
        <w:t xml:space="preserve">Evidence of Insurance. The Law Firm shall deliver to AURIENTA and the Enterprise, upon execution of this Agreement and annually thereafter within thirty (30) days of each policy renewal, a certificate of insurance evidencing the coverage required by this Article V, naming AURIENTA and the Enterprise as additional insureds, and providing for not less than thirty (30) days' prior written notice of cancellation or material adverse modification.</w:t>
      </w:r>
    </w:p>
    <w:p>
      <w:pPr>
        <w:spacing w:after="140" w:line="312"/>
        <w:ind w:left="720" w:hanging="540"/>
        <w:jc w:val="both"/>
      </w:pPr>
      <w:r>
        <w:rPr>
          <w:rFonts w:ascii="Calibri" w:eastAsia="Microsoft YaHei"/>
          <w:b/>
          <w:bCs/>
          <w:color w:val="0F2027"/>
          <w:sz w:val="22"/>
          <w:szCs w:val="22"/>
        </w:rPr>
        <w:t xml:space="preserve">5.4	</w:t>
      </w:r>
      <w:r>
        <w:rPr>
          <w:rFonts w:ascii="Calibri" w:eastAsia="Microsoft YaHei"/>
          <w:color w:val="000000"/>
          <w:sz w:val="22"/>
          <w:szCs w:val="22"/>
        </w:rPr>
        <w:t xml:space="preserve">No Substitution. The insurance required under this Article V is in addition to, and not in substitution for, the Law Firm's liability under Article 47 of the Lawyers' Code, the Lawyers' Code by-laws, this Agreement, or general Egyptian law. The Law Firm's indemnity obligations under this Agreement are several and not joint with AURIENTA.</w:t>
      </w:r>
    </w:p>
    <w:p>
      <w:pPr>
        <w:spacing w:after="60" w:before="420"/>
        <w:jc w:val="center"/>
      </w:pPr>
      <w:r>
        <w:rPr>
          <w:rFonts w:ascii="Calibri" w:eastAsia="Microsoft YaHei"/>
          <w:b/>
          <w:bCs/>
          <w:color w:val="0F2027"/>
          <w:spacing w:val="30"/>
          <w:sz w:val="28"/>
          <w:szCs w:val="28"/>
        </w:rPr>
        <w:t xml:space="preserve">ARTICLE VI</w:t>
      </w:r>
    </w:p>
    <w:p>
      <w:pPr>
        <w:pBdr>
          <w:bottom w:val="single" w:color="D4AF37" w:sz="8" w:space="6"/>
        </w:pBdr>
        <w:spacing w:after="220"/>
        <w:jc w:val="center"/>
      </w:pPr>
      <w:r>
        <w:rPr>
          <w:rFonts w:ascii="Calibri" w:eastAsia="Microsoft YaHei"/>
          <w:b/>
          <w:bCs/>
          <w:color w:val="B8860B"/>
          <w:spacing w:val="20"/>
          <w:sz w:val="22"/>
          <w:szCs w:val="22"/>
        </w:rPr>
        <w:t xml:space="preserve">FEES AND COMPENSATION</w:t>
      </w:r>
    </w:p>
    <w:p>
      <w:pPr>
        <w:spacing w:after="140" w:line="312"/>
        <w:ind w:left="720" w:hanging="540"/>
        <w:jc w:val="both"/>
      </w:pPr>
      <w:r>
        <w:rPr>
          <w:rFonts w:ascii="Calibri" w:eastAsia="Microsoft YaHei"/>
          <w:b/>
          <w:bCs/>
          <w:color w:val="0F2027"/>
          <w:sz w:val="22"/>
          <w:szCs w:val="22"/>
        </w:rPr>
        <w:t xml:space="preserve">6.1	</w:t>
      </w:r>
      <w:r>
        <w:rPr>
          <w:rFonts w:ascii="Calibri" w:eastAsia="Microsoft YaHei"/>
          <w:color w:val="000000"/>
          <w:sz w:val="22"/>
          <w:szCs w:val="22"/>
        </w:rPr>
        <w:t xml:space="preserve">No Capital-Holding Fee. The Law Firm shall not charge, and the Enterprise shall not pay, any capital-holding, custody, escrow, or asset-under-management fee in respect of Capital Partner Funds held in the Client Account. The Law Firm's compensation for the holding function is included within the Law Firm's retainer for constitutional formation and governance services.</w:t>
      </w:r>
    </w:p>
    <w:p>
      <w:pPr>
        <w:spacing w:after="140" w:line="312"/>
        <w:ind w:left="720" w:hanging="540"/>
        <w:jc w:val="both"/>
      </w:pPr>
      <w:r>
        <w:rPr>
          <w:rFonts w:ascii="Calibri" w:eastAsia="Microsoft YaHei"/>
          <w:b/>
          <w:bCs/>
          <w:color w:val="0F2027"/>
          <w:sz w:val="22"/>
          <w:szCs w:val="22"/>
        </w:rPr>
        <w:t xml:space="preserve">6.2	</w:t>
      </w:r>
      <w:r>
        <w:rPr>
          <w:rFonts w:ascii="Calibri" w:eastAsia="Microsoft YaHei"/>
          <w:color w:val="000000"/>
          <w:sz w:val="22"/>
          <w:szCs w:val="22"/>
        </w:rPr>
        <w:t xml:space="preserve">Release Fee. The Law Firm may charge a per-release administrative fee not exceeding EGP 500 per release, payable from the Enterprise's operating account (not from Capital Partner Funds prior to release), and disclosed on the constitutional ledger.</w:t>
      </w:r>
    </w:p>
    <w:p>
      <w:pPr>
        <w:spacing w:after="140" w:line="312"/>
        <w:ind w:left="720" w:hanging="540"/>
        <w:jc w:val="both"/>
      </w:pPr>
      <w:r>
        <w:rPr>
          <w:rFonts w:ascii="Calibri" w:eastAsia="Microsoft YaHei"/>
          <w:b/>
          <w:bCs/>
          <w:color w:val="0F2027"/>
          <w:sz w:val="22"/>
          <w:szCs w:val="22"/>
        </w:rPr>
        <w:t xml:space="preserve">6.3	</w:t>
      </w:r>
      <w:r>
        <w:rPr>
          <w:rFonts w:ascii="Calibri" w:eastAsia="Microsoft YaHei"/>
          <w:color w:val="000000"/>
          <w:sz w:val="22"/>
          <w:szCs w:val="22"/>
        </w:rPr>
        <w:t xml:space="preserve">Successor-Law-Firm Transfer. In the event of Law Firm replacement, the successor Law Firm shall not charge any transfer-in fee, and the outgoing Law Firm shall not charge any transfer-out fee; each shall bear its own costs of the transfer.</w:t>
      </w:r>
    </w:p>
    <w:p>
      <w:pPr>
        <w:spacing w:after="60" w:before="420"/>
        <w:jc w:val="center"/>
      </w:pPr>
      <w:r>
        <w:rPr>
          <w:rFonts w:ascii="Calibri" w:eastAsia="Microsoft YaHei"/>
          <w:b/>
          <w:bCs/>
          <w:color w:val="0F2027"/>
          <w:spacing w:val="30"/>
          <w:sz w:val="28"/>
          <w:szCs w:val="28"/>
        </w:rPr>
        <w:t xml:space="preserve">ARTICLE VII</w:t>
      </w:r>
    </w:p>
    <w:p>
      <w:pPr>
        <w:pBdr>
          <w:bottom w:val="single" w:color="D4AF37" w:sz="8" w:space="6"/>
        </w:pBdr>
        <w:spacing w:after="220"/>
        <w:jc w:val="center"/>
      </w:pPr>
      <w:r>
        <w:rPr>
          <w:rFonts w:ascii="Calibri" w:eastAsia="Microsoft YaHei"/>
          <w:b/>
          <w:bCs/>
          <w:color w:val="B8860B"/>
          <w:spacing w:val="20"/>
          <w:sz w:val="22"/>
          <w:szCs w:val="22"/>
        </w:rPr>
        <w:t xml:space="preserve">TERM AND TERMINATION</w:t>
      </w:r>
    </w:p>
    <w:p>
      <w:pPr>
        <w:spacing w:after="140" w:line="312"/>
        <w:ind w:left="720" w:hanging="540"/>
        <w:jc w:val="both"/>
      </w:pPr>
      <w:r>
        <w:rPr>
          <w:rFonts w:ascii="Calibri" w:eastAsia="Microsoft YaHei"/>
          <w:b/>
          <w:bCs/>
          <w:color w:val="0F2027"/>
          <w:sz w:val="22"/>
          <w:szCs w:val="22"/>
        </w:rPr>
        <w:t xml:space="preserve">7.1	</w:t>
      </w:r>
      <w:r>
        <w:rPr>
          <w:rFonts w:ascii="Calibri" w:eastAsia="Microsoft YaHei"/>
          <w:color w:val="000000"/>
          <w:sz w:val="22"/>
          <w:szCs w:val="22"/>
        </w:rPr>
        <w:t xml:space="preserve">Term. This Agreement shall commence on the Effective Date and shall continue in force until the earliest of (a) graduation of the Enterprise from the AURIENTA platform in accordance with the Charter's graduation pathway, (b) replacement of the Law Firm in accordance with the Charter's law-firm-replacement procedure, or (c) mutual written agreement of the Parties.</w:t>
      </w:r>
    </w:p>
    <w:p>
      <w:pPr>
        <w:spacing w:after="140" w:line="312"/>
        <w:ind w:left="720" w:hanging="540"/>
        <w:jc w:val="both"/>
      </w:pPr>
      <w:r>
        <w:rPr>
          <w:rFonts w:ascii="Calibri" w:eastAsia="Microsoft YaHei"/>
          <w:b/>
          <w:bCs/>
          <w:color w:val="0F2027"/>
          <w:sz w:val="22"/>
          <w:szCs w:val="22"/>
        </w:rPr>
        <w:t xml:space="preserve">7.2	</w:t>
      </w:r>
      <w:r>
        <w:rPr>
          <w:rFonts w:ascii="Calibri" w:eastAsia="Microsoft YaHei"/>
          <w:color w:val="000000"/>
          <w:sz w:val="22"/>
          <w:szCs w:val="22"/>
        </w:rPr>
        <w:t xml:space="preserve">Termination for Cause. AURIENTA may terminate this Agreement for cause immediately upon written notice if (a) the Law Firm's FRA license is suspended, revoked, or not renewed, (b) the Law Firm fails to maintain the insurance required under Article V, (c) the Law Firm commits a material breach of the Dual-Authorization Protocol, or (d) the Law Firm becomes insolvent or subject to a regulatory enforcement action that materially impairs its ability to perform.</w:t>
      </w:r>
    </w:p>
    <w:p>
      <w:pPr>
        <w:spacing w:after="140" w:line="312"/>
        <w:ind w:left="720" w:hanging="540"/>
        <w:jc w:val="both"/>
      </w:pPr>
      <w:r>
        <w:rPr>
          <w:rFonts w:ascii="Calibri" w:eastAsia="Microsoft YaHei"/>
          <w:b/>
          <w:bCs/>
          <w:color w:val="0F2027"/>
          <w:sz w:val="22"/>
          <w:szCs w:val="22"/>
        </w:rPr>
        <w:t xml:space="preserve">7.3	</w:t>
      </w:r>
      <w:r>
        <w:rPr>
          <w:rFonts w:ascii="Calibri" w:eastAsia="Microsoft YaHei"/>
          <w:color w:val="000000"/>
          <w:sz w:val="22"/>
          <w:szCs w:val="22"/>
        </w:rPr>
        <w:t xml:space="preserve">Effect of Termination. Upon termination, the Law Firm shall cooperate fully with the successor law firm and shall transfer all Capital Partner Funds and records in accordance with Article III.4. Termination shall not affect any rights or obligations accrued prior to termination, nor the Law Firm's liability for acts or omissions during the term.</w:t>
      </w:r>
    </w:p>
    <w:p>
      <w:pPr>
        <w:spacing w:after="60" w:before="420"/>
        <w:jc w:val="center"/>
      </w:pPr>
      <w:r>
        <w:rPr>
          <w:rFonts w:ascii="Calibri" w:eastAsia="Microsoft YaHei"/>
          <w:b/>
          <w:bCs/>
          <w:color w:val="0F2027"/>
          <w:spacing w:val="30"/>
          <w:sz w:val="28"/>
          <w:szCs w:val="28"/>
        </w:rPr>
        <w:t xml:space="preserve">ARTICLE VIII</w:t>
      </w:r>
    </w:p>
    <w:p>
      <w:pPr>
        <w:pBdr>
          <w:bottom w:val="single" w:color="D4AF37" w:sz="8" w:space="6"/>
        </w:pBdr>
        <w:spacing w:after="220"/>
        <w:jc w:val="center"/>
      </w:pPr>
      <w:r>
        <w:rPr>
          <w:rFonts w:ascii="Calibri" w:eastAsia="Microsoft YaHei"/>
          <w:b/>
          <w:bCs/>
          <w:color w:val="B8860B"/>
          <w:spacing w:val="20"/>
          <w:sz w:val="22"/>
          <w:szCs w:val="22"/>
        </w:rPr>
        <w:t xml:space="preserve">FRA LICENSE VERIFICATION; REGULATORY</w:t>
      </w:r>
    </w:p>
    <w:p>
      <w:pPr>
        <w:spacing w:after="140" w:line="312"/>
        <w:ind w:left="720" w:hanging="540"/>
        <w:jc w:val="both"/>
      </w:pPr>
      <w:r>
        <w:rPr>
          <w:rFonts w:ascii="Calibri" w:eastAsia="Microsoft YaHei"/>
          <w:b/>
          <w:bCs/>
          <w:color w:val="0F2027"/>
          <w:sz w:val="22"/>
          <w:szCs w:val="22"/>
        </w:rPr>
        <w:t xml:space="preserve">8.1	</w:t>
      </w:r>
      <w:r>
        <w:rPr>
          <w:rFonts w:ascii="Calibri" w:eastAsia="Microsoft YaHei"/>
          <w:color w:val="000000"/>
          <w:sz w:val="22"/>
          <w:szCs w:val="22"/>
        </w:rPr>
        <w:t xml:space="preserve">License Verification. The Law Firm represents and warrants that it holds a valid and subsisting license under the Egyptian Lawyers' Code (Law No. 17 of 1983), is registered in good standing with the Egyptian Bar Association, and (where required) holds any FRA registration applicable to the holding and release of client funds in connection with constitutional enterprises. AURIENTA shall verify the Law Firm's license status against the Egyptian Bar Association's registry and the FRA registry within ten (10) business days of execution of this Agreement, and annually thereafter.</w:t>
      </w:r>
    </w:p>
    <w:p>
      <w:pPr>
        <w:spacing w:after="140" w:line="312"/>
        <w:ind w:left="720" w:hanging="540"/>
        <w:jc w:val="both"/>
      </w:pPr>
      <w:r>
        <w:rPr>
          <w:rFonts w:ascii="Calibri" w:eastAsia="Microsoft YaHei"/>
          <w:b/>
          <w:bCs/>
          <w:color w:val="0F2027"/>
          <w:sz w:val="22"/>
          <w:szCs w:val="22"/>
        </w:rPr>
        <w:t xml:space="preserve">8.2	</w:t>
      </w:r>
      <w:r>
        <w:rPr>
          <w:rFonts w:ascii="Calibri" w:eastAsia="Microsoft YaHei"/>
          <w:color w:val="000000"/>
          <w:sz w:val="22"/>
          <w:szCs w:val="22"/>
        </w:rPr>
        <w:t xml:space="preserve">FRA No-Action Letter. The Parties acknowledge that the FRA has issued a No-Action Letter confirming that the Direct Law-Firm Transfer Model does not require FRA licensing on the part of AURIENTA, provided that (a) AURIENTA does not hold, control, or direct any capital, (b) the Law Firm holds funds under Article 47 of the Lawyers' Code, and (c) the Dual-Authorization Protocol is observed. The Parties shall comply with the conditions of the No-Action Letter at all times.</w:t>
      </w:r>
    </w:p>
    <w:p>
      <w:pPr>
        <w:spacing w:after="140" w:line="312"/>
        <w:ind w:left="720" w:hanging="540"/>
        <w:jc w:val="both"/>
      </w:pPr>
      <w:r>
        <w:rPr>
          <w:rFonts w:ascii="Calibri" w:eastAsia="Microsoft YaHei"/>
          <w:b/>
          <w:bCs/>
          <w:color w:val="0F2027"/>
          <w:sz w:val="22"/>
          <w:szCs w:val="22"/>
        </w:rPr>
        <w:t xml:space="preserve">8.3	</w:t>
      </w:r>
      <w:r>
        <w:rPr>
          <w:rFonts w:ascii="Calibri" w:eastAsia="Microsoft YaHei"/>
          <w:color w:val="000000"/>
          <w:sz w:val="22"/>
          <w:szCs w:val="22"/>
        </w:rPr>
        <w:t xml:space="preserve">Regulatory Cooperation. Each Party shall promptly notify the other Parties of (a) any inquiry, examination, or investigation by the FRA, the Egyptian Bar Association, ESAA, or any other governmental authority relating to the Client Account or the Capital Partner Funds, (b) any material change in its licensing or regulatory status, and (c) any order, summons, or request that may affect the Client Account.</w:t>
      </w:r>
    </w:p>
    <w:p>
      <w:pPr>
        <w:spacing w:after="140" w:line="312"/>
        <w:ind w:left="720" w:hanging="540"/>
        <w:jc w:val="both"/>
      </w:pPr>
      <w:r>
        <w:rPr>
          <w:rFonts w:ascii="Calibri" w:eastAsia="Microsoft YaHei"/>
          <w:b/>
          <w:bCs/>
          <w:color w:val="0F2027"/>
          <w:sz w:val="22"/>
          <w:szCs w:val="22"/>
        </w:rPr>
        <w:t xml:space="preserve">8.4	</w:t>
      </w:r>
      <w:r>
        <w:rPr>
          <w:rFonts w:ascii="Calibri" w:eastAsia="Microsoft YaHei"/>
          <w:color w:val="000000"/>
          <w:sz w:val="22"/>
          <w:szCs w:val="22"/>
        </w:rPr>
        <w:t xml:space="preserve">Anti-Money-Laundering. The Law Firm shall apply Egyptian AML/KYC requirements (Law No. 80 of 2002 and implementing regulations) to each Capital Partner whose funds are deposited into the Client Account, including without limitation source-of-funds verification, sanctions screening, and suspicious-transaction reporting. AURIENTA shall provide the Law Firm with each Capital Partner's KYC dossier as assembled under the Charter's sovereign identity layer.</w:t>
      </w:r>
    </w:p>
    <w:p>
      <w:pPr>
        <w:spacing w:after="60" w:before="420"/>
        <w:jc w:val="center"/>
      </w:pPr>
      <w:r>
        <w:rPr>
          <w:rFonts w:ascii="Calibri" w:eastAsia="Microsoft YaHei"/>
          <w:b/>
          <w:bCs/>
          <w:color w:val="0F2027"/>
          <w:spacing w:val="30"/>
          <w:sz w:val="28"/>
          <w:szCs w:val="28"/>
        </w:rPr>
        <w:t xml:space="preserve">ARTICLE IX</w:t>
      </w:r>
    </w:p>
    <w:p>
      <w:pPr>
        <w:pBdr>
          <w:bottom w:val="single" w:color="D4AF37" w:sz="8" w:space="6"/>
        </w:pBdr>
        <w:spacing w:after="220"/>
        <w:jc w:val="center"/>
      </w:pPr>
      <w:r>
        <w:rPr>
          <w:rFonts w:ascii="Calibri" w:eastAsia="Microsoft YaHei"/>
          <w:b/>
          <w:bCs/>
          <w:color w:val="B8860B"/>
          <w:spacing w:val="20"/>
          <w:sz w:val="22"/>
          <w:szCs w:val="22"/>
        </w:rPr>
        <w:t xml:space="preserve">RELATIONSHIP TO AMENDMENT IX</w:t>
      </w:r>
    </w:p>
    <w:p>
      <w:pPr>
        <w:spacing w:after="140" w:line="312"/>
        <w:ind w:left="720" w:hanging="540"/>
        <w:jc w:val="both"/>
      </w:pPr>
      <w:r>
        <w:rPr>
          <w:rFonts w:ascii="Calibri" w:eastAsia="Microsoft YaHei"/>
          <w:b/>
          <w:bCs/>
          <w:color w:val="0F2027"/>
          <w:sz w:val="22"/>
          <w:szCs w:val="22"/>
        </w:rPr>
        <w:t xml:space="preserve">9.1	</w:t>
      </w:r>
      <w:r>
        <w:rPr>
          <w:rFonts w:ascii="Calibri" w:eastAsia="Microsoft YaHei"/>
          <w:color w:val="000000"/>
          <w:sz w:val="22"/>
          <w:szCs w:val="22"/>
        </w:rPr>
        <w:t xml:space="preserve">Incorporation by Reference. Amendment IX to the AURIENTA Constitutional Charter, bearing constitutional hash 0xA9C7E1D4F0B3A825E6F1C9D2B7E4A0C3F6D8B1E5A2, is incorporated herein by reference. In the event of any conflict between this Agreement and Amendment IX, Amendment IX shall control with respect to constitutional matters and this Agreement shall control with respect to operational matters.</w:t>
      </w:r>
    </w:p>
    <w:p>
      <w:pPr>
        <w:spacing w:after="140" w:line="312"/>
        <w:ind w:left="720" w:hanging="540"/>
        <w:jc w:val="both"/>
      </w:pPr>
      <w:r>
        <w:rPr>
          <w:rFonts w:ascii="Calibri" w:eastAsia="Microsoft YaHei"/>
          <w:b/>
          <w:bCs/>
          <w:color w:val="0F2027"/>
          <w:sz w:val="22"/>
          <w:szCs w:val="22"/>
        </w:rPr>
        <w:t xml:space="preserve">9.2	</w:t>
      </w:r>
      <w:r>
        <w:rPr>
          <w:rFonts w:ascii="Calibri" w:eastAsia="Microsoft YaHei"/>
          <w:color w:val="000000"/>
          <w:sz w:val="22"/>
          <w:szCs w:val="22"/>
        </w:rPr>
        <w:t xml:space="preserve">Charter Hierarchy. This Agreement is subordinate to, and shall be interpreted consistently with, the Charter as amended by Amendment IX. The non-amendable rules of Volume 1A of the Charter (including the Zero Custody rule) shall at all times prevail over any inconsistent provision of this Agreement.</w:t>
      </w:r>
    </w:p>
    <w:p>
      <w:pPr>
        <w:spacing w:after="140" w:line="312"/>
        <w:ind w:left="720" w:hanging="540"/>
        <w:jc w:val="both"/>
      </w:pPr>
      <w:r>
        <w:rPr>
          <w:rFonts w:ascii="Calibri" w:eastAsia="Microsoft YaHei"/>
          <w:b/>
          <w:bCs/>
          <w:color w:val="0F2027"/>
          <w:sz w:val="22"/>
          <w:szCs w:val="22"/>
        </w:rPr>
        <w:t xml:space="preserve">9.3	</w:t>
      </w:r>
      <w:r>
        <w:rPr>
          <w:rFonts w:ascii="Calibri" w:eastAsia="Microsoft YaHei"/>
          <w:color w:val="000000"/>
          <w:sz w:val="22"/>
          <w:szCs w:val="22"/>
        </w:rPr>
        <w:t xml:space="preserve">Zero Custody. The Parties expressly acknowledge that AURIENTA's Zero Custody rule — that AURIENTA never holds, touches, or controls any Capital Partner Funds — is a non-amendable constitutional rule. Nothing in this Agreement shall be construed to impose any custodial, holding, or control obligation on AURIENTA.</w:t>
      </w:r>
    </w:p>
    <w:p>
      <w:pPr>
        <w:spacing w:after="60" w:before="420"/>
        <w:jc w:val="center"/>
      </w:pPr>
      <w:r>
        <w:rPr>
          <w:rFonts w:ascii="Calibri" w:eastAsia="Microsoft YaHei"/>
          <w:b/>
          <w:bCs/>
          <w:color w:val="0F2027"/>
          <w:spacing w:val="30"/>
          <w:sz w:val="28"/>
          <w:szCs w:val="28"/>
        </w:rPr>
        <w:t xml:space="preserve">ARTICLE X</w:t>
      </w:r>
    </w:p>
    <w:p>
      <w:pPr>
        <w:pBdr>
          <w:bottom w:val="single" w:color="D4AF37" w:sz="8" w:space="6"/>
        </w:pBdr>
        <w:spacing w:after="220"/>
        <w:jc w:val="center"/>
      </w:pPr>
      <w:r>
        <w:rPr>
          <w:rFonts w:ascii="Calibri" w:eastAsia="Microsoft YaHei"/>
          <w:b/>
          <w:bCs/>
          <w:color w:val="B8860B"/>
          <w:spacing w:val="20"/>
          <w:sz w:val="22"/>
          <w:szCs w:val="22"/>
        </w:rPr>
        <w:t xml:space="preserve">MISCELLANEOUS</w:t>
      </w:r>
    </w:p>
    <w:p>
      <w:pPr>
        <w:spacing w:after="140" w:line="312"/>
        <w:ind w:left="720" w:hanging="540"/>
        <w:jc w:val="both"/>
      </w:pPr>
      <w:r>
        <w:rPr>
          <w:rFonts w:ascii="Calibri" w:eastAsia="Microsoft YaHei"/>
          <w:b/>
          <w:bCs/>
          <w:color w:val="0F2027"/>
          <w:sz w:val="22"/>
          <w:szCs w:val="22"/>
        </w:rPr>
        <w:t xml:space="preserve">10.1	</w:t>
      </w:r>
      <w:r>
        <w:rPr>
          <w:rFonts w:ascii="Calibri" w:eastAsia="Microsoft YaHei"/>
          <w:color w:val="000000"/>
          <w:sz w:val="22"/>
          <w:szCs w:val="22"/>
        </w:rPr>
        <w:t xml:space="preserve">Governing Law. This Agreement shall be governed by and construed in accordance with the laws of the Arab Republic of Egypt, including without limitation the Egyptian Lawyers' Code (Law No. 17 of 1983), Companies Law No. 159 of 1981, and the Egyptian Civil Code.</w:t>
      </w:r>
    </w:p>
    <w:p>
      <w:pPr>
        <w:spacing w:after="140" w:line="312"/>
        <w:ind w:left="720" w:hanging="540"/>
        <w:jc w:val="both"/>
      </w:pPr>
      <w:r>
        <w:rPr>
          <w:rFonts w:ascii="Calibri" w:eastAsia="Microsoft YaHei"/>
          <w:b/>
          <w:bCs/>
          <w:color w:val="0F2027"/>
          <w:sz w:val="22"/>
          <w:szCs w:val="22"/>
        </w:rPr>
        <w:t xml:space="preserve">10.2	</w:t>
      </w:r>
      <w:r>
        <w:rPr>
          <w:rFonts w:ascii="Calibri" w:eastAsia="Microsoft YaHei"/>
          <w:color w:val="000000"/>
          <w:sz w:val="22"/>
          <w:szCs w:val="22"/>
        </w:rPr>
        <w:t xml:space="preserve">Dispute Resolution. Any dispute arising out of or relating to this Agreement shall be finally resolved by arbitration administered by the Cairo Regional Centre for International Commercial Arbitration (CRCICA) under its rules, seated in Cairo, in the Arabic and English languages, by a panel of three (3) arbitrators, each of whom shall be a qualified Egyptian lawyer or accountant of at least fifteen (15) years' standing.</w:t>
      </w:r>
    </w:p>
    <w:p>
      <w:pPr>
        <w:spacing w:after="140" w:line="312"/>
        <w:ind w:left="720" w:hanging="540"/>
        <w:jc w:val="both"/>
      </w:pPr>
      <w:r>
        <w:rPr>
          <w:rFonts w:ascii="Calibri" w:eastAsia="Microsoft YaHei"/>
          <w:b/>
          <w:bCs/>
          <w:color w:val="0F2027"/>
          <w:sz w:val="22"/>
          <w:szCs w:val="22"/>
        </w:rPr>
        <w:t xml:space="preserve">10.3	</w:t>
      </w:r>
      <w:r>
        <w:rPr>
          <w:rFonts w:ascii="Calibri" w:eastAsia="Microsoft YaHei"/>
          <w:color w:val="000000"/>
          <w:sz w:val="22"/>
          <w:szCs w:val="22"/>
        </w:rPr>
        <w:t xml:space="preserve">Notices. All notices under this Agreement shall be in writing and delivered to the Parties at the addresses set forth above (or as updated by written notice), with a copy to the AURIENTA Constitutional Office. Notices published to the constitutional ledger shall have the same force and effect as written notices.</w:t>
      </w:r>
    </w:p>
    <w:p>
      <w:pPr>
        <w:spacing w:after="140" w:line="312"/>
        <w:ind w:left="720" w:hanging="540"/>
        <w:jc w:val="both"/>
      </w:pPr>
      <w:r>
        <w:rPr>
          <w:rFonts w:ascii="Calibri" w:eastAsia="Microsoft YaHei"/>
          <w:b/>
          <w:bCs/>
          <w:color w:val="0F2027"/>
          <w:sz w:val="22"/>
          <w:szCs w:val="22"/>
        </w:rPr>
        <w:t xml:space="preserve">10.4	</w:t>
      </w:r>
      <w:r>
        <w:rPr>
          <w:rFonts w:ascii="Calibri" w:eastAsia="Microsoft YaHei"/>
          <w:color w:val="000000"/>
          <w:sz w:val="22"/>
          <w:szCs w:val="22"/>
        </w:rPr>
        <w:t xml:space="preserve">Entire Agreement. This Agreement, together with the Charter as amended by Amendment IX, constitutes the entire agreement among the Parties with respect to its subject matter and supersedes all prior agreements, understandings, and representations, whether written or oral, relating to the holding and release of Capital Partner Funds.</w:t>
      </w:r>
    </w:p>
    <w:p>
      <w:pPr>
        <w:spacing w:after="140" w:line="312"/>
        <w:ind w:left="720" w:hanging="540"/>
        <w:jc w:val="both"/>
      </w:pPr>
      <w:r>
        <w:rPr>
          <w:rFonts w:ascii="Calibri" w:eastAsia="Microsoft YaHei"/>
          <w:b/>
          <w:bCs/>
          <w:color w:val="0F2027"/>
          <w:sz w:val="22"/>
          <w:szCs w:val="22"/>
        </w:rPr>
        <w:t xml:space="preserve">10.5	</w:t>
      </w:r>
      <w:r>
        <w:rPr>
          <w:rFonts w:ascii="Calibri" w:eastAsia="Microsoft YaHei"/>
          <w:color w:val="000000"/>
          <w:sz w:val="22"/>
          <w:szCs w:val="22"/>
        </w:rPr>
        <w:t xml:space="preserve">Amendment. This Agreement may be amended only by a written instrument signed by all three Parties, and only after such amendment has been recorded in the constitutional ledger. No amendment shall be effective if it would cause AURIENTA to hold, touch, or control any Capital Partner Funds.</w:t>
      </w:r>
    </w:p>
    <w:p>
      <w:pPr>
        <w:spacing w:after="140" w:line="312"/>
        <w:ind w:left="720" w:hanging="540"/>
        <w:jc w:val="both"/>
      </w:pPr>
      <w:r>
        <w:rPr>
          <w:rFonts w:ascii="Calibri" w:eastAsia="Microsoft YaHei"/>
          <w:b/>
          <w:bCs/>
          <w:color w:val="0F2027"/>
          <w:sz w:val="22"/>
          <w:szCs w:val="22"/>
        </w:rPr>
        <w:t xml:space="preserve">10.6	</w:t>
      </w:r>
      <w:r>
        <w:rPr>
          <w:rFonts w:ascii="Calibri" w:eastAsia="Microsoft YaHei"/>
          <w:color w:val="000000"/>
          <w:sz w:val="22"/>
          <w:szCs w:val="22"/>
        </w:rPr>
        <w:t xml:space="preserve">Counterparts. This Agreement may be executed in counterparts, each of which shall be deemed an original and all of which together shall constitute one and the same instrument. Electronic signatures recorded on the constitutional ledger shall have the same force and effect as manual signatures.</w:t>
      </w:r>
    </w:p>
    <w:p>
      <w:pPr>
        <w:pBdr>
          <w:bottom w:val="single" w:color="D4AF37" w:sz="6" w:space="6"/>
        </w:pBdr>
        <w:spacing w:after="200" w:before="200"/>
        <w:jc w:val="center"/>
      </w:pPr>
      <w:r>
        <w:rPr>
          <w:rFonts w:ascii="Calibri" w:eastAsia="Microsoft YaHei"/>
          <w:color w:val="D4AF37"/>
          <w:sz w:val="18"/>
          <w:szCs w:val="18"/>
        </w:rPr>
        <w:t xml:space="preserve">§ § §</w:t>
      </w:r>
    </w:p>
    <w:p>
      <w:pPr>
        <w:spacing w:after="200" w:before="200"/>
        <w:jc w:val="center"/>
      </w:pPr>
      <w:r>
        <w:rPr>
          <w:rFonts w:ascii="Calibri" w:eastAsia="Microsoft YaHei"/>
          <w:b/>
          <w:bCs/>
          <w:color w:val="0F2027"/>
          <w:spacing w:val="60"/>
          <w:sz w:val="26"/>
          <w:szCs w:val="26"/>
        </w:rPr>
        <w:t xml:space="preserve">SIGNATURE PAGE</w:t>
      </w:r>
    </w:p>
    <w:p>
      <w:pPr>
        <w:spacing w:after="320" w:line="312"/>
        <w:jc w:val="both"/>
      </w:pPr>
      <w:r>
        <w:rPr>
          <w:rFonts w:ascii="Calibri" w:eastAsia="Microsoft YaHei"/>
          <w:color w:val="000000"/>
          <w:sz w:val="22"/>
          <w:szCs w:val="22"/>
        </w:rPr>
        <w:t xml:space="preserve">IN WITNESS WHEREOF, the Parties have caused this Law Firm Escrow Waiver and Client Account Authorization to be executed by their duly authorized representatives as of the dates set forth below.</w:t>
      </w:r>
    </w:p>
    <w:tbl>
      <w:tblPr>
        <w:tblW w:type="pct" w:w="1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00"/>
        <w:gridCol w:w="100"/>
        <w:gridCol w:w="100"/>
      </w:tblGrid>
      <w:tr>
        <w:trPr>
          <w:cantSplit w:val="false"/>
        </w:trPr>
        <w:tc>
          <w:tcPr>
            <w:tcW w:type="pct" w:w="33%"/>
            <w:tcBorders>
              <w:top w:val="none" w:color="FFFFFF" w:sz="0"/>
              <w:left w:val="none" w:color="FFFFFF" w:sz="0"/>
              <w:bottom w:val="none" w:color="FFFFFF" w:sz="0"/>
              <w:right w:val="none" w:color="FFFFFF" w:sz="0"/>
            </w:tcBorders>
            <w:tcMar>
              <w:top w:type="dxa" w:w="320"/>
              <w:left w:type="dxa" w:w="200"/>
              <w:bottom w:type="dxa" w:w="200"/>
              <w:right w:type="dxa" w:w="200"/>
            </w:tcMar>
          </w:tcPr>
          <w:p>
            <w:pPr>
              <w:spacing w:after="80"/>
            </w:pPr>
            <w:r>
              <w:rPr>
                <w:rFonts w:ascii="Calibri" w:eastAsia="Microsoft YaHei"/>
                <w:b/>
                <w:bCs/>
                <w:color w:val="0F2027"/>
                <w:sz w:val="22"/>
                <w:szCs w:val="22"/>
              </w:rPr>
              <w:t xml:space="preserve">AURIENTA</w:t>
            </w:r>
          </w:p>
          <w:p>
            <w:pPr>
              <w:spacing w:after="60"/>
            </w:pPr>
            <w:r>
              <w:rPr>
                <w:rFonts w:ascii="Calibri" w:eastAsia="Microsoft YaHei"/>
                <w:color w:val="000000"/>
                <w:sz w:val="20"/>
                <w:szCs w:val="20"/>
              </w:rPr>
              <w:t xml:space="preserve">By: __________________________</w:t>
            </w:r>
          </w:p>
          <w:p>
            <w:pPr>
              <w:spacing w:after="40"/>
            </w:pPr>
            <w:r>
              <w:rPr>
                <w:rFonts w:ascii="Calibri" w:eastAsia="Microsoft YaHei"/>
                <w:color w:val="000000"/>
                <w:sz w:val="20"/>
                <w:szCs w:val="20"/>
              </w:rPr>
              <w:t xml:space="preserve">Name: Layla Mostafa</w:t>
            </w:r>
          </w:p>
          <w:p>
            <w:pPr>
              <w:spacing w:after="40"/>
            </w:pPr>
            <w:r>
              <w:rPr>
                <w:rFonts w:ascii="Calibri" w:eastAsia="Microsoft YaHei"/>
                <w:color w:val="000000"/>
                <w:sz w:val="20"/>
                <w:szCs w:val="20"/>
              </w:rPr>
              <w:t xml:space="preserve">Title: AURIENTA Representative</w:t>
            </w:r>
          </w:p>
          <w:p>
            <w:pPr>
              <w:spacing w:after="40"/>
            </w:pPr>
            <w:r>
              <w:rPr>
                <w:rFonts w:ascii="Calibri" w:eastAsia="Microsoft YaHei"/>
                <w:color w:val="000000"/>
                <w:sz w:val="20"/>
                <w:szCs w:val="20"/>
              </w:rPr>
              <w:t xml:space="preserve">Date: ____________________</w:t>
            </w:r>
          </w:p>
          <w:p>
            <w:pPr>
              <w:spacing w:after="40"/>
            </w:pPr>
            <w:r>
              <w:rPr>
                <w:rFonts w:ascii="Calibri" w:eastAsia="Microsoft YaHei"/>
                <w:i/>
                <w:iCs/>
                <w:color w:val="4A6575"/>
                <w:sz w:val="18"/>
                <w:szCs w:val="18"/>
              </w:rPr>
              <w:t xml:space="preserve">License: Constitutional Office</w:t>
            </w:r>
          </w:p>
          <w:p>
            <w:pPr>
              <w:spacing w:after="40" w:before="200"/>
            </w:pPr>
            <w:r>
              <w:rPr>
                <w:rFonts w:ascii="Calibri" w:eastAsia="Microsoft YaHei"/>
                <w:b/>
                <w:bCs/>
                <w:color w:val="4A6575"/>
                <w:sz w:val="18"/>
                <w:szCs w:val="18"/>
              </w:rPr>
              <w:t xml:space="preserve">Witness:</w:t>
            </w:r>
          </w:p>
          <w:p>
            <w:pPr>
              <w:spacing w:after="40"/>
            </w:pPr>
            <w:r>
              <w:rPr>
                <w:rFonts w:ascii="Calibri" w:eastAsia="Microsoft YaHei"/>
                <w:color w:val="000000"/>
                <w:sz w:val="20"/>
                <w:szCs w:val="20"/>
              </w:rPr>
              <w:t xml:space="preserve">__________________________</w:t>
            </w:r>
          </w:p>
        </w:tc>
        <w:tc>
          <w:tcPr>
            <w:tcW w:type="pct" w:w="33%"/>
            <w:tcBorders>
              <w:top w:val="none" w:color="FFFFFF" w:sz="0"/>
              <w:left w:val="none" w:color="FFFFFF" w:sz="0"/>
              <w:bottom w:val="none" w:color="FFFFFF" w:sz="0"/>
              <w:right w:val="none" w:color="FFFFFF" w:sz="0"/>
            </w:tcBorders>
            <w:tcMar>
              <w:top w:type="dxa" w:w="320"/>
              <w:left w:type="dxa" w:w="200"/>
              <w:bottom w:type="dxa" w:w="200"/>
              <w:right w:type="dxa" w:w="200"/>
            </w:tcMar>
          </w:tcPr>
          <w:p>
            <w:pPr>
              <w:spacing w:after="80"/>
            </w:pPr>
            <w:r>
              <w:rPr>
                <w:rFonts w:ascii="Calibri" w:eastAsia="Microsoft YaHei"/>
                <w:b/>
                <w:bCs/>
                <w:color w:val="0F2027"/>
                <w:sz w:val="22"/>
                <w:szCs w:val="22"/>
              </w:rPr>
              <w:t xml:space="preserve">LAW FIRM</w:t>
            </w:r>
          </w:p>
          <w:p>
            <w:pPr>
              <w:spacing w:after="60"/>
            </w:pPr>
            <w:r>
              <w:rPr>
                <w:rFonts w:ascii="Calibri" w:eastAsia="Microsoft YaHei"/>
                <w:color w:val="000000"/>
                <w:sz w:val="20"/>
                <w:szCs w:val="20"/>
              </w:rPr>
              <w:t xml:space="preserve">By: __________________________</w:t>
            </w:r>
          </w:p>
          <w:p>
            <w:pPr>
              <w:spacing w:after="40"/>
            </w:pPr>
            <w:r>
              <w:rPr>
                <w:rFonts w:ascii="Calibri" w:eastAsia="Microsoft YaHei"/>
                <w:color w:val="000000"/>
                <w:sz w:val="20"/>
                <w:szCs w:val="20"/>
              </w:rPr>
              <w:t xml:space="preserve">Name: [Attorney Name]</w:t>
            </w:r>
          </w:p>
          <w:p>
            <w:pPr>
              <w:spacing w:after="40"/>
            </w:pPr>
            <w:r>
              <w:rPr>
                <w:rFonts w:ascii="Calibri" w:eastAsia="Microsoft YaHei"/>
                <w:color w:val="000000"/>
                <w:sz w:val="20"/>
                <w:szCs w:val="20"/>
              </w:rPr>
              <w:t xml:space="preserve">Title: Managing Partner</w:t>
            </w:r>
          </w:p>
          <w:p>
            <w:pPr>
              <w:spacing w:after="40"/>
            </w:pPr>
            <w:r>
              <w:rPr>
                <w:rFonts w:ascii="Calibri" w:eastAsia="Microsoft YaHei"/>
                <w:color w:val="000000"/>
                <w:sz w:val="20"/>
                <w:szCs w:val="20"/>
              </w:rPr>
              <w:t xml:space="preserve">Date: ____________________</w:t>
            </w:r>
          </w:p>
          <w:p>
            <w:pPr>
              <w:spacing w:after="40"/>
            </w:pPr>
            <w:r>
              <w:rPr>
                <w:rFonts w:ascii="Calibri" w:eastAsia="Microsoft YaHei"/>
                <w:i/>
                <w:iCs/>
                <w:color w:val="4A6575"/>
                <w:sz w:val="18"/>
                <w:szCs w:val="18"/>
              </w:rPr>
              <w:t xml:space="preserve">License: Law 17/1983 · FRA-registered</w:t>
            </w:r>
          </w:p>
          <w:p>
            <w:pPr>
              <w:spacing w:after="40" w:before="200"/>
            </w:pPr>
            <w:r>
              <w:rPr>
                <w:rFonts w:ascii="Calibri" w:eastAsia="Microsoft YaHei"/>
                <w:b/>
                <w:bCs/>
                <w:color w:val="4A6575"/>
                <w:sz w:val="18"/>
                <w:szCs w:val="18"/>
              </w:rPr>
              <w:t xml:space="preserve">Witness:</w:t>
            </w:r>
          </w:p>
          <w:p>
            <w:pPr>
              <w:spacing w:after="40"/>
            </w:pPr>
            <w:r>
              <w:rPr>
                <w:rFonts w:ascii="Calibri" w:eastAsia="Microsoft YaHei"/>
                <w:color w:val="000000"/>
                <w:sz w:val="20"/>
                <w:szCs w:val="20"/>
              </w:rPr>
              <w:t xml:space="preserve">__________________________</w:t>
            </w:r>
          </w:p>
        </w:tc>
        <w:tc>
          <w:tcPr>
            <w:tcW w:type="pct" w:w="33%"/>
            <w:tcBorders>
              <w:top w:val="none" w:color="FFFFFF" w:sz="0"/>
              <w:left w:val="none" w:color="FFFFFF" w:sz="0"/>
              <w:bottom w:val="none" w:color="FFFFFF" w:sz="0"/>
              <w:right w:val="none" w:color="FFFFFF" w:sz="0"/>
            </w:tcBorders>
            <w:tcMar>
              <w:top w:type="dxa" w:w="320"/>
              <w:left w:type="dxa" w:w="200"/>
              <w:bottom w:type="dxa" w:w="200"/>
              <w:right w:type="dxa" w:w="200"/>
            </w:tcMar>
          </w:tcPr>
          <w:p>
            <w:pPr>
              <w:spacing w:after="80"/>
            </w:pPr>
            <w:r>
              <w:rPr>
                <w:rFonts w:ascii="Calibri" w:eastAsia="Microsoft YaHei"/>
                <w:b/>
                <w:bCs/>
                <w:color w:val="0F2027"/>
                <w:sz w:val="22"/>
                <w:szCs w:val="22"/>
              </w:rPr>
              <w:t xml:space="preserve">ENTERPRISE</w:t>
            </w:r>
          </w:p>
          <w:p>
            <w:pPr>
              <w:spacing w:after="60"/>
            </w:pPr>
            <w:r>
              <w:rPr>
                <w:rFonts w:ascii="Calibri" w:eastAsia="Microsoft YaHei"/>
                <w:color w:val="000000"/>
                <w:sz w:val="20"/>
                <w:szCs w:val="20"/>
              </w:rPr>
              <w:t xml:space="preserve">By: __________________________</w:t>
            </w:r>
          </w:p>
          <w:p>
            <w:pPr>
              <w:spacing w:after="40"/>
            </w:pPr>
            <w:r>
              <w:rPr>
                <w:rFonts w:ascii="Calibri" w:eastAsia="Microsoft YaHei"/>
                <w:color w:val="000000"/>
                <w:sz w:val="20"/>
                <w:szCs w:val="20"/>
              </w:rPr>
              <w:t xml:space="preserve">Name: [Manager Name]</w:t>
            </w:r>
          </w:p>
          <w:p>
            <w:pPr>
              <w:spacing w:after="40"/>
            </w:pPr>
            <w:r>
              <w:rPr>
                <w:rFonts w:ascii="Calibri" w:eastAsia="Microsoft YaHei"/>
                <w:color w:val="000000"/>
                <w:sz w:val="20"/>
                <w:szCs w:val="20"/>
              </w:rPr>
              <w:t xml:space="preserve">Title: Enterprise Manager</w:t>
            </w:r>
          </w:p>
          <w:p>
            <w:pPr>
              <w:spacing w:after="40"/>
            </w:pPr>
            <w:r>
              <w:rPr>
                <w:rFonts w:ascii="Calibri" w:eastAsia="Microsoft YaHei"/>
                <w:color w:val="000000"/>
                <w:sz w:val="20"/>
                <w:szCs w:val="20"/>
              </w:rPr>
              <w:t xml:space="preserve">Date: ____________________</w:t>
            </w:r>
          </w:p>
          <w:p>
            <w:pPr>
              <w:spacing w:after="40"/>
            </w:pPr>
            <w:r>
              <w:rPr>
                <w:rFonts w:ascii="Calibri" w:eastAsia="Microsoft YaHei"/>
                <w:i/>
                <w:iCs/>
                <w:color w:val="4A6575"/>
                <w:sz w:val="18"/>
                <w:szCs w:val="18"/>
              </w:rPr>
              <w:t xml:space="preserve">License: GAFI CR #[____]</w:t>
            </w:r>
          </w:p>
          <w:p>
            <w:pPr>
              <w:spacing w:after="40" w:before="200"/>
            </w:pPr>
            <w:r>
              <w:rPr>
                <w:rFonts w:ascii="Calibri" w:eastAsia="Microsoft YaHei"/>
                <w:b/>
                <w:bCs/>
                <w:color w:val="4A6575"/>
                <w:sz w:val="18"/>
                <w:szCs w:val="18"/>
              </w:rPr>
              <w:t xml:space="preserve">Witness:</w:t>
            </w:r>
          </w:p>
          <w:p>
            <w:pPr>
              <w:spacing w:after="40"/>
            </w:pPr>
            <w:r>
              <w:rPr>
                <w:rFonts w:ascii="Calibri" w:eastAsia="Microsoft YaHei"/>
                <w:color w:val="000000"/>
                <w:sz w:val="20"/>
                <w:szCs w:val="20"/>
              </w:rPr>
              <w:t xml:space="preserve">__________________________</w:t>
            </w:r>
          </w:p>
        </w:tc>
      </w:tr>
    </w:tbl>
    <w:p>
      <w:pPr>
        <w:spacing w:before="360"/>
      </w:pPr>
    </w:p>
    <w:tbl>
      <w:tblPr>
        <w:tblW w:type="pct" w:w="100%"/>
        <w:tblBorders>
          <w:top w:val="single" w:color="D4AF37" w:sz="12"/>
          <w:left w:val="single" w:color="D4AF37" w:sz="12"/>
          <w:bottom w:val="single" w:color="D4AF37" w:sz="12"/>
          <w:right w:val="single" w:color="D4AF37" w:sz="12"/>
          <w:insideH w:val="none" w:color="FFFFFF" w:sz="0"/>
          <w:insideV w:val="none" w:color="FFFFFF" w:sz="0"/>
        </w:tblBorders>
        <w:tblLayout w:type="fixed"/>
      </w:tblPr>
      <w:tblGrid>
        <w:gridCol w:w="100"/>
      </w:tblGrid>
      <w:tr>
        <w:trPr>
          <w:cantSplit/>
        </w:trPr>
        <w:tc>
          <w:tcPr>
            <w:tcW w:type="pct" w:w="100%"/>
            <w:shd w:fill="0F2027" w:val="clear"/>
            <w:tcMar>
              <w:top w:type="dxa" w:w="160"/>
              <w:left w:type="dxa" w:w="220"/>
              <w:bottom w:type="dxa" w:w="160"/>
              <w:right w:type="dxa" w:w="220"/>
            </w:tcMar>
          </w:tcPr>
          <w:p>
            <w:pPr>
              <w:spacing w:after="60"/>
              <w:jc w:val="center"/>
            </w:pPr>
            <w:r>
              <w:rPr>
                <w:rFonts w:ascii="Calibri" w:eastAsia="Microsoft YaHei"/>
                <w:b/>
                <w:bCs/>
                <w:color w:val="D4AF37"/>
                <w:spacing w:val="30"/>
                <w:sz w:val="20"/>
                <w:szCs w:val="20"/>
              </w:rPr>
              <w:t xml:space="preserve">AURIENTA CONSTITUTIONAL HASH (ROOT)</w:t>
            </w:r>
          </w:p>
          <w:p>
            <w:pPr>
              <w:spacing w:after="0"/>
              <w:jc w:val="center"/>
            </w:pPr>
            <w:r>
              <w:rPr>
                <w:rFonts w:ascii="Consolas" w:eastAsia="Microsoft YaHei"/>
                <w:color w:val="FFFFFF"/>
                <w:sz w:val="22"/>
                <w:szCs w:val="22"/>
              </w:rPr>
              <w:t xml:space="preserve">0xB4F8D3E2F6A0B5D9E7F2A1C4B8E3D6A0F2C5B9E7D1A</w:t>
            </w:r>
          </w:p>
        </w:tc>
      </w:tr>
    </w:tbl>
    <w:p>
      <w:pPr>
        <w:spacing w:before="120"/>
      </w:pPr>
    </w:p>
    <w:tbl>
      <w:tblPr>
        <w:tblW w:type="pct" w:w="100%"/>
        <w:tblBorders>
          <w:top w:val="single" w:color="D4AF37" w:sz="12"/>
          <w:left w:val="single" w:color="D4AF37" w:sz="12"/>
          <w:bottom w:val="single" w:color="D4AF37" w:sz="12"/>
          <w:right w:val="single" w:color="D4AF37" w:sz="12"/>
          <w:insideH w:val="none" w:color="FFFFFF" w:sz="0"/>
          <w:insideV w:val="none" w:color="FFFFFF" w:sz="0"/>
        </w:tblBorders>
        <w:tblLayout w:type="fixed"/>
      </w:tblPr>
      <w:tblGrid>
        <w:gridCol w:w="100"/>
      </w:tblGrid>
      <w:tr>
        <w:trPr>
          <w:cantSplit/>
        </w:trPr>
        <w:tc>
          <w:tcPr>
            <w:tcW w:type="pct" w:w="100%"/>
            <w:shd w:fill="0F2027" w:val="clear"/>
            <w:tcMar>
              <w:top w:type="dxa" w:w="160"/>
              <w:left w:type="dxa" w:w="220"/>
              <w:bottom w:type="dxa" w:w="160"/>
              <w:right w:type="dxa" w:w="220"/>
            </w:tcMar>
          </w:tcPr>
          <w:p>
            <w:pPr>
              <w:spacing w:after="60"/>
              <w:jc w:val="center"/>
            </w:pPr>
            <w:r>
              <w:rPr>
                <w:rFonts w:ascii="Calibri" w:eastAsia="Microsoft YaHei"/>
                <w:b/>
                <w:bCs/>
                <w:color w:val="D4AF37"/>
                <w:spacing w:val="30"/>
                <w:sz w:val="20"/>
                <w:szCs w:val="20"/>
              </w:rPr>
              <w:t xml:space="preserve">AMENDMENT IX HASH</w:t>
            </w:r>
          </w:p>
          <w:p>
            <w:pPr>
              <w:spacing w:after="0"/>
              <w:jc w:val="center"/>
            </w:pPr>
            <w:r>
              <w:rPr>
                <w:rFonts w:ascii="Consolas" w:eastAsia="Microsoft YaHei"/>
                <w:color w:val="FFFFFF"/>
                <w:sz w:val="22"/>
                <w:szCs w:val="22"/>
              </w:rPr>
              <w:t xml:space="preserve">0xA9C7E1D4F0B3A825E6F1C9D2B7E4A0C3F6D8B1E5A2</w:t>
            </w:r>
          </w:p>
        </w:tc>
      </w:tr>
    </w:tbl>
    <w:p>
      <w:pPr>
        <w:spacing w:before="120"/>
      </w:pPr>
    </w:p>
    <w:p>
      <w:pPr>
        <w:spacing w:after="0" w:before="200"/>
        <w:jc w:val="center"/>
      </w:pPr>
      <w:r>
        <w:rPr>
          <w:rFonts w:ascii="Calibri" w:eastAsia="Microsoft YaHei"/>
          <w:i/>
          <w:iCs/>
          <w:color w:val="4A6575"/>
          <w:sz w:val="16"/>
          <w:szCs w:val="16"/>
        </w:rPr>
        <w:t xml:space="preserve">— End of Document —</w:t>
      </w:r>
    </w:p>
    <w:sectPr>
      <w:headerReference w:type="default" r:id="rId7"/>
      <w:footerReference w:type="default" r:id="rId8"/>
      <w:type w:val="nextPage"/>
      <w:pgSz w:w="11906" w:h="16838" w:orient="portrait"/>
      <w:pgMar w:top="1440" w:right="1417" w:bottom="1440" w:left="1701" w:header="708" w:footer="708" w:gutter="0"/>
      <w:pgNumType w:start="1" w:fmt="decimal"/>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4AF37" w:sz="4" w:space="4"/>
      </w:pBdr>
      <w:spacing w:before="60"/>
      <w:jc w:val="center"/>
    </w:pPr>
    <w:r>
      <w:rPr>
        <w:rFonts w:ascii="Calibri" w:eastAsia="Microsoft YaHei"/>
        <w:color w:val="4A6575"/>
        <w:sz w:val="16"/>
        <w:szCs w:val="16"/>
      </w:rPr>
      <w:t xml:space="preserve">Law Firm Escrow Waiver · Amendment IX   ·   </w:t>
    </w:r>
    <w:r>
      <w:rPr>
        <w:rFonts w:ascii="Calibri" w:eastAsia="Microsoft YaHei"/>
        <w:color w:val="4A6575"/>
        <w:sz w:val="16"/>
        <w:szCs w:val="16"/>
      </w:rPr>
      <w:fldChar w:fldCharType="begin"/>
      <w:instrText xml:space="preserve">PAGE</w:instrText>
      <w:fldChar w:fldCharType="separate"/>
      <w:fldChar w:fldCharType="end"/>
    </w:r>
    <w:r>
      <w:rPr>
        <w:rFonts w:ascii="Calibri" w:eastAsia="Microsoft YaHei"/>
        <w:color w:val="4A6575"/>
        <w:sz w:val="16"/>
        <w:szCs w:val="16"/>
      </w:rPr>
      <w:t xml:space="preserve"> / </w:t>
    </w:r>
    <w:r>
      <w:rPr>
        <w:rFonts w:ascii="Calibri" w:eastAsia="Microsoft YaHei"/>
        <w:color w:val="4A6575"/>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4AF37" w:sz="4" w:space="4"/>
      </w:pBdr>
      <w:spacing w:after="60"/>
      <w:jc w:val="right"/>
    </w:pPr>
    <w:r>
      <w:rPr>
        <w:rFonts w:ascii="Calibri" w:eastAsia="Microsoft YaHei"/>
        <w:i/>
        <w:iCs/>
        <w:color w:val="4A6575"/>
        <w:sz w:val="16"/>
        <w:szCs w:val="16"/>
      </w:rPr>
      <w:t xml:space="preserve">AURIENTA  ·  Law Firm Escrow Waiver · Amendment IX</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Microsoft YaHei"/>
        <w:color w:val="000000"/>
        <w:sz w:val="22"/>
        <w:szCs w:val="22"/>
      </w:rPr>
    </w:rPrDefault>
    <w:pPrDefault>
      <w:pPr>
        <w:spacing w:line="312"/>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80"/>
      <w:outlineLvl w:val="0"/>
    </w:pPr>
    <w:rPr>
      <w:rFonts w:ascii="Calibri" w:eastAsia="Microsoft YaHei"/>
      <w:b/>
      <w:bCs/>
      <w:color w:val="0F2027"/>
      <w:sz w:val="32"/>
      <w:szCs w:val="32"/>
    </w:rPr>
  </w:style>
  <w:style w:type="paragraph" w:styleId="Heading2">
    <w:name w:val="Heading 2"/>
    <w:basedOn w:val="Normal"/>
    <w:next w:val="Normal"/>
    <w:qFormat/>
    <w:pPr>
      <w:spacing w:after="140" w:before="320"/>
      <w:outlineLvl w:val="1"/>
    </w:pPr>
    <w:rPr>
      <w:rFonts w:ascii="Calibri" w:eastAsia="Microsoft YaHei"/>
      <w:b/>
      <w:bCs/>
      <w:color w:val="0F2027"/>
      <w:sz w:val="26"/>
      <w:szCs w:val="26"/>
    </w:rPr>
  </w:style>
  <w:style w:type="paragraph" w:styleId="Heading3">
    <w:name w:val="Heading 3"/>
    <w:basedOn w:val="Normal"/>
    <w:next w:val="Normal"/>
    <w:qFormat/>
    <w:pPr>
      <w:spacing w:after="120" w:before="240"/>
      <w:outlineLvl w:val="2"/>
    </w:pPr>
    <w:rPr>
      <w:rFonts w:ascii="Calibri" w:eastAsia="Microsoft YaHei"/>
      <w:b/>
      <w:bCs/>
      <w:color w:val="B8860B"/>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AURIENTA Law Firm Escrow Waiver</dc:title>
  <dc:creator>AURIENTA Constitutional Office</dc:creator>
  <dc:description>Law Firm Escrow Waiver &amp; Client Account Authorization — Direct Law-Firm Transfer Model under Amendment IX</dc:description>
  <cp:lastModifiedBy>Un-named</cp:lastModifiedBy>
  <cp:revision>1</cp:revision>
  <dcterms:created xsi:type="dcterms:W3CDTF">2026-07-08T09:54:57.971Z</dcterms:created>
  <dcterms:modified xsi:type="dcterms:W3CDTF">2026-07-08T09:54:57.971Z</dcterms:modified>
</cp:coreProperties>
</file>

<file path=docProps/custom.xml><?xml version="1.0" encoding="utf-8"?>
<Properties xmlns="http://schemas.openxmlformats.org/officeDocument/2006/custom-properties" xmlns:vt="http://schemas.openxmlformats.org/officeDocument/2006/docPropsVTypes"/>
</file>