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F2027" w:val="clear"/>
          </w:tcPr>
          <w:p>
            <w:pPr>
              <w:spacing w:before="1400"/>
            </w:pPr>
          </w:p>
          <w:p>
            <w:pPr>
              <w:pBdr>
                <w:bottom w:val="single" w:color="D4AF37" w:sz="6" w:space="8"/>
              </w:pBdr>
              <w:spacing w:after="500"/>
              <w:ind w:left="1200" w:right="800"/>
            </w:pPr>
            <w:r>
              <w:rPr>
                <w:rFonts w:ascii="Calibri" w:eastAsia="Microsoft YaHei"/>
                <w:color w:val="D4AF37"/>
                <w:spacing w:val="40"/>
                <w:sz w:val="18"/>
                <w:szCs w:val="18"/>
              </w:rPr>
              <w:t xml:space="preserve">C O N S T I T U T I O N A L   I N S T R U M E N T   ·   II</w:t>
            </w:r>
          </w:p>
          <w:p>
            <w:pPr>
              <w:spacing w:after="100" w:line="800" w:lineRule="atLeast"/>
              <w:ind w:left="1200"/>
            </w:pPr>
            <w:r>
              <w:rPr>
                <w:rFonts w:ascii="Calibri" w:eastAsia="Microsoft YaHei"/>
                <w:b/>
                <w:bCs/>
                <w:color w:val="FFFFFF"/>
                <w:sz w:val="80"/>
                <w:szCs w:val="80"/>
              </w:rPr>
              <w:t xml:space="preserve">AURIENTA</w:t>
            </w:r>
          </w:p>
          <w:p>
            <w:pPr>
              <w:spacing w:after="240" w:line="520" w:lineRule="atLeast"/>
              <w:ind w:left="1200"/>
            </w:pPr>
            <w:r>
              <w:rPr>
                <w:rFonts w:ascii="Calibri" w:eastAsia="Microsoft YaHei"/>
                <w:color w:val="E8D9A8"/>
                <w:sz w:val="32"/>
                <w:szCs w:val="32"/>
              </w:rPr>
              <w:t xml:space="preserve">Certified Accountant</w:t>
            </w:r>
          </w:p>
          <w:p>
            <w:pPr>
              <w:spacing w:after="800"/>
              <w:ind w:left="1200"/>
            </w:pPr>
            <w:r>
              <w:rPr>
                <w:rFonts w:ascii="Calibri" w:eastAsia="Microsoft YaHei"/>
                <w:i/>
                <w:iCs/>
                <w:color w:val="D4AF37"/>
                <w:sz w:val="22"/>
                <w:szCs w:val="22"/>
              </w:rPr>
              <w:t xml:space="preserve">Milestone Release Authorization</w:t>
            </w:r>
          </w:p>
          <w:p>
            <w:pPr>
              <w:pBdr>
                <w:left w:val="single" w:color="D4AF37" w:sz="8" w:space="12"/>
              </w:pBdr>
              <w:spacing w:after="100"/>
              <w:ind w:left="1400"/>
            </w:pPr>
            <w:r>
              <w:rPr>
                <w:rFonts w:ascii="Calibri" w:eastAsia="Microsoft YaHei"/>
                <w:color w:val="D4AF37"/>
                <w:sz w:val="22"/>
                <w:szCs w:val="22"/>
              </w:rPr>
              <w:t xml:space="preserve">Evidence Verification &amp; Co-Authorization Protocol</w:t>
            </w:r>
          </w:p>
          <w:p>
            <w:pPr>
              <w:pBdr>
                <w:left w:val="single" w:color="D4AF37" w:sz="8" w:space="12"/>
              </w:pBdr>
              <w:spacing w:after="100"/>
              <w:ind w:left="1400"/>
            </w:pPr>
            <w:r>
              <w:rPr>
                <w:rFonts w:ascii="Calibri" w:eastAsia="Microsoft YaHei"/>
                <w:color w:val="D4AF37"/>
                <w:sz w:val="22"/>
                <w:szCs w:val="22"/>
              </w:rPr>
              <w:t xml:space="preserve">Pursuant to Amendment IX to the Constitutional Charter</w:t>
            </w:r>
          </w:p>
          <w:p>
            <w:pPr>
              <w:spacing w:after="80"/>
            </w:pPr>
            <w:r>
              <w:t xml:space="preserve"> </w:t>
            </w:r>
          </w:p>
          <w:p>
            <w:pPr>
              <w:pBdr>
                <w:left w:val="single" w:color="D4AF37" w:sz="8" w:space="12"/>
              </w:pBdr>
              <w:spacing w:after="100"/>
              <w:ind w:left="1400"/>
            </w:pPr>
            <w:r>
              <w:rPr>
                <w:rFonts w:ascii="Calibri" w:eastAsia="Microsoft YaHei"/>
                <w:color w:val="D4AF37"/>
                <w:sz w:val="22"/>
                <w:szCs w:val="22"/>
              </w:rPr>
              <w:t xml:space="preserve">ESAA Compliance  ·  Egyptian Society of Accountants and Auditors</w:t>
            </w:r>
          </w:p>
          <w:p>
            <w:pPr>
              <w:pBdr>
                <w:left w:val="single" w:color="D4AF37" w:sz="8" w:space="12"/>
              </w:pBdr>
              <w:spacing w:after="100"/>
              <w:ind w:left="1400"/>
            </w:pPr>
            <w:r>
              <w:rPr>
                <w:rFonts w:ascii="Calibri" w:eastAsia="Microsoft YaHei"/>
                <w:color w:val="D4AF37"/>
                <w:sz w:val="22"/>
                <w:szCs w:val="22"/>
              </w:rPr>
              <w:t xml:space="preserve">Final Gate for Milestone Fund Releases</w:t>
            </w:r>
          </w:p>
          <w:p>
            <w:pPr>
              <w:spacing w:after="80"/>
            </w:pPr>
            <w:r>
              <w:t xml:space="preserve"> </w:t>
            </w:r>
          </w:p>
          <w:p>
            <w:pPr>
              <w:pBdr>
                <w:left w:val="single" w:color="D4AF37" w:sz="8" w:space="12"/>
              </w:pBdr>
              <w:spacing w:after="100"/>
              <w:ind w:left="1400"/>
            </w:pPr>
            <w:r>
              <w:rPr>
                <w:rFonts w:ascii="Calibri" w:eastAsia="Microsoft YaHei"/>
                <w:color w:val="D4AF37"/>
                <w:sz w:val="22"/>
                <w:szCs w:val="22"/>
              </w:rPr>
              <w:t xml:space="preserve">Constitutional Hash:  0xB4F8D3E2F6A0B5D9E7F2A1C4B8E3D6A0F2C5B9E7D1A</w:t>
            </w:r>
          </w:p>
          <w:p>
            <w:pPr>
              <w:spacing w:before="1200"/>
            </w:pPr>
          </w:p>
          <w:p>
            <w:pPr>
              <w:pBdr>
                <w:top w:val="single" w:color="D4AF37" w:sz="2" w:space="8"/>
              </w:pBdr>
              <w:spacing w:before="200"/>
              <w:ind w:left="1200" w:right="800"/>
            </w:pPr>
            <w:r>
              <w:rPr>
                <w:rFonts w:ascii="Calibri" w:eastAsia="Microsoft YaHei"/>
                <w:color w:val="9AAEB8"/>
                <w:sz w:val="16"/>
                <w:szCs w:val="16"/>
              </w:rPr>
              <w:t xml:space="preserve">AURIENTA Constitutional Office  ·  Confidential — Legal Instrument</w:t>
            </w:r>
            <w:r>
              <w:t xml:space="preserve">                                        </w:t>
            </w:r>
            <w:r>
              <w:rPr>
                <w:rFonts w:ascii="Calibri" w:eastAsia="Microsoft YaHei"/>
                <w:color w:val="9AAEB8"/>
                <w:sz w:val="16"/>
                <w:szCs w:val="16"/>
              </w:rPr>
              <w:t xml:space="preserve">DOC-AC-002  ·  v1.0  ·  Constitutional Office</w:t>
            </w:r>
          </w:p>
        </w:tc>
      </w:tr>
    </w:tbl>
    <w:p>
      <w:pPr>
        <w:sectPr>
          <w:pgSz w:w="11906" w:h="16838" w:orient="portrait"/>
          <w:pgMar w:top="0" w:right="0" w:bottom="0" w:left="0" w:header="708" w:footer="708" w:gutter="0"/>
          <w:pgNumType/>
          <w:docGrid w:linePitch="360"/>
        </w:sectPr>
      </w:pPr>
    </w:p>
    <w:p>
      <w:pPr>
        <w:spacing w:after="160" w:before="0"/>
        <w:jc w:val="center"/>
      </w:pPr>
      <w:r>
        <w:rPr>
          <w:rFonts w:ascii="Calibri" w:eastAsia="Microsoft YaHei"/>
          <w:b/>
          <w:bCs/>
          <w:color w:val="0F2027"/>
          <w:sz w:val="32"/>
          <w:szCs w:val="32"/>
        </w:rPr>
        <w:t xml:space="preserve">CERTIFIED ACCOUNTANT</w:t>
      </w:r>
    </w:p>
    <w:p>
      <w:pPr>
        <w:spacing w:after="200"/>
        <w:jc w:val="center"/>
      </w:pPr>
      <w:r>
        <w:rPr>
          <w:rFonts w:ascii="Calibri" w:eastAsia="Microsoft YaHei"/>
          <w:b/>
          <w:bCs/>
          <w:color w:val="0F2027"/>
          <w:sz w:val="32"/>
          <w:szCs w:val="32"/>
        </w:rPr>
        <w:t xml:space="preserve">MILESTONE RELEASE AUTHORIZATION</w:t>
      </w:r>
    </w:p>
    <w:p>
      <w:pPr>
        <w:pBdr>
          <w:bottom w:val="single" w:color="D4AF37" w:sz="8" w:space="6"/>
        </w:pBdr>
        <w:spacing w:after="360"/>
        <w:jc w:val="center"/>
      </w:pPr>
      <w:r>
        <w:rPr>
          <w:rFonts w:ascii="Calibri" w:eastAsia="Microsoft YaHei"/>
          <w:i/>
          <w:iCs/>
          <w:color w:val="4A6575"/>
          <w:sz w:val="20"/>
          <w:szCs w:val="20"/>
        </w:rPr>
        <w:t xml:space="preserve">Evidence Verification &amp; Co-Authorization Protocol  ·  Pursuant to Amendment IX to the Constitutional Charter</w:t>
      </w:r>
    </w:p>
    <w:p>
      <w:pPr>
        <w:spacing w:after="120" w:line="312"/>
        <w:ind w:firstLine="360"/>
        <w:jc w:val="both"/>
      </w:pPr>
      <w:r>
        <w:rPr>
          <w:rFonts w:ascii="Calibri" w:eastAsia="Microsoft YaHei"/>
          <w:color w:val="000000"/>
          <w:sz w:val="22"/>
          <w:szCs w:val="22"/>
        </w:rPr>
        <w:t xml:space="preserve">This Certified Accountant Milestone Release Authorization (this "Agreement") is entered into as of the Effective Date defined in Article X below, by and among:</w:t>
      </w:r>
    </w:p>
    <w:p>
      <w:pPr>
        <w:spacing w:after="80" w:line="300"/>
        <w:ind w:left="720" w:hanging="280"/>
        <w:jc w:val="left"/>
      </w:pPr>
      <w:r>
        <w:rPr>
          <w:b/>
          <w:bCs/>
          <w:color w:val="D4AF37"/>
          <w:sz w:val="22"/>
          <w:szCs w:val="22"/>
        </w:rPr>
        <w:t xml:space="preserve">•  </w:t>
      </w:r>
      <w:r>
        <w:rPr>
          <w:rFonts w:ascii="Calibri" w:eastAsia="Microsoft YaHei"/>
          <w:b/>
          <w:bCs/>
          <w:i w:val="false"/>
          <w:iCs w:val="false"/>
          <w:color w:val="000000"/>
          <w:sz w:val="22"/>
          <w:szCs w:val="22"/>
        </w:rPr>
        <w:t xml:space="preserve">[ENTERPRISE NAME] </w:t>
      </w:r>
      <w:r>
        <w:rPr>
          <w:rFonts w:ascii="Calibri" w:eastAsia="Microsoft YaHei"/>
          <w:b w:val="false"/>
          <w:bCs w:val="false"/>
          <w:i w:val="false"/>
          <w:iCs w:val="false"/>
          <w:color w:val="000000"/>
          <w:sz w:val="22"/>
          <w:szCs w:val="22"/>
        </w:rPr>
        <w:t xml:space="preserve">(the "Enterprise"), an Egyptian company formed under Companies Law No. 159 of 1981, registered with GAFI under commercial registration number [____], onboarded onto the AURIENTA platform at Tier [A–F];</w:t>
      </w:r>
    </w:p>
    <w:p>
      <w:pPr>
        <w:spacing w:after="80" w:line="300"/>
        <w:ind w:left="720" w:hanging="280"/>
        <w:jc w:val="left"/>
      </w:pPr>
      <w:r>
        <w:rPr>
          <w:b/>
          <w:bCs/>
          <w:color w:val="D4AF37"/>
          <w:sz w:val="22"/>
          <w:szCs w:val="22"/>
        </w:rPr>
        <w:t xml:space="preserve">•  </w:t>
      </w:r>
      <w:r>
        <w:rPr>
          <w:rFonts w:ascii="Calibri" w:eastAsia="Microsoft YaHei"/>
          <w:b/>
          <w:bCs/>
          <w:i w:val="false"/>
          <w:iCs w:val="false"/>
          <w:color w:val="000000"/>
          <w:sz w:val="22"/>
          <w:szCs w:val="22"/>
        </w:rPr>
        <w:t xml:space="preserve">[ACCOUNTING FIRM NAME] </w:t>
      </w:r>
      <w:r>
        <w:rPr>
          <w:rFonts w:ascii="Calibri" w:eastAsia="Microsoft YaHei"/>
          <w:b w:val="false"/>
          <w:bCs w:val="false"/>
          <w:i w:val="false"/>
          <w:iCs w:val="false"/>
          <w:color w:val="000000"/>
          <w:sz w:val="22"/>
          <w:szCs w:val="22"/>
        </w:rPr>
        <w:t xml:space="preserve">(the "Accounting Firm"), an Egyptian certified accounting firm registered with and licensed by the Egyptian Society of Accountants and Auditors ("ESAA") under registration number [____], with its principal place of business at [____]; and</w:t>
      </w:r>
    </w:p>
    <w:p>
      <w:pPr>
        <w:spacing w:after="80" w:line="300"/>
        <w:ind w:left="720" w:hanging="280"/>
        <w:jc w:val="left"/>
      </w:pPr>
      <w:r>
        <w:rPr>
          <w:b/>
          <w:bCs/>
          <w:color w:val="D4AF37"/>
          <w:sz w:val="22"/>
          <w:szCs w:val="22"/>
        </w:rPr>
        <w:t xml:space="preserve">•  </w:t>
      </w:r>
      <w:r>
        <w:rPr>
          <w:rFonts w:ascii="Calibri" w:eastAsia="Microsoft YaHei"/>
          <w:b/>
          <w:bCs/>
          <w:i w:val="false"/>
          <w:iCs w:val="false"/>
          <w:color w:val="000000"/>
          <w:sz w:val="22"/>
          <w:szCs w:val="22"/>
        </w:rPr>
        <w:t xml:space="preserve">AURIENTA </w:t>
      </w:r>
      <w:r>
        <w:rPr>
          <w:rFonts w:ascii="Calibri" w:eastAsia="Microsoft YaHei"/>
          <w:b w:val="false"/>
          <w:bCs w:val="false"/>
          <w:i w:val="false"/>
          <w:iCs w:val="false"/>
          <w:color w:val="000000"/>
          <w:sz w:val="22"/>
          <w:szCs w:val="22"/>
        </w:rPr>
        <w:t xml:space="preserve">(the "Platform" or "AURIENTA"), a constitutional enterprise infrastructure provider operating under the AURIENTA Constitutional Charter (the "Charter"), with constitutional hash </w:t>
      </w:r>
      <w:r>
        <w:rPr>
          <w:rFonts w:ascii="Calibri" w:eastAsia="Microsoft YaHei"/>
          <w:b/>
          <w:bCs/>
          <w:i w:val="false"/>
          <w:iCs w:val="false"/>
          <w:color w:val="0F2027"/>
          <w:sz w:val="22"/>
          <w:szCs w:val="22"/>
        </w:rPr>
        <w:t xml:space="preserve">0xB4F8D3E2F6A0B5D9E7F2A1C4B8E3D6A0F2C5B9E7D1A</w:t>
      </w:r>
      <w:r>
        <w:rPr>
          <w:rFonts w:ascii="Calibri" w:eastAsia="Microsoft YaHei"/>
          <w:b w:val="false"/>
          <w:bCs w:val="false"/>
          <w:i w:val="false"/>
          <w:iCs w:val="false"/>
          <w:color w:val="000000"/>
          <w:sz w:val="22"/>
          <w:szCs w:val="22"/>
        </w:rPr>
        <w:t xml:space="preserve">, acting by and through its Constitutional Office.</w:t>
      </w:r>
    </w:p>
    <w:p>
      <w:pPr>
        <w:spacing w:after="120" w:line="312"/>
        <w:ind w:firstLine="360"/>
        <w:jc w:val="both"/>
      </w:pPr>
      <w:r>
        <w:rPr>
          <w:rFonts w:ascii="Calibri" w:eastAsia="Microsoft YaHei"/>
          <w:color w:val="000000"/>
          <w:sz w:val="22"/>
          <w:szCs w:val="22"/>
        </w:rPr>
        <w:t xml:space="preserve">The Enterprise, the Accounting Firm, and AURIENTA are referred to herein individually as a "Party" and collectively as the "Parties."</w:t>
      </w:r>
    </w:p>
    <w:p>
      <w:pPr>
        <w:pBdr>
          <w:bottom w:val="single" w:color="D4AF37" w:sz="6" w:space="6"/>
        </w:pBdr>
        <w:spacing w:after="200" w:before="200"/>
        <w:jc w:val="center"/>
      </w:pPr>
      <w:r>
        <w:rPr>
          <w:rFonts w:ascii="Calibri" w:eastAsia="Microsoft YaHei"/>
          <w:color w:val="D4AF37"/>
          <w:sz w:val="18"/>
          <w:szCs w:val="18"/>
        </w:rPr>
        <w:t xml:space="preserve">§ § §</w:t>
      </w:r>
    </w:p>
    <w:p>
      <w:pPr>
        <w:spacing w:after="160" w:before="200"/>
        <w:jc w:val="center"/>
      </w:pPr>
      <w:r>
        <w:rPr>
          <w:rFonts w:ascii="Calibri" w:eastAsia="Microsoft YaHei"/>
          <w:b/>
          <w:bCs/>
          <w:color w:val="0F2027"/>
          <w:spacing w:val="60"/>
          <w:sz w:val="26"/>
          <w:szCs w:val="26"/>
        </w:rPr>
        <w:t xml:space="preserve">RECITALS</w:t>
      </w:r>
    </w:p>
    <w:p>
      <w:pPr>
        <w:spacing w:after="120" w:line="312"/>
        <w:ind w:left="720" w:hanging="540"/>
        <w:jc w:val="both"/>
      </w:pPr>
      <w:r>
        <w:rPr>
          <w:rFonts w:ascii="Calibri" w:eastAsia="Microsoft YaHei"/>
          <w:b/>
          <w:bCs/>
          <w:color w:val="B8860B"/>
          <w:sz w:val="22"/>
          <w:szCs w:val="22"/>
        </w:rPr>
        <w:t xml:space="preserve">A.	</w:t>
      </w:r>
      <w:r>
        <w:rPr>
          <w:rFonts w:ascii="Calibri" w:eastAsia="Microsoft YaHei"/>
          <w:color w:val="000000"/>
          <w:sz w:val="22"/>
          <w:szCs w:val="22"/>
        </w:rPr>
        <w:t xml:space="preserve">WHEREAS, AURIENTA has adopted Amendment IX to the Constitutional Charter, which restructures the platform's capital-handling architecture into a Direct Law-Firm Transfer Model in which Capital Partner Funds are held by a licensed Law Firm in a client account under Article 47 of the Egyptian Lawyers' Code, and released only upon the dual authorization of (a) the Enterprise's board and (b) the Accounting Firm's evidence verification;</w:t>
      </w:r>
    </w:p>
    <w:p>
      <w:pPr>
        <w:spacing w:after="120" w:line="312"/>
        <w:ind w:left="720" w:hanging="540"/>
        <w:jc w:val="both"/>
      </w:pPr>
      <w:r>
        <w:rPr>
          <w:rFonts w:ascii="Calibri" w:eastAsia="Microsoft YaHei"/>
          <w:b/>
          <w:bCs/>
          <w:color w:val="B8860B"/>
          <w:sz w:val="22"/>
          <w:szCs w:val="22"/>
        </w:rPr>
        <w:t xml:space="preserve">B.	</w:t>
      </w:r>
      <w:r>
        <w:rPr>
          <w:rFonts w:ascii="Calibri" w:eastAsia="Microsoft YaHei"/>
          <w:color w:val="000000"/>
          <w:sz w:val="22"/>
          <w:szCs w:val="22"/>
        </w:rPr>
        <w:t xml:space="preserve">WHEREAS, the Accounting Firm, as a certified accounting firm registered with ESAA, possesses the professional qualifications, independence, and standards-compliance required to independently verify milestone evidence in accordance with Egyptian Generally Accepted Auditing Standards and ESAA by-laws;</w:t>
      </w:r>
    </w:p>
    <w:p>
      <w:pPr>
        <w:spacing w:after="120" w:line="312"/>
        <w:ind w:left="720" w:hanging="540"/>
        <w:jc w:val="both"/>
      </w:pPr>
      <w:r>
        <w:rPr>
          <w:rFonts w:ascii="Calibri" w:eastAsia="Microsoft YaHei"/>
          <w:b/>
          <w:bCs/>
          <w:color w:val="B8860B"/>
          <w:sz w:val="22"/>
          <w:szCs w:val="22"/>
        </w:rPr>
        <w:t xml:space="preserve">C.	</w:t>
      </w:r>
      <w:r>
        <w:rPr>
          <w:rFonts w:ascii="Calibri" w:eastAsia="Microsoft YaHei"/>
          <w:color w:val="000000"/>
          <w:sz w:val="22"/>
          <w:szCs w:val="22"/>
        </w:rPr>
        <w:t xml:space="preserve">WHEREAS, the Charter as amended by Amendment IX designates the Accounting Firm as the final gate for milestone fund releases — such that no release from the Law Firm's Client Account may occur without the Accounting Firm's co-authorization certifying that milestone evidence has been independently verified;</w:t>
      </w:r>
    </w:p>
    <w:p>
      <w:pPr>
        <w:spacing w:after="120" w:line="312"/>
        <w:ind w:left="720" w:hanging="540"/>
        <w:jc w:val="both"/>
      </w:pPr>
      <w:r>
        <w:rPr>
          <w:rFonts w:ascii="Calibri" w:eastAsia="Microsoft YaHei"/>
          <w:b/>
          <w:bCs/>
          <w:color w:val="B8860B"/>
          <w:sz w:val="22"/>
          <w:szCs w:val="22"/>
        </w:rPr>
        <w:t xml:space="preserve">D.	</w:t>
      </w:r>
      <w:r>
        <w:rPr>
          <w:rFonts w:ascii="Calibri" w:eastAsia="Microsoft YaHei"/>
          <w:color w:val="000000"/>
          <w:sz w:val="22"/>
          <w:szCs w:val="22"/>
        </w:rPr>
        <w:t xml:space="preserve">WHEREAS, the Parties desire to memorialize the scope, methodology, audit-trail requirements, liability, and fee structure of the Accounting Firm's milestone release authorization function;</w:t>
      </w:r>
    </w:p>
    <w:p>
      <w:pPr>
        <w:spacing w:after="200" w:line="312"/>
        <w:ind w:firstLine="360"/>
        <w:jc w:val="both"/>
      </w:pPr>
      <w:r>
        <w:rPr>
          <w:rFonts w:ascii="Calibri" w:eastAsia="Microsoft YaHei"/>
          <w:color w:val="000000"/>
          <w:sz w:val="22"/>
          <w:szCs w:val="22"/>
        </w:rPr>
        <w:t xml:space="preserve">NOW, THEREFORE, in consideration of the mutual covenants and agreements set forth herein, the Parties agree as follows:</w:t>
      </w:r>
    </w:p>
    <w:p>
      <w:pPr>
        <w:spacing w:after="60" w:before="420"/>
        <w:jc w:val="center"/>
      </w:pPr>
      <w:r>
        <w:rPr>
          <w:rFonts w:ascii="Calibri" w:eastAsia="Microsoft YaHei"/>
          <w:b/>
          <w:bCs/>
          <w:color w:val="0F2027"/>
          <w:spacing w:val="30"/>
          <w:sz w:val="28"/>
          <w:szCs w:val="28"/>
        </w:rPr>
        <w:t xml:space="preserve">ARTICLE I</w:t>
      </w:r>
    </w:p>
    <w:p>
      <w:pPr>
        <w:pBdr>
          <w:bottom w:val="single" w:color="D4AF37" w:sz="8" w:space="6"/>
        </w:pBdr>
        <w:spacing w:after="220"/>
        <w:jc w:val="center"/>
      </w:pPr>
      <w:r>
        <w:rPr>
          <w:rFonts w:ascii="Calibri" w:eastAsia="Microsoft YaHei"/>
          <w:b/>
          <w:bCs/>
          <w:color w:val="B8860B"/>
          <w:spacing w:val="20"/>
          <w:sz w:val="22"/>
          <w:szCs w:val="22"/>
        </w:rPr>
        <w:t xml:space="preserve">DEFINITIONS</w:t>
      </w:r>
    </w:p>
    <w:p>
      <w:pPr>
        <w:spacing w:after="140" w:line="312"/>
        <w:ind w:left="720" w:hanging="540"/>
        <w:jc w:val="both"/>
      </w:pPr>
      <w:r>
        <w:rPr>
          <w:rFonts w:ascii="Calibri" w:eastAsia="Microsoft YaHei"/>
          <w:b/>
          <w:bCs/>
          <w:color w:val="0F2027"/>
          <w:sz w:val="22"/>
          <w:szCs w:val="22"/>
        </w:rPr>
        <w:t xml:space="preserve">1.1	</w:t>
      </w:r>
      <w:r>
        <w:rPr>
          <w:rFonts w:ascii="Calibri" w:eastAsia="Microsoft YaHei"/>
          <w:color w:val="000000"/>
          <w:sz w:val="22"/>
          <w:szCs w:val="22"/>
        </w:rPr>
        <w:t xml:space="preserve">"Milestone" means a constitutionally-defined deliverable in the Enterprise's approved budget or business plan, the completion of which authorizes a corresponding release of Capital Partner Funds from the Law Firm's Client Account. Milestones and their corresponding release amounts are recorded in the constitutional ledger at enterprise formation and may be amended only through the Charter's proposal-and-vote process.</w:t>
      </w:r>
    </w:p>
    <w:p>
      <w:pPr>
        <w:spacing w:after="140" w:line="312"/>
        <w:ind w:left="720" w:hanging="540"/>
        <w:jc w:val="both"/>
      </w:pPr>
      <w:r>
        <w:rPr>
          <w:rFonts w:ascii="Calibri" w:eastAsia="Microsoft YaHei"/>
          <w:b/>
          <w:bCs/>
          <w:color w:val="0F2027"/>
          <w:sz w:val="22"/>
          <w:szCs w:val="22"/>
        </w:rPr>
        <w:t xml:space="preserve">1.2	</w:t>
      </w:r>
      <w:r>
        <w:rPr>
          <w:rFonts w:ascii="Calibri" w:eastAsia="Microsoft YaHei"/>
          <w:color w:val="000000"/>
          <w:sz w:val="22"/>
          <w:szCs w:val="22"/>
        </w:rPr>
        <w:t xml:space="preserve">"Milestone Evidence" means the documentary and electronic evidence submitted by the Enterprise to demonstrate Milestone completion, including without limitation (a) vendor invoices bearing the Enterprise's approval stamps, (b) geotagged and time-stamped photographs of physical deliverables, (c) payroll registers and bank confirmation of salary disbursement, (d) delivery receipts and acceptance certificates, (e) third-party inspection reports, (f) ERP-generated cost-allocation reports, and (g) such other evidence as the Charter or the Accounting Firm may reasonably require.</w:t>
      </w:r>
    </w:p>
    <w:p>
      <w:pPr>
        <w:spacing w:after="140" w:line="312"/>
        <w:ind w:left="720" w:hanging="540"/>
        <w:jc w:val="both"/>
      </w:pPr>
      <w:r>
        <w:rPr>
          <w:rFonts w:ascii="Calibri" w:eastAsia="Microsoft YaHei"/>
          <w:b/>
          <w:bCs/>
          <w:color w:val="0F2027"/>
          <w:sz w:val="22"/>
          <w:szCs w:val="22"/>
        </w:rPr>
        <w:t xml:space="preserve">1.3	</w:t>
      </w:r>
      <w:r>
        <w:rPr>
          <w:rFonts w:ascii="Calibri" w:eastAsia="Microsoft YaHei"/>
          <w:color w:val="000000"/>
          <w:sz w:val="22"/>
          <w:szCs w:val="22"/>
        </w:rPr>
        <w:t xml:space="preserve">"Evidence Verification" means the Accounting Firm's independent examination of Milestone Evidence in accordance with ESAA standards, sufficient to enable the Accounting Firm to issue a Verification Certification with reasonable assurance that the Milestone has been completed and the corresponding release amount is properly supported.</w:t>
      </w:r>
    </w:p>
    <w:p>
      <w:pPr>
        <w:spacing w:after="140" w:line="312"/>
        <w:ind w:left="720" w:hanging="540"/>
        <w:jc w:val="both"/>
      </w:pPr>
      <w:r>
        <w:rPr>
          <w:rFonts w:ascii="Calibri" w:eastAsia="Microsoft YaHei"/>
          <w:b/>
          <w:bCs/>
          <w:color w:val="0F2027"/>
          <w:sz w:val="22"/>
          <w:szCs w:val="22"/>
        </w:rPr>
        <w:t xml:space="preserve">1.4	</w:t>
      </w:r>
      <w:r>
        <w:rPr>
          <w:rFonts w:ascii="Calibri" w:eastAsia="Microsoft YaHei"/>
          <w:color w:val="000000"/>
          <w:sz w:val="22"/>
          <w:szCs w:val="22"/>
        </w:rPr>
        <w:t xml:space="preserve">"Verification Certification" means the written, signed, and ledger-published certification issued by the Accounting Firm authorizing the Law Firm to release a specified amount from the Client Account to a specified payee in respect of a specified Milestone, in the form attached as Schedule A.</w:t>
      </w:r>
    </w:p>
    <w:p>
      <w:pPr>
        <w:spacing w:after="140" w:line="312"/>
        <w:ind w:left="720" w:hanging="540"/>
        <w:jc w:val="both"/>
      </w:pPr>
      <w:r>
        <w:rPr>
          <w:rFonts w:ascii="Calibri" w:eastAsia="Microsoft YaHei"/>
          <w:b/>
          <w:bCs/>
          <w:color w:val="0F2027"/>
          <w:sz w:val="22"/>
          <w:szCs w:val="22"/>
        </w:rPr>
        <w:t xml:space="preserve">1.5	</w:t>
      </w:r>
      <w:r>
        <w:rPr>
          <w:rFonts w:ascii="Calibri" w:eastAsia="Microsoft YaHei"/>
          <w:color w:val="000000"/>
          <w:sz w:val="22"/>
          <w:szCs w:val="22"/>
        </w:rPr>
        <w:t xml:space="preserve">"Release Authorization" means the conjunctive combination of (a) the Enterprise's Board Approval and (b) the Accounting Firm's Verification Certification, which together constitute the Dual-Authorization required for the Law Firm to release Capital Partner Funds.</w:t>
      </w:r>
    </w:p>
    <w:p>
      <w:pPr>
        <w:spacing w:after="140" w:line="312"/>
        <w:ind w:left="720" w:hanging="540"/>
        <w:jc w:val="both"/>
      </w:pPr>
      <w:r>
        <w:rPr>
          <w:rFonts w:ascii="Calibri" w:eastAsia="Microsoft YaHei"/>
          <w:b/>
          <w:bCs/>
          <w:color w:val="0F2027"/>
          <w:sz w:val="22"/>
          <w:szCs w:val="22"/>
        </w:rPr>
        <w:t xml:space="preserve">1.6	</w:t>
      </w:r>
      <w:r>
        <w:rPr>
          <w:rFonts w:ascii="Calibri" w:eastAsia="Microsoft YaHei"/>
          <w:color w:val="000000"/>
          <w:sz w:val="22"/>
          <w:szCs w:val="22"/>
        </w:rPr>
        <w:t xml:space="preserve">"Immutable Ledger" means the AURIENTA constitutional ledger, a hash-chained, append-only, cryptographically-anchored record of all constitutional events, into which every Evidence Verification and Verification Certification shall be published in real time.</w:t>
      </w:r>
    </w:p>
    <w:p>
      <w:pPr>
        <w:spacing w:after="140" w:line="312"/>
        <w:ind w:left="720" w:hanging="540"/>
        <w:jc w:val="both"/>
      </w:pPr>
      <w:r>
        <w:rPr>
          <w:rFonts w:ascii="Calibri" w:eastAsia="Microsoft YaHei"/>
          <w:b/>
          <w:bCs/>
          <w:color w:val="0F2027"/>
          <w:sz w:val="22"/>
          <w:szCs w:val="22"/>
        </w:rPr>
        <w:t xml:space="preserve">1.7	</w:t>
      </w:r>
      <w:r>
        <w:rPr>
          <w:rFonts w:ascii="Calibri" w:eastAsia="Microsoft YaHei"/>
          <w:color w:val="000000"/>
          <w:sz w:val="22"/>
          <w:szCs w:val="22"/>
        </w:rPr>
        <w:t xml:space="preserve">"Consulting Fee" means the 2.5% consulting fee component of the AURIENTA fee structure (the other component being the 5% platform service fee), from which the Accounting Firm's compensation under this Agreement is paid.</w:t>
      </w:r>
    </w:p>
    <w:p>
      <w:pPr>
        <w:spacing w:after="60" w:before="420"/>
        <w:jc w:val="center"/>
      </w:pPr>
      <w:r>
        <w:rPr>
          <w:rFonts w:ascii="Calibri" w:eastAsia="Microsoft YaHei"/>
          <w:b/>
          <w:bCs/>
          <w:color w:val="0F2027"/>
          <w:spacing w:val="30"/>
          <w:sz w:val="28"/>
          <w:szCs w:val="28"/>
        </w:rPr>
        <w:t xml:space="preserve">ARTICLE II</w:t>
      </w:r>
    </w:p>
    <w:p>
      <w:pPr>
        <w:pBdr>
          <w:bottom w:val="single" w:color="D4AF37" w:sz="8" w:space="6"/>
        </w:pBdr>
        <w:spacing w:after="220"/>
        <w:jc w:val="center"/>
      </w:pPr>
      <w:r>
        <w:rPr>
          <w:rFonts w:ascii="Calibri" w:eastAsia="Microsoft YaHei"/>
          <w:b/>
          <w:bCs/>
          <w:color w:val="B8860B"/>
          <w:spacing w:val="20"/>
          <w:sz w:val="22"/>
          <w:szCs w:val="22"/>
        </w:rPr>
        <w:t xml:space="preserve">APPOINTMENT AND SCOPE</w:t>
      </w:r>
    </w:p>
    <w:p>
      <w:pPr>
        <w:spacing w:after="140" w:line="312"/>
        <w:ind w:left="720" w:hanging="540"/>
        <w:jc w:val="both"/>
      </w:pPr>
      <w:r>
        <w:rPr>
          <w:rFonts w:ascii="Calibri" w:eastAsia="Microsoft YaHei"/>
          <w:b/>
          <w:bCs/>
          <w:color w:val="0F2027"/>
          <w:sz w:val="22"/>
          <w:szCs w:val="22"/>
        </w:rPr>
        <w:t xml:space="preserve">2.1	</w:t>
      </w:r>
      <w:r>
        <w:rPr>
          <w:rFonts w:ascii="Calibri" w:eastAsia="Microsoft YaHei"/>
          <w:color w:val="000000"/>
          <w:sz w:val="22"/>
          <w:szCs w:val="22"/>
        </w:rPr>
        <w:t xml:space="preserve">Appointment. The Enterprise hereby appoints the Accounting Firm, and the Accounting Firm hereby accepts appointment, as the certified accounting firm responsible for Evidence Verification and Release Authorization under the Charter as amended by Amendment IX. The Accounting Firm's appointment is subject to ratification by the Enterprise's board and to the Charter's accounting-firm-appointment procedure.</w:t>
      </w:r>
    </w:p>
    <w:p>
      <w:pPr>
        <w:spacing w:after="140" w:line="312"/>
        <w:ind w:left="720" w:hanging="540"/>
        <w:jc w:val="both"/>
      </w:pPr>
      <w:r>
        <w:rPr>
          <w:rFonts w:ascii="Calibri" w:eastAsia="Microsoft YaHei"/>
          <w:b/>
          <w:bCs/>
          <w:color w:val="0F2027"/>
          <w:sz w:val="22"/>
          <w:szCs w:val="22"/>
        </w:rPr>
        <w:t xml:space="preserve">2.2	</w:t>
      </w:r>
      <w:r>
        <w:rPr>
          <w:rFonts w:ascii="Calibri" w:eastAsia="Microsoft YaHei"/>
          <w:color w:val="000000"/>
          <w:sz w:val="22"/>
          <w:szCs w:val="22"/>
        </w:rPr>
        <w:t xml:space="preserve">Final Gate. The Parties expressly acknowledge that the Accounting Firm is the final gate for milestone fund releases under the Charter. No release of Capital Partner Funds from the Law Firm's Client Account may occur without the Accounting Firm's Verification Certification, regardless of (a) the Enterprise's urgency, (b) the magnitude of the release, (c) the Law Firm's willingness to release, or (d) any instruction from AURIENTA. The Accounting Firm's role is not advisory, not ministerial, and not optional.</w:t>
      </w:r>
    </w:p>
    <w:p>
      <w:pPr>
        <w:spacing w:after="140" w:line="312"/>
        <w:ind w:left="720" w:hanging="540"/>
        <w:jc w:val="both"/>
      </w:pPr>
      <w:r>
        <w:rPr>
          <w:rFonts w:ascii="Calibri" w:eastAsia="Microsoft YaHei"/>
          <w:b/>
          <w:bCs/>
          <w:color w:val="0F2027"/>
          <w:sz w:val="22"/>
          <w:szCs w:val="22"/>
        </w:rPr>
        <w:t xml:space="preserve">2.3	</w:t>
      </w:r>
      <w:r>
        <w:rPr>
          <w:rFonts w:ascii="Calibri" w:eastAsia="Microsoft YaHei"/>
          <w:color w:val="000000"/>
          <w:sz w:val="22"/>
          <w:szCs w:val="22"/>
        </w:rPr>
        <w:t xml:space="preserve">Scope of Services. The Accounting Firm's services under this Agreement shall include, without limitation: (a) reviewing each Milestone Evidence submission for completeness, (b) performing Evidence Verification in accordance with ESAA standards, (c) issuing or refusing Verification Certifications, (d) publishing every Verification Certification (and every refusal) to the Immutable Ledger in real time, (e) maintaining a contemporaneous audit trail of all verification activities, (f) cooperating with the Law Firm in the Dual-Authorization Protocol, and (g) reporting quarterly to the Enterprise's board and AURIENTA on verification activity, refusal rates, and evidence-quality trends.</w:t>
      </w:r>
    </w:p>
    <w:p>
      <w:pPr>
        <w:spacing w:after="140" w:line="312"/>
        <w:ind w:left="720" w:hanging="540"/>
        <w:jc w:val="both"/>
      </w:pPr>
      <w:r>
        <w:rPr>
          <w:rFonts w:ascii="Calibri" w:eastAsia="Microsoft YaHei"/>
          <w:b/>
          <w:bCs/>
          <w:color w:val="0F2027"/>
          <w:sz w:val="22"/>
          <w:szCs w:val="22"/>
        </w:rPr>
        <w:t xml:space="preserve">2.4	</w:t>
      </w:r>
      <w:r>
        <w:rPr>
          <w:rFonts w:ascii="Calibri" w:eastAsia="Microsoft YaHei"/>
          <w:color w:val="000000"/>
          <w:sz w:val="22"/>
          <w:szCs w:val="22"/>
        </w:rPr>
        <w:t xml:space="preserve">Independence. The Accounting Firm shall at all times maintain its independence from the Enterprise, the Law Firm, AURIENTA, and any vendor or payee of Capital Partner Funds, in accordance with ESAA's independence requirements. The Accounting Firm shall not accept any engagement that would create a conflict of interest with its role under this Agreement, and shall disclose any actual or potential conflict to the Parties promptly upon discovery.</w:t>
      </w:r>
    </w:p>
    <w:p>
      <w:pPr>
        <w:spacing w:after="60" w:before="420"/>
        <w:jc w:val="center"/>
      </w:pPr>
      <w:r>
        <w:rPr>
          <w:rFonts w:ascii="Calibri" w:eastAsia="Microsoft YaHei"/>
          <w:b/>
          <w:bCs/>
          <w:color w:val="0F2027"/>
          <w:spacing w:val="30"/>
          <w:sz w:val="28"/>
          <w:szCs w:val="28"/>
        </w:rPr>
        <w:t xml:space="preserve">ARTICLE III</w:t>
      </w:r>
    </w:p>
    <w:p>
      <w:pPr>
        <w:pBdr>
          <w:bottom w:val="single" w:color="D4AF37" w:sz="8" w:space="6"/>
        </w:pBdr>
        <w:spacing w:after="220"/>
        <w:jc w:val="center"/>
      </w:pPr>
      <w:r>
        <w:rPr>
          <w:rFonts w:ascii="Calibri" w:eastAsia="Microsoft YaHei"/>
          <w:b/>
          <w:bCs/>
          <w:color w:val="B8860B"/>
          <w:spacing w:val="20"/>
          <w:sz w:val="22"/>
          <w:szCs w:val="22"/>
        </w:rPr>
        <w:t xml:space="preserve">EVIDENCE VERIFICATION METHODOLOGY</w:t>
      </w:r>
    </w:p>
    <w:p>
      <w:pPr>
        <w:spacing w:after="140" w:line="312"/>
        <w:ind w:left="720" w:hanging="540"/>
        <w:jc w:val="both"/>
      </w:pPr>
      <w:r>
        <w:rPr>
          <w:rFonts w:ascii="Calibri" w:eastAsia="Microsoft YaHei"/>
          <w:b/>
          <w:bCs/>
          <w:color w:val="0F2027"/>
          <w:sz w:val="22"/>
          <w:szCs w:val="22"/>
        </w:rPr>
        <w:t xml:space="preserve">3.1	</w:t>
      </w:r>
      <w:r>
        <w:rPr>
          <w:rFonts w:ascii="Calibri" w:eastAsia="Microsoft YaHei"/>
          <w:color w:val="000000"/>
          <w:sz w:val="22"/>
          <w:szCs w:val="22"/>
        </w:rPr>
        <w:t xml:space="preserve">Verification Standards. The Accounting Firm shall perform Evidence Verification in accordance with (a) Egyptian Generally Accepted Auditing Standards, (b) ESAA by-laws and pronouncements, (c) International Standards on Assurance Engagements (ISAE) as adopted in Egypt, and (d) the verification protocols set forth in the Charter as amended by Amendment IX.</w:t>
      </w:r>
    </w:p>
    <w:p>
      <w:pPr>
        <w:spacing w:after="140" w:line="312"/>
        <w:ind w:left="720" w:hanging="540"/>
        <w:jc w:val="both"/>
      </w:pPr>
      <w:r>
        <w:rPr>
          <w:rFonts w:ascii="Calibri" w:eastAsia="Microsoft YaHei"/>
          <w:b/>
          <w:bCs/>
          <w:color w:val="0F2027"/>
          <w:sz w:val="22"/>
          <w:szCs w:val="22"/>
        </w:rPr>
        <w:t xml:space="preserve">3.2	</w:t>
      </w:r>
      <w:r>
        <w:rPr>
          <w:rFonts w:ascii="Calibri" w:eastAsia="Microsoft YaHei"/>
          <w:color w:val="000000"/>
          <w:sz w:val="22"/>
          <w:szCs w:val="22"/>
        </w:rPr>
        <w:t xml:space="preserve">Evidence Categories. The Accounting Firm shall verify Milestone Evidence in each of the following categories, as applicable to the Milestone:</w:t>
      </w:r>
    </w:p>
    <w:p>
      <w:pPr>
        <w:spacing w:after="80" w:line="300"/>
        <w:ind w:left="720" w:hanging="280"/>
        <w:jc w:val="left"/>
      </w:pPr>
      <w:r>
        <w:rPr>
          <w:b/>
          <w:bCs/>
          <w:color w:val="D4AF37"/>
          <w:sz w:val="22"/>
          <w:szCs w:val="22"/>
        </w:rPr>
        <w:t xml:space="preserve">•  </w:t>
      </w:r>
      <w:r>
        <w:rPr>
          <w:rFonts w:ascii="Calibri" w:eastAsia="Microsoft YaHei"/>
          <w:color w:val="000000"/>
          <w:sz w:val="22"/>
          <w:szCs w:val="22"/>
        </w:rPr>
        <w:t xml:space="preserve">Invoices: vendor invoices cross-checked against purchase orders, delivery notes, and the Enterprise's approval workflow, with confirmation of vendor bank-account consistency.</w:t>
      </w:r>
    </w:p>
    <w:p>
      <w:pPr>
        <w:spacing w:after="80" w:line="300"/>
        <w:ind w:left="720" w:hanging="280"/>
        <w:jc w:val="left"/>
      </w:pPr>
      <w:r>
        <w:rPr>
          <w:b/>
          <w:bCs/>
          <w:color w:val="D4AF37"/>
          <w:sz w:val="22"/>
          <w:szCs w:val="22"/>
        </w:rPr>
        <w:t xml:space="preserve">•  </w:t>
      </w:r>
      <w:r>
        <w:rPr>
          <w:rFonts w:ascii="Calibri" w:eastAsia="Microsoft YaHei"/>
          <w:color w:val="000000"/>
          <w:sz w:val="22"/>
          <w:szCs w:val="22"/>
        </w:rPr>
        <w:t xml:space="preserve">Geotagged Photographs: photographs bearing GPS coordinates and timestamps embedded in the image EXIF metadata, cross-checked against the Milestone's expected geographic location and date range.</w:t>
      </w:r>
    </w:p>
    <w:p>
      <w:pPr>
        <w:spacing w:after="80" w:line="300"/>
        <w:ind w:left="720" w:hanging="280"/>
        <w:jc w:val="left"/>
      </w:pPr>
      <w:r>
        <w:rPr>
          <w:b/>
          <w:bCs/>
          <w:color w:val="D4AF37"/>
          <w:sz w:val="22"/>
          <w:szCs w:val="22"/>
        </w:rPr>
        <w:t xml:space="preserve">•  </w:t>
      </w:r>
      <w:r>
        <w:rPr>
          <w:rFonts w:ascii="Calibri" w:eastAsia="Microsoft YaHei"/>
          <w:color w:val="000000"/>
          <w:sz w:val="22"/>
          <w:szCs w:val="22"/>
        </w:rPr>
        <w:t xml:space="preserve">Payroll: payroll registers cross-checked against employee contracts, NOSI social-insurance registration, and bank confirmations of net-salary disbursement.</w:t>
      </w:r>
    </w:p>
    <w:p>
      <w:pPr>
        <w:spacing w:after="80" w:line="300"/>
        <w:ind w:left="720" w:hanging="280"/>
        <w:jc w:val="left"/>
      </w:pPr>
      <w:r>
        <w:rPr>
          <w:b/>
          <w:bCs/>
          <w:color w:val="D4AF37"/>
          <w:sz w:val="22"/>
          <w:szCs w:val="22"/>
        </w:rPr>
        <w:t xml:space="preserve">•  </w:t>
      </w:r>
      <w:r>
        <w:rPr>
          <w:rFonts w:ascii="Calibri" w:eastAsia="Microsoft YaHei"/>
          <w:color w:val="000000"/>
          <w:sz w:val="22"/>
          <w:szCs w:val="22"/>
        </w:rPr>
        <w:t xml:space="preserve">Delivery Receipts: delivery and acceptance receipts bearing the signatures of authorized Enterprise personnel and (where applicable) third-party inspectors.</w:t>
      </w:r>
    </w:p>
    <w:p>
      <w:pPr>
        <w:spacing w:after="80" w:line="300"/>
        <w:ind w:left="720" w:hanging="280"/>
        <w:jc w:val="left"/>
      </w:pPr>
      <w:r>
        <w:rPr>
          <w:b/>
          <w:bCs/>
          <w:color w:val="D4AF37"/>
          <w:sz w:val="22"/>
          <w:szCs w:val="22"/>
        </w:rPr>
        <w:t xml:space="preserve">•  </w:t>
      </w:r>
      <w:r>
        <w:rPr>
          <w:rFonts w:ascii="Calibri" w:eastAsia="Microsoft YaHei"/>
          <w:color w:val="000000"/>
          <w:sz w:val="22"/>
          <w:szCs w:val="22"/>
        </w:rPr>
        <w:t xml:space="preserve">ERP Reports: cost-allocation and milestone-progress reports generated by the Enterprise's certified ERP system, with reconciliation to the general ledger.</w:t>
      </w:r>
    </w:p>
    <w:p>
      <w:pPr>
        <w:spacing w:after="80" w:line="300"/>
        <w:ind w:left="720" w:hanging="280"/>
        <w:jc w:val="left"/>
      </w:pPr>
      <w:r>
        <w:rPr>
          <w:b/>
          <w:bCs/>
          <w:color w:val="D4AF37"/>
          <w:sz w:val="22"/>
          <w:szCs w:val="22"/>
        </w:rPr>
        <w:t xml:space="preserve">•  </w:t>
      </w:r>
      <w:r>
        <w:rPr>
          <w:rFonts w:ascii="Calibri" w:eastAsia="Microsoft YaHei"/>
          <w:color w:val="000000"/>
          <w:sz w:val="22"/>
          <w:szCs w:val="22"/>
        </w:rPr>
        <w:t xml:space="preserve">Third-Party Inspections: inspection reports from independent engineers, quantity surveyors, or quality-assurance firms, where the Milestone or its Tier requires.</w:t>
      </w:r>
    </w:p>
    <w:p>
      <w:pPr>
        <w:spacing w:after="140" w:line="312"/>
        <w:ind w:left="720" w:hanging="540"/>
        <w:jc w:val="both"/>
      </w:pPr>
      <w:r>
        <w:rPr>
          <w:rFonts w:ascii="Calibri" w:eastAsia="Microsoft YaHei"/>
          <w:b/>
          <w:bCs/>
          <w:color w:val="0F2027"/>
          <w:sz w:val="22"/>
          <w:szCs w:val="22"/>
        </w:rPr>
        <w:t xml:space="preserve">3.3	</w:t>
      </w:r>
      <w:r>
        <w:rPr>
          <w:rFonts w:ascii="Calibri" w:eastAsia="Microsoft YaHei"/>
          <w:color w:val="000000"/>
          <w:sz w:val="22"/>
          <w:szCs w:val="22"/>
        </w:rPr>
        <w:t xml:space="preserve">Verification Procedures. The Accounting Firm shall perform, at minimum, the following procedures for each Milestone Evidence submission: (a) completeness check (all required evidence documents present), (b) authenticity check (documents bear required signatures, stamps, and metadata), (c) consistency check (documents are mutually consistent and consistent with the budget), (d) arithmetic check (amounts reconcile), (e) selectivity check (where risk-based sampling is appropriate, apply it consistently), and (f) sufficiency determination (does the evidence support the requested release amount?).</w:t>
      </w:r>
    </w:p>
    <w:p>
      <w:pPr>
        <w:spacing w:after="140" w:line="312"/>
        <w:ind w:left="720" w:hanging="540"/>
        <w:jc w:val="both"/>
      </w:pPr>
      <w:r>
        <w:rPr>
          <w:rFonts w:ascii="Calibri" w:eastAsia="Microsoft YaHei"/>
          <w:b/>
          <w:bCs/>
          <w:color w:val="0F2027"/>
          <w:sz w:val="22"/>
          <w:szCs w:val="22"/>
        </w:rPr>
        <w:t xml:space="preserve">3.4	</w:t>
      </w:r>
      <w:r>
        <w:rPr>
          <w:rFonts w:ascii="Calibri" w:eastAsia="Microsoft YaHei"/>
          <w:color w:val="000000"/>
          <w:sz w:val="22"/>
          <w:szCs w:val="22"/>
        </w:rPr>
        <w:t xml:space="preserve">Verification Outcome. Within three (3) business days of receipt of a complete Milestone Evidence submission, the Accounting Firm shall issue either (a) a Verification Certification authorizing the release, in whole or in part, (b) a Conditional Verification identifying specific deficiencies to be cured, or (c) a Refusal of Verification identifying the reasons for refusal. Every outcome shall be published to the Immutable Ledger within one (1) hour of issuance.</w:t>
      </w:r>
    </w:p>
    <w:p>
      <w:pPr>
        <w:spacing w:after="140" w:line="312"/>
        <w:ind w:left="720" w:hanging="540"/>
        <w:jc w:val="both"/>
      </w:pPr>
      <w:r>
        <w:rPr>
          <w:rFonts w:ascii="Calibri" w:eastAsia="Microsoft YaHei"/>
          <w:b/>
          <w:bCs/>
          <w:color w:val="0F2027"/>
          <w:sz w:val="22"/>
          <w:szCs w:val="22"/>
        </w:rPr>
        <w:t xml:space="preserve">3.5	</w:t>
      </w:r>
      <w:r>
        <w:rPr>
          <w:rFonts w:ascii="Calibri" w:eastAsia="Microsoft YaHei"/>
          <w:color w:val="000000"/>
          <w:sz w:val="22"/>
          <w:szCs w:val="22"/>
        </w:rPr>
        <w:t xml:space="preserve">No Self-Certification. The Enterprise shall not self-certify Milestone Evidence under any circumstance. The Enterprise's board, manager, or any Capital Partner may submit Milestone Evidence to the Accounting Firm, but only the Accounting Firm may issue a Verification Certification.</w:t>
      </w:r>
    </w:p>
    <w:p>
      <w:pPr>
        <w:spacing w:after="60" w:before="420"/>
        <w:jc w:val="center"/>
      </w:pPr>
      <w:r>
        <w:rPr>
          <w:rFonts w:ascii="Calibri" w:eastAsia="Microsoft YaHei"/>
          <w:b/>
          <w:bCs/>
          <w:color w:val="0F2027"/>
          <w:spacing w:val="30"/>
          <w:sz w:val="28"/>
          <w:szCs w:val="28"/>
        </w:rPr>
        <w:t xml:space="preserve">ARTICLE IV</w:t>
      </w:r>
    </w:p>
    <w:p>
      <w:pPr>
        <w:pBdr>
          <w:bottom w:val="single" w:color="D4AF37" w:sz="8" w:space="6"/>
        </w:pBdr>
        <w:spacing w:after="220"/>
        <w:jc w:val="center"/>
      </w:pPr>
      <w:r>
        <w:rPr>
          <w:rFonts w:ascii="Calibri" w:eastAsia="Microsoft YaHei"/>
          <w:b/>
          <w:bCs/>
          <w:color w:val="B8860B"/>
          <w:spacing w:val="20"/>
          <w:sz w:val="22"/>
          <w:szCs w:val="22"/>
        </w:rPr>
        <w:t xml:space="preserve">CO-AUTHORIZATION OF RELEASE</w:t>
      </w:r>
    </w:p>
    <w:p>
      <w:pPr>
        <w:spacing w:after="140" w:line="312"/>
        <w:ind w:left="720" w:hanging="540"/>
        <w:jc w:val="both"/>
      </w:pPr>
      <w:r>
        <w:rPr>
          <w:rFonts w:ascii="Calibri" w:eastAsia="Microsoft YaHei"/>
          <w:b/>
          <w:bCs/>
          <w:color w:val="0F2027"/>
          <w:sz w:val="22"/>
          <w:szCs w:val="22"/>
        </w:rPr>
        <w:t xml:space="preserve">4.1	</w:t>
      </w:r>
      <w:r>
        <w:rPr>
          <w:rFonts w:ascii="Calibri" w:eastAsia="Microsoft YaHei"/>
          <w:color w:val="000000"/>
          <w:sz w:val="22"/>
          <w:szCs w:val="22"/>
        </w:rPr>
        <w:t xml:space="preserve">Co-Authorization. Upon issuance of a Verification Certification, the Accounting Firm shall transmit such Certification to the Law Firm as the second of the two authorizations required for release (the first being the Enterprise's Board Approval). The Law Firm shall not execute any release in the absence of a valid Verification Certification.</w:t>
      </w:r>
    </w:p>
    <w:p>
      <w:pPr>
        <w:spacing w:after="140" w:line="312"/>
        <w:ind w:left="720" w:hanging="540"/>
        <w:jc w:val="both"/>
      </w:pPr>
      <w:r>
        <w:rPr>
          <w:rFonts w:ascii="Calibri" w:eastAsia="Microsoft YaHei"/>
          <w:b/>
          <w:bCs/>
          <w:color w:val="0F2027"/>
          <w:sz w:val="22"/>
          <w:szCs w:val="22"/>
        </w:rPr>
        <w:t xml:space="preserve">4.2	</w:t>
      </w:r>
      <w:r>
        <w:rPr>
          <w:rFonts w:ascii="Calibri" w:eastAsia="Microsoft YaHei"/>
          <w:color w:val="000000"/>
          <w:sz w:val="22"/>
          <w:szCs w:val="22"/>
        </w:rPr>
        <w:t xml:space="preserve">Form of Certification. Each Verification Certification shall identify (a) the Enterprise, (b) the Milestone, (c) the verification date, (d) the evidence documents reviewed, (e) the verification methodology applied, (f) the verified release amount, (g) the payee bank account, (h) the constitutional ledger reference of the corresponding Board Approval, (i) the Accounting Firm's ESAA registration number, and (j) the signature of the engagement partner.</w:t>
      </w:r>
    </w:p>
    <w:p>
      <w:pPr>
        <w:spacing w:after="140" w:line="312"/>
        <w:ind w:left="720" w:hanging="540"/>
        <w:jc w:val="both"/>
      </w:pPr>
      <w:r>
        <w:rPr>
          <w:rFonts w:ascii="Calibri" w:eastAsia="Microsoft YaHei"/>
          <w:b/>
          <w:bCs/>
          <w:color w:val="0F2027"/>
          <w:sz w:val="22"/>
          <w:szCs w:val="22"/>
        </w:rPr>
        <w:t xml:space="preserve">4.3	</w:t>
      </w:r>
      <w:r>
        <w:rPr>
          <w:rFonts w:ascii="Calibri" w:eastAsia="Microsoft YaHei"/>
          <w:color w:val="000000"/>
          <w:sz w:val="22"/>
          <w:szCs w:val="22"/>
        </w:rPr>
        <w:t xml:space="preserve">Partial Certification. The Accounting Firm may issue a Verification Certification for less than the full requested release amount, where the evidence supports only a portion. The Law Firm shall release only the certified amount. The Enterprise may re-submit evidence for the remaining amount as a new Milestone Evidence submission.</w:t>
      </w:r>
    </w:p>
    <w:p>
      <w:pPr>
        <w:spacing w:after="140" w:line="312"/>
        <w:ind w:left="720" w:hanging="540"/>
        <w:jc w:val="both"/>
      </w:pPr>
      <w:r>
        <w:rPr>
          <w:rFonts w:ascii="Calibri" w:eastAsia="Microsoft YaHei"/>
          <w:b/>
          <w:bCs/>
          <w:color w:val="0F2027"/>
          <w:sz w:val="22"/>
          <w:szCs w:val="22"/>
        </w:rPr>
        <w:t xml:space="preserve">4.4	</w:t>
      </w:r>
      <w:r>
        <w:rPr>
          <w:rFonts w:ascii="Calibri" w:eastAsia="Microsoft YaHei"/>
          <w:color w:val="000000"/>
          <w:sz w:val="22"/>
          <w:szCs w:val="22"/>
        </w:rPr>
        <w:t xml:space="preserve">Withdrawal of Certification. The Accounting Firm may withdraw a Verification Certification prior to release if it discovers information that would have caused it to refuse certification. Withdrawal shall be published to the Immutable Ledger immediately and shall be conclusive — the Law Firm shall not execute the release.</w:t>
      </w:r>
    </w:p>
    <w:p>
      <w:pPr>
        <w:spacing w:after="140" w:line="312"/>
        <w:ind w:left="720" w:hanging="540"/>
        <w:jc w:val="both"/>
      </w:pPr>
      <w:r>
        <w:rPr>
          <w:rFonts w:ascii="Calibri" w:eastAsia="Microsoft YaHei"/>
          <w:b/>
          <w:bCs/>
          <w:color w:val="0F2027"/>
          <w:sz w:val="22"/>
          <w:szCs w:val="22"/>
        </w:rPr>
        <w:t xml:space="preserve">4.5	</w:t>
      </w:r>
      <w:r>
        <w:rPr>
          <w:rFonts w:ascii="Calibri" w:eastAsia="Microsoft YaHei"/>
          <w:color w:val="000000"/>
          <w:sz w:val="22"/>
          <w:szCs w:val="22"/>
        </w:rPr>
        <w:t xml:space="preserve">No Substitution. No instruction, request, or demand from AURIENTA, the Enterprise, the Law Firm, or any Capital Partner shall substitute for, override, or expedite a Verification Certification. The Accounting Firm's certification function is non-delegable and may not be sub-contracted without the prior written consent of the Enterprise and AURIENTA.</w:t>
      </w:r>
    </w:p>
    <w:p>
      <w:pPr>
        <w:spacing w:after="60" w:before="420"/>
        <w:jc w:val="center"/>
      </w:pPr>
      <w:r>
        <w:rPr>
          <w:rFonts w:ascii="Calibri" w:eastAsia="Microsoft YaHei"/>
          <w:b/>
          <w:bCs/>
          <w:color w:val="0F2027"/>
          <w:spacing w:val="30"/>
          <w:sz w:val="28"/>
          <w:szCs w:val="28"/>
        </w:rPr>
        <w:t xml:space="preserve">ARTICLE V</w:t>
      </w:r>
    </w:p>
    <w:p>
      <w:pPr>
        <w:pBdr>
          <w:bottom w:val="single" w:color="D4AF37" w:sz="8" w:space="6"/>
        </w:pBdr>
        <w:spacing w:after="220"/>
        <w:jc w:val="center"/>
      </w:pPr>
      <w:r>
        <w:rPr>
          <w:rFonts w:ascii="Calibri" w:eastAsia="Microsoft YaHei"/>
          <w:b/>
          <w:bCs/>
          <w:color w:val="B8860B"/>
          <w:spacing w:val="20"/>
          <w:sz w:val="22"/>
          <w:szCs w:val="22"/>
        </w:rPr>
        <w:t xml:space="preserve">ESAA LICENSE VERIFICATION AND COMPLIANCE</w:t>
      </w:r>
    </w:p>
    <w:p>
      <w:pPr>
        <w:spacing w:after="140" w:line="312"/>
        <w:ind w:left="720" w:hanging="540"/>
        <w:jc w:val="both"/>
      </w:pPr>
      <w:r>
        <w:rPr>
          <w:rFonts w:ascii="Calibri" w:eastAsia="Microsoft YaHei"/>
          <w:b/>
          <w:bCs/>
          <w:color w:val="0F2027"/>
          <w:sz w:val="22"/>
          <w:szCs w:val="22"/>
        </w:rPr>
        <w:t xml:space="preserve">5.1	</w:t>
      </w:r>
      <w:r>
        <w:rPr>
          <w:rFonts w:ascii="Calibri" w:eastAsia="Microsoft YaHei"/>
          <w:color w:val="000000"/>
          <w:sz w:val="22"/>
          <w:szCs w:val="22"/>
        </w:rPr>
        <w:t xml:space="preserve">ESAA Registration. The Accounting Firm represents and warrants that it is duly registered with ESAA under registration number [____], is in good standing, and holds all licenses, permits, and professional qualifications required to perform the Evidence Verification and Verification Certification functions under this Agreement. AURIENTA shall verify the Accounting Firm's ESAA registration within ten (10) business days of execution of this Agreement, and annually thereafter.</w:t>
      </w:r>
    </w:p>
    <w:p>
      <w:pPr>
        <w:spacing w:after="140" w:line="312"/>
        <w:ind w:left="720" w:hanging="540"/>
        <w:jc w:val="both"/>
      </w:pPr>
      <w:r>
        <w:rPr>
          <w:rFonts w:ascii="Calibri" w:eastAsia="Microsoft YaHei"/>
          <w:b/>
          <w:bCs/>
          <w:color w:val="0F2027"/>
          <w:sz w:val="22"/>
          <w:szCs w:val="22"/>
        </w:rPr>
        <w:t xml:space="preserve">5.2	</w:t>
      </w:r>
      <w:r>
        <w:rPr>
          <w:rFonts w:ascii="Calibri" w:eastAsia="Microsoft YaHei"/>
          <w:color w:val="000000"/>
          <w:sz w:val="22"/>
          <w:szCs w:val="22"/>
        </w:rPr>
        <w:t xml:space="preserve">ESAA Compliance. The Accounting Firm shall comply, at all times during the term of this Agreement, with ESAA by-laws, pronouncements, continuing-professional-education requirements, and quality-control standards. The Accounting Firm shall promptly notify AURIENTA and the Enterprise of (a) any change in its ESAA registration status, (b) any ESAA disciplinary proceeding or investigation, and (c) any material change in its independence position.</w:t>
      </w:r>
    </w:p>
    <w:p>
      <w:pPr>
        <w:spacing w:after="140" w:line="312"/>
        <w:ind w:left="720" w:hanging="540"/>
        <w:jc w:val="both"/>
      </w:pPr>
      <w:r>
        <w:rPr>
          <w:rFonts w:ascii="Calibri" w:eastAsia="Microsoft YaHei"/>
          <w:b/>
          <w:bCs/>
          <w:color w:val="0F2027"/>
          <w:sz w:val="22"/>
          <w:szCs w:val="22"/>
        </w:rPr>
        <w:t xml:space="preserve">5.3	</w:t>
      </w:r>
      <w:r>
        <w:rPr>
          <w:rFonts w:ascii="Calibri" w:eastAsia="Microsoft YaHei"/>
          <w:color w:val="000000"/>
          <w:sz w:val="22"/>
          <w:szCs w:val="22"/>
        </w:rPr>
        <w:t xml:space="preserve">Engagement Partner. The Accounting Firm shall designate a partner with not less than ten (10) years of post-qualification experience as the engagement partner for the Enterprise. The engagement partner shall be identified in the constitutional ledger and shall personally sign each Verification Certification.</w:t>
      </w:r>
    </w:p>
    <w:p>
      <w:pPr>
        <w:spacing w:after="140" w:line="312"/>
        <w:ind w:left="720" w:hanging="540"/>
        <w:jc w:val="both"/>
      </w:pPr>
      <w:r>
        <w:rPr>
          <w:rFonts w:ascii="Calibri" w:eastAsia="Microsoft YaHei"/>
          <w:b/>
          <w:bCs/>
          <w:color w:val="0F2027"/>
          <w:sz w:val="22"/>
          <w:szCs w:val="22"/>
        </w:rPr>
        <w:t xml:space="preserve">5.4	</w:t>
      </w:r>
      <w:r>
        <w:rPr>
          <w:rFonts w:ascii="Calibri" w:eastAsia="Microsoft YaHei"/>
          <w:color w:val="000000"/>
          <w:sz w:val="22"/>
          <w:szCs w:val="22"/>
        </w:rPr>
        <w:t xml:space="preserve">Peer Review. The Accounting Firm shall consent to peer review by an independent ESAA-registered firm selected by AURIENTA, no less frequently than once every three (3) years, of the Accounting Firm's verification workpapers, methodology, and quality-control procedures. Peer-review findings shall be published to the constitutional ledger.</w:t>
      </w:r>
    </w:p>
    <w:p>
      <w:pPr>
        <w:spacing w:after="60" w:before="420"/>
        <w:jc w:val="center"/>
      </w:pPr>
      <w:r>
        <w:rPr>
          <w:rFonts w:ascii="Calibri" w:eastAsia="Microsoft YaHei"/>
          <w:b/>
          <w:bCs/>
          <w:color w:val="0F2027"/>
          <w:spacing w:val="30"/>
          <w:sz w:val="28"/>
          <w:szCs w:val="28"/>
        </w:rPr>
        <w:t xml:space="preserve">ARTICLE VI</w:t>
      </w:r>
    </w:p>
    <w:p>
      <w:pPr>
        <w:pBdr>
          <w:bottom w:val="single" w:color="D4AF37" w:sz="8" w:space="6"/>
        </w:pBdr>
        <w:spacing w:after="220"/>
        <w:jc w:val="center"/>
      </w:pPr>
      <w:r>
        <w:rPr>
          <w:rFonts w:ascii="Calibri" w:eastAsia="Microsoft YaHei"/>
          <w:b/>
          <w:bCs/>
          <w:color w:val="B8860B"/>
          <w:spacing w:val="20"/>
          <w:sz w:val="22"/>
          <w:szCs w:val="22"/>
        </w:rPr>
        <w:t xml:space="preserve">AUDIT TRAIL AND IMMUTABLE LEDGER</w:t>
      </w:r>
    </w:p>
    <w:p>
      <w:pPr>
        <w:spacing w:after="140" w:line="312"/>
        <w:ind w:left="720" w:hanging="540"/>
        <w:jc w:val="both"/>
      </w:pPr>
      <w:r>
        <w:rPr>
          <w:rFonts w:ascii="Calibri" w:eastAsia="Microsoft YaHei"/>
          <w:b/>
          <w:bCs/>
          <w:color w:val="0F2027"/>
          <w:sz w:val="22"/>
          <w:szCs w:val="22"/>
        </w:rPr>
        <w:t xml:space="preserve">6.1	</w:t>
      </w:r>
      <w:r>
        <w:rPr>
          <w:rFonts w:ascii="Calibri" w:eastAsia="Microsoft YaHei"/>
          <w:color w:val="000000"/>
          <w:sz w:val="22"/>
          <w:szCs w:val="22"/>
        </w:rPr>
        <w:t xml:space="preserve">Real-Time Ledger Publication. The Accounting Firm shall publish to the Immutable Ledger, within one (1) hour of occurrence, every event in the verification and release workflow, including without limitation: (a) receipt of a Milestone Evidence submission, (b) commencement of verification, (c) issuance, withdrawal, or refusal of a Verification Certification, (d) transmittal of a Verification Certification to the Law Firm, and (e) confirmation of release execution by the Law Firm.</w:t>
      </w:r>
    </w:p>
    <w:p>
      <w:pPr>
        <w:spacing w:after="140" w:line="312"/>
        <w:ind w:left="720" w:hanging="540"/>
        <w:jc w:val="both"/>
      </w:pPr>
      <w:r>
        <w:rPr>
          <w:rFonts w:ascii="Calibri" w:eastAsia="Microsoft YaHei"/>
          <w:b/>
          <w:bCs/>
          <w:color w:val="0F2027"/>
          <w:sz w:val="22"/>
          <w:szCs w:val="22"/>
        </w:rPr>
        <w:t xml:space="preserve">6.2	</w:t>
      </w:r>
      <w:r>
        <w:rPr>
          <w:rFonts w:ascii="Calibri" w:eastAsia="Microsoft YaHei"/>
          <w:color w:val="000000"/>
          <w:sz w:val="22"/>
          <w:szCs w:val="22"/>
        </w:rPr>
        <w:t xml:space="preserve">Workpaper Retention. The Accounting Firm shall retain all verification workpapers, evidence documents, and communications for not less than ten (10) years following the graduation of the Enterprise from the AURIENTA platform, or such longer period as required by ESAA, the FRA, or Egyptian law. Workpapers shall be made available to the Enterprise, AURIENTA, the FRA, ESAA, and any court of competent jurisdiction upon reasonable request.</w:t>
      </w:r>
    </w:p>
    <w:p>
      <w:pPr>
        <w:spacing w:after="140" w:line="312"/>
        <w:ind w:left="720" w:hanging="540"/>
        <w:jc w:val="both"/>
      </w:pPr>
      <w:r>
        <w:rPr>
          <w:rFonts w:ascii="Calibri" w:eastAsia="Microsoft YaHei"/>
          <w:b/>
          <w:bCs/>
          <w:color w:val="0F2027"/>
          <w:sz w:val="22"/>
          <w:szCs w:val="22"/>
        </w:rPr>
        <w:t xml:space="preserve">6.3	</w:t>
      </w:r>
      <w:r>
        <w:rPr>
          <w:rFonts w:ascii="Calibri" w:eastAsia="Microsoft YaHei"/>
          <w:color w:val="000000"/>
          <w:sz w:val="22"/>
          <w:szCs w:val="22"/>
        </w:rPr>
        <w:t xml:space="preserve">Hash-Anchoring. Each ledger entry published by the Accounting Firm shall be hash-chained to the preceding entry in accordance with the Charter's ledger protocol, and the cumulative hash shall be anchored to the constitutional hash on a recurring schedule. Any attempt to alter, backdate, or omit a ledger entry shall be detectable by the Charter's verify-on-read protocol.</w:t>
      </w:r>
    </w:p>
    <w:p>
      <w:pPr>
        <w:spacing w:after="140" w:line="312"/>
        <w:ind w:left="720" w:hanging="540"/>
        <w:jc w:val="both"/>
      </w:pPr>
      <w:r>
        <w:rPr>
          <w:rFonts w:ascii="Calibri" w:eastAsia="Microsoft YaHei"/>
          <w:b/>
          <w:bCs/>
          <w:color w:val="0F2027"/>
          <w:sz w:val="22"/>
          <w:szCs w:val="22"/>
        </w:rPr>
        <w:t xml:space="preserve">6.4	</w:t>
      </w:r>
      <w:r>
        <w:rPr>
          <w:rFonts w:ascii="Calibri" w:eastAsia="Microsoft YaHei"/>
          <w:color w:val="000000"/>
          <w:sz w:val="22"/>
          <w:szCs w:val="22"/>
        </w:rPr>
        <w:t xml:space="preserve">Quarterly Reporting. The Accounting Firm shall prepare and publish to the constitutional ledger, within thirty (30) days of each calendar quarter, a report summarizing (a) the number of Milestone Evidence submissions received, (b) the number and aggregate value of Verification Certifications issued, (c) the number and reasons for refusals, (d) the average verification cycle time, and (e) any evidence-quality trends or recurring deficiencies identified.</w:t>
      </w:r>
    </w:p>
    <w:p>
      <w:pPr>
        <w:spacing w:after="140" w:line="312"/>
        <w:ind w:left="720" w:hanging="540"/>
        <w:jc w:val="both"/>
      </w:pPr>
      <w:r>
        <w:rPr>
          <w:rFonts w:ascii="Calibri" w:eastAsia="Microsoft YaHei"/>
          <w:b/>
          <w:bCs/>
          <w:color w:val="0F2027"/>
          <w:sz w:val="22"/>
          <w:szCs w:val="22"/>
        </w:rPr>
        <w:t xml:space="preserve">6.5	</w:t>
      </w:r>
      <w:r>
        <w:rPr>
          <w:rFonts w:ascii="Calibri" w:eastAsia="Microsoft YaHei"/>
          <w:color w:val="000000"/>
          <w:sz w:val="22"/>
          <w:szCs w:val="22"/>
        </w:rPr>
        <w:t xml:space="preserve">Annual Audit. The Accounting Firm's verification activities under this Agreement shall be subject to the annual Layer-3 statutory audit required by §4.11 of the Charter, conducted by an independent external auditor selected through the Charter's auditor-selection procedure. The annual audit shall evaluate the Accounting Firm's compliance with this Agreement, ESAA standards, and the Charter.</w:t>
      </w:r>
    </w:p>
    <w:p>
      <w:pPr>
        <w:spacing w:after="60" w:before="420"/>
        <w:jc w:val="center"/>
      </w:pPr>
      <w:r>
        <w:rPr>
          <w:rFonts w:ascii="Calibri" w:eastAsia="Microsoft YaHei"/>
          <w:b/>
          <w:bCs/>
          <w:color w:val="0F2027"/>
          <w:spacing w:val="30"/>
          <w:sz w:val="28"/>
          <w:szCs w:val="28"/>
        </w:rPr>
        <w:t xml:space="preserve">ARTICLE VII</w:t>
      </w:r>
    </w:p>
    <w:p>
      <w:pPr>
        <w:pBdr>
          <w:bottom w:val="single" w:color="D4AF37" w:sz="8" w:space="6"/>
        </w:pBdr>
        <w:spacing w:after="220"/>
        <w:jc w:val="center"/>
      </w:pPr>
      <w:r>
        <w:rPr>
          <w:rFonts w:ascii="Calibri" w:eastAsia="Microsoft YaHei"/>
          <w:b/>
          <w:bCs/>
          <w:color w:val="B8860B"/>
          <w:spacing w:val="20"/>
          <w:sz w:val="22"/>
          <w:szCs w:val="22"/>
        </w:rPr>
        <w:t xml:space="preserve">LIABILITY FOR EVIDENCE VERIFICATION QUALITY</w:t>
      </w:r>
    </w:p>
    <w:p>
      <w:pPr>
        <w:spacing w:after="140" w:line="312"/>
        <w:ind w:left="720" w:hanging="540"/>
        <w:jc w:val="both"/>
      </w:pPr>
      <w:r>
        <w:rPr>
          <w:rFonts w:ascii="Calibri" w:eastAsia="Microsoft YaHei"/>
          <w:b/>
          <w:bCs/>
          <w:color w:val="0F2027"/>
          <w:sz w:val="22"/>
          <w:szCs w:val="22"/>
        </w:rPr>
        <w:t xml:space="preserve">7.1	</w:t>
      </w:r>
      <w:r>
        <w:rPr>
          <w:rFonts w:ascii="Calibri" w:eastAsia="Microsoft YaHei"/>
          <w:color w:val="000000"/>
          <w:sz w:val="22"/>
          <w:szCs w:val="22"/>
        </w:rPr>
        <w:t xml:space="preserve">Standard of Care. The Accounting Firm shall perform its verification function with the degree of skill, care, and diligence expected of a certified accounting firm registered with ESAA and engaged in milestone verification under constitutional-enterprise governance. The Accounting Firm shall be liable to the Enterprise, the Capital Partners, and AURIENTA for any loss or damage proximately caused by the Accounting Firm's failure to meet this standard of care.</w:t>
      </w:r>
    </w:p>
    <w:p>
      <w:pPr>
        <w:spacing w:after="140" w:line="312"/>
        <w:ind w:left="720" w:hanging="540"/>
        <w:jc w:val="both"/>
      </w:pPr>
      <w:r>
        <w:rPr>
          <w:rFonts w:ascii="Calibri" w:eastAsia="Microsoft YaHei"/>
          <w:b/>
          <w:bCs/>
          <w:color w:val="0F2027"/>
          <w:sz w:val="22"/>
          <w:szCs w:val="22"/>
        </w:rPr>
        <w:t xml:space="preserve">7.2	</w:t>
      </w:r>
      <w:r>
        <w:rPr>
          <w:rFonts w:ascii="Calibri" w:eastAsia="Microsoft YaHei"/>
          <w:color w:val="000000"/>
          <w:sz w:val="22"/>
          <w:szCs w:val="22"/>
        </w:rPr>
        <w:t xml:space="preserve">Scope of Liability. Without limiting the foregoing, the Accounting Firm's liability shall extend to losses caused by (a) issuance of a Verification Certification on the basis of materially insufficient, fraudulent, or fabricated Milestone Evidence, (b) failure to perform verification procedures required by ESAA standards or this Agreement, (c) failure to publish events to the Immutable Ledger as required by Article VI, (d) breach of independence requirements, and (e) negligent misstatement in any Verification Certification.</w:t>
      </w:r>
    </w:p>
    <w:p>
      <w:pPr>
        <w:spacing w:after="140" w:line="312"/>
        <w:ind w:left="720" w:hanging="540"/>
        <w:jc w:val="both"/>
      </w:pPr>
      <w:r>
        <w:rPr>
          <w:rFonts w:ascii="Calibri" w:eastAsia="Microsoft YaHei"/>
          <w:b/>
          <w:bCs/>
          <w:color w:val="0F2027"/>
          <w:sz w:val="22"/>
          <w:szCs w:val="22"/>
        </w:rPr>
        <w:t xml:space="preserve">7.3	</w:t>
      </w:r>
      <w:r>
        <w:rPr>
          <w:rFonts w:ascii="Calibri" w:eastAsia="Microsoft YaHei"/>
          <w:color w:val="000000"/>
          <w:sz w:val="22"/>
          <w:szCs w:val="22"/>
        </w:rPr>
        <w:t xml:space="preserve">Damage Measure. The Accounting Firm's liability for each Verification Certification shall not exceed the greater of (a) the amount released in reliance on the certification, or (b) ten (10) times the Accounting Firm's annual fee under this Agreement. Liability in the aggregate per year shall not exceed the greater of (a) the aggregate amount released under all Verification Certifications issued in that year, or (b) EGP 50,000,000.</w:t>
      </w:r>
    </w:p>
    <w:p>
      <w:pPr>
        <w:spacing w:after="140" w:line="312"/>
        <w:ind w:left="720" w:hanging="540"/>
        <w:jc w:val="both"/>
      </w:pPr>
      <w:r>
        <w:rPr>
          <w:rFonts w:ascii="Calibri" w:eastAsia="Microsoft YaHei"/>
          <w:b/>
          <w:bCs/>
          <w:color w:val="0F2027"/>
          <w:sz w:val="22"/>
          <w:szCs w:val="22"/>
        </w:rPr>
        <w:t xml:space="preserve">7.4	</w:t>
      </w:r>
      <w:r>
        <w:rPr>
          <w:rFonts w:ascii="Calibri" w:eastAsia="Microsoft YaHei"/>
          <w:color w:val="000000"/>
          <w:sz w:val="22"/>
          <w:szCs w:val="22"/>
        </w:rPr>
        <w:t xml:space="preserve">Insurance. The Accounting Firm shall maintain professional indemnity insurance with a reputable, Egyptian-licensed insurer, in an aggregate amount of not less than EGP 50,000,000 per claim and per policy year, naming AURIENTA and the Enterprise as additional insureds, and providing for not less than thirty (30) days' prior written notice of cancellation. Certificates of insurance shall be delivered upon execution and annually thereafter.</w:t>
      </w:r>
    </w:p>
    <w:p>
      <w:pPr>
        <w:spacing w:after="140" w:line="312"/>
        <w:ind w:left="720" w:hanging="540"/>
        <w:jc w:val="both"/>
      </w:pPr>
      <w:r>
        <w:rPr>
          <w:rFonts w:ascii="Calibri" w:eastAsia="Microsoft YaHei"/>
          <w:b/>
          <w:bCs/>
          <w:color w:val="0F2027"/>
          <w:sz w:val="22"/>
          <w:szCs w:val="22"/>
        </w:rPr>
        <w:t xml:space="preserve">7.5	</w:t>
      </w:r>
      <w:r>
        <w:rPr>
          <w:rFonts w:ascii="Calibri" w:eastAsia="Microsoft YaHei"/>
          <w:color w:val="000000"/>
          <w:sz w:val="22"/>
          <w:szCs w:val="22"/>
        </w:rPr>
        <w:t xml:space="preserve">No Liability for Release Execution. The Accounting Firm shall not be liable for any act or omission of the Law Firm in executing or refusing to execute a release following receipt of a valid Verification Certification. The Accounting Firm's role concludes upon issuance (or refusal) of certification.</w:t>
      </w:r>
    </w:p>
    <w:p>
      <w:pPr>
        <w:spacing w:after="140" w:line="312"/>
        <w:ind w:left="720" w:hanging="540"/>
        <w:jc w:val="both"/>
      </w:pPr>
      <w:r>
        <w:rPr>
          <w:rFonts w:ascii="Calibri" w:eastAsia="Microsoft YaHei"/>
          <w:b/>
          <w:bCs/>
          <w:color w:val="0F2027"/>
          <w:sz w:val="22"/>
          <w:szCs w:val="22"/>
        </w:rPr>
        <w:t xml:space="preserve">7.6	</w:t>
      </w:r>
      <w:r>
        <w:rPr>
          <w:rFonts w:ascii="Calibri" w:eastAsia="Microsoft YaHei"/>
          <w:color w:val="000000"/>
          <w:sz w:val="22"/>
          <w:szCs w:val="22"/>
        </w:rPr>
        <w:t xml:space="preserve">Indemnity. The Accounting Firm shall indemnify and hold harmless the Enterprise, the Capital Partners, and AURIENTA from and against any and all losses, claims, damages, and expenses (including reasonable legal fees) arising out of or resulting from the Accounting Firm's breach of this Agreement, breach of ESAA standards, or negligent or fraudulent issuance of a Verification Certification.</w:t>
      </w:r>
    </w:p>
    <w:p>
      <w:pPr>
        <w:spacing w:after="60" w:before="420"/>
        <w:jc w:val="center"/>
      </w:pPr>
      <w:r>
        <w:rPr>
          <w:rFonts w:ascii="Calibri" w:eastAsia="Microsoft YaHei"/>
          <w:b/>
          <w:bCs/>
          <w:color w:val="0F2027"/>
          <w:spacing w:val="30"/>
          <w:sz w:val="28"/>
          <w:szCs w:val="28"/>
        </w:rPr>
        <w:t xml:space="preserve">ARTICLE VIII</w:t>
      </w:r>
    </w:p>
    <w:p>
      <w:pPr>
        <w:pBdr>
          <w:bottom w:val="single" w:color="D4AF37" w:sz="8" w:space="6"/>
        </w:pBdr>
        <w:spacing w:after="220"/>
        <w:jc w:val="center"/>
      </w:pPr>
      <w:r>
        <w:rPr>
          <w:rFonts w:ascii="Calibri" w:eastAsia="Microsoft YaHei"/>
          <w:b/>
          <w:bCs/>
          <w:color w:val="B8860B"/>
          <w:spacing w:val="20"/>
          <w:sz w:val="22"/>
          <w:szCs w:val="22"/>
        </w:rPr>
        <w:t xml:space="preserve">FEE STRUCTURE</w:t>
      </w:r>
    </w:p>
    <w:p>
      <w:pPr>
        <w:spacing w:after="140" w:line="312"/>
        <w:ind w:left="720" w:hanging="540"/>
        <w:jc w:val="both"/>
      </w:pPr>
      <w:r>
        <w:rPr>
          <w:rFonts w:ascii="Calibri" w:eastAsia="Microsoft YaHei"/>
          <w:b/>
          <w:bCs/>
          <w:color w:val="0F2027"/>
          <w:sz w:val="22"/>
          <w:szCs w:val="22"/>
        </w:rPr>
        <w:t xml:space="preserve">8.1	</w:t>
      </w:r>
      <w:r>
        <w:rPr>
          <w:rFonts w:ascii="Calibri" w:eastAsia="Microsoft YaHei"/>
          <w:color w:val="000000"/>
          <w:sz w:val="22"/>
          <w:szCs w:val="22"/>
        </w:rPr>
        <w:t xml:space="preserve">Source of Compensation. The Accounting Firm's compensation under this Agreement shall be paid exclusively from the Consulting Fee component of the AURIENTA fee structure (the 2.5% consulting fee on capital raised by the Enterprise), as administered by AURIENTA. The Accounting Firm shall not charge, and the Enterprise shall not pay, any additional fee, retainer, or hourly charge for the verification and certification function.</w:t>
      </w:r>
    </w:p>
    <w:p>
      <w:pPr>
        <w:spacing w:after="140" w:line="312"/>
        <w:ind w:left="720" w:hanging="540"/>
        <w:jc w:val="both"/>
      </w:pPr>
      <w:r>
        <w:rPr>
          <w:rFonts w:ascii="Calibri" w:eastAsia="Microsoft YaHei"/>
          <w:b/>
          <w:bCs/>
          <w:color w:val="0F2027"/>
          <w:sz w:val="22"/>
          <w:szCs w:val="22"/>
        </w:rPr>
        <w:t xml:space="preserve">8.2	</w:t>
      </w:r>
      <w:r>
        <w:rPr>
          <w:rFonts w:ascii="Calibri" w:eastAsia="Microsoft YaHei"/>
          <w:color w:val="000000"/>
          <w:sz w:val="22"/>
          <w:szCs w:val="22"/>
        </w:rPr>
        <w:t xml:space="preserve">Allocation. Of the 2.5% Consulting Fee collected on each Enterprise, the portion allocated to the Accounting Firm shall be as set forth in Schedule B, but in no event less than [__]% nor more than [__]% of the Consulting Fee. The allocation shall be reviewed annually by AURIENTA and adjusted in accordance with the volume and complexity of verification activity.</w:t>
      </w:r>
    </w:p>
    <w:p>
      <w:pPr>
        <w:spacing w:after="140" w:line="312"/>
        <w:ind w:left="720" w:hanging="540"/>
        <w:jc w:val="both"/>
      </w:pPr>
      <w:r>
        <w:rPr>
          <w:rFonts w:ascii="Calibri" w:eastAsia="Microsoft YaHei"/>
          <w:b/>
          <w:bCs/>
          <w:color w:val="0F2027"/>
          <w:sz w:val="22"/>
          <w:szCs w:val="22"/>
        </w:rPr>
        <w:t xml:space="preserve">8.3	</w:t>
      </w:r>
      <w:r>
        <w:rPr>
          <w:rFonts w:ascii="Calibri" w:eastAsia="Microsoft YaHei"/>
          <w:color w:val="000000"/>
          <w:sz w:val="22"/>
          <w:szCs w:val="22"/>
        </w:rPr>
        <w:t xml:space="preserve">Annual Cap. The Accounting Firm's annual compensation under this Agreement shall be subject to a cap of EGP [____] per Enterprise per year, with the balance of the Consulting Fee (if any) allocated to the Law Firm and other constitutional service providers as set forth in the Charter.</w:t>
      </w:r>
    </w:p>
    <w:p>
      <w:pPr>
        <w:spacing w:after="140" w:line="312"/>
        <w:ind w:left="720" w:hanging="540"/>
        <w:jc w:val="both"/>
      </w:pPr>
      <w:r>
        <w:rPr>
          <w:rFonts w:ascii="Calibri" w:eastAsia="Microsoft YaHei"/>
          <w:b/>
          <w:bCs/>
          <w:color w:val="0F2027"/>
          <w:sz w:val="22"/>
          <w:szCs w:val="22"/>
        </w:rPr>
        <w:t xml:space="preserve">8.4	</w:t>
      </w:r>
      <w:r>
        <w:rPr>
          <w:rFonts w:ascii="Calibri" w:eastAsia="Microsoft YaHei"/>
          <w:color w:val="000000"/>
          <w:sz w:val="22"/>
          <w:szCs w:val="22"/>
        </w:rPr>
        <w:t xml:space="preserve">No Contingent Fees. The Accounting Firm shall not accept any contingent fee, success fee, or release-amount-based fee in connection with the verification function, in accordance with ESAA's prohibition on contingent fees for assurance engagements.</w:t>
      </w:r>
    </w:p>
    <w:p>
      <w:pPr>
        <w:spacing w:after="140" w:line="312"/>
        <w:ind w:left="720" w:hanging="540"/>
        <w:jc w:val="both"/>
      </w:pPr>
      <w:r>
        <w:rPr>
          <w:rFonts w:ascii="Calibri" w:eastAsia="Microsoft YaHei"/>
          <w:b/>
          <w:bCs/>
          <w:color w:val="0F2027"/>
          <w:sz w:val="22"/>
          <w:szCs w:val="22"/>
        </w:rPr>
        <w:t xml:space="preserve">8.5	</w:t>
      </w:r>
      <w:r>
        <w:rPr>
          <w:rFonts w:ascii="Calibri" w:eastAsia="Microsoft YaHei"/>
          <w:color w:val="000000"/>
          <w:sz w:val="22"/>
          <w:szCs w:val="22"/>
        </w:rPr>
        <w:t xml:space="preserve">Payment Terms. AURIENTA shall pay the Accounting Firm's fee monthly in arrears, within fifteen (15) days of the end of each calendar month, against an invoice supported by the Immutable Ledger record of verification activity during that month.</w:t>
      </w:r>
    </w:p>
    <w:p>
      <w:pPr>
        <w:spacing w:after="60" w:before="420"/>
        <w:jc w:val="center"/>
      </w:pPr>
      <w:r>
        <w:rPr>
          <w:rFonts w:ascii="Calibri" w:eastAsia="Microsoft YaHei"/>
          <w:b/>
          <w:bCs/>
          <w:color w:val="0F2027"/>
          <w:spacing w:val="30"/>
          <w:sz w:val="28"/>
          <w:szCs w:val="28"/>
        </w:rPr>
        <w:t xml:space="preserve">ARTICLE IX</w:t>
      </w:r>
    </w:p>
    <w:p>
      <w:pPr>
        <w:pBdr>
          <w:bottom w:val="single" w:color="D4AF37" w:sz="8" w:space="6"/>
        </w:pBdr>
        <w:spacing w:after="220"/>
        <w:jc w:val="center"/>
      </w:pPr>
      <w:r>
        <w:rPr>
          <w:rFonts w:ascii="Calibri" w:eastAsia="Microsoft YaHei"/>
          <w:b/>
          <w:bCs/>
          <w:color w:val="B8860B"/>
          <w:spacing w:val="20"/>
          <w:sz w:val="22"/>
          <w:szCs w:val="22"/>
        </w:rPr>
        <w:t xml:space="preserve">TERM, TERMINATION, AND REPLACEMENT</w:t>
      </w:r>
    </w:p>
    <w:p>
      <w:pPr>
        <w:spacing w:after="140" w:line="312"/>
        <w:ind w:left="720" w:hanging="540"/>
        <w:jc w:val="both"/>
      </w:pPr>
      <w:r>
        <w:rPr>
          <w:rFonts w:ascii="Calibri" w:eastAsia="Microsoft YaHei"/>
          <w:b/>
          <w:bCs/>
          <w:color w:val="0F2027"/>
          <w:sz w:val="22"/>
          <w:szCs w:val="22"/>
        </w:rPr>
        <w:t xml:space="preserve">9.1	</w:t>
      </w:r>
      <w:r>
        <w:rPr>
          <w:rFonts w:ascii="Calibri" w:eastAsia="Microsoft YaHei"/>
          <w:color w:val="000000"/>
          <w:sz w:val="22"/>
          <w:szCs w:val="22"/>
        </w:rPr>
        <w:t xml:space="preserve">Term. This Agreement shall commence on the Effective Date and shall continue until the earliest of (a) graduation of the Enterprise, (b) replacement of the Accounting Firm in accordance with the Charter's accounting-firm-replacement procedure (which requires, after the first twelve (12) months, a 5% voting-power proposal and a 14-day cooling period followed by a 7-day voting period), or (c) mutual written agreement of the Parties.</w:t>
      </w:r>
    </w:p>
    <w:p>
      <w:pPr>
        <w:spacing w:after="140" w:line="312"/>
        <w:ind w:left="720" w:hanging="540"/>
        <w:jc w:val="both"/>
      </w:pPr>
      <w:r>
        <w:rPr>
          <w:rFonts w:ascii="Calibri" w:eastAsia="Microsoft YaHei"/>
          <w:b/>
          <w:bCs/>
          <w:color w:val="0F2027"/>
          <w:sz w:val="22"/>
          <w:szCs w:val="22"/>
        </w:rPr>
        <w:t xml:space="preserve">9.2	</w:t>
      </w:r>
      <w:r>
        <w:rPr>
          <w:rFonts w:ascii="Calibri" w:eastAsia="Microsoft YaHei"/>
          <w:color w:val="000000"/>
          <w:sz w:val="22"/>
          <w:szCs w:val="22"/>
        </w:rPr>
        <w:t xml:space="preserve">Termination for Cause. AURIENTA may terminate this Agreement for cause immediately upon written notice if (a) the Accounting Firm's ESAA registration is suspended, revoked, or not renewed, (b) the Accounting Firm fails to maintain the insurance required under Article VII, (c) the Accounting Firm commits a material breach of the independence or verification-quality requirements, or (d) the Accounting Firm becomes insolvent or subject to a regulatory enforcement action.</w:t>
      </w:r>
    </w:p>
    <w:p>
      <w:pPr>
        <w:spacing w:after="140" w:line="312"/>
        <w:ind w:left="720" w:hanging="540"/>
        <w:jc w:val="both"/>
      </w:pPr>
      <w:r>
        <w:rPr>
          <w:rFonts w:ascii="Calibri" w:eastAsia="Microsoft YaHei"/>
          <w:b/>
          <w:bCs/>
          <w:color w:val="0F2027"/>
          <w:sz w:val="22"/>
          <w:szCs w:val="22"/>
        </w:rPr>
        <w:t xml:space="preserve">9.3	</w:t>
      </w:r>
      <w:r>
        <w:rPr>
          <w:rFonts w:ascii="Calibri" w:eastAsia="Microsoft YaHei"/>
          <w:color w:val="000000"/>
          <w:sz w:val="22"/>
          <w:szCs w:val="22"/>
        </w:rPr>
        <w:t xml:space="preserve">Handover. Upon termination, the Accounting Firm shall, within ten (10) business days, deliver to the successor accounting firm all workpapers, evidence files, ledger entries, and open verifications, and shall cooperate fully in the transition. The Accounting Firm shall remain liable for verification work performed during its tenure.</w:t>
      </w:r>
    </w:p>
    <w:p>
      <w:pPr>
        <w:spacing w:after="60" w:before="420"/>
        <w:jc w:val="center"/>
      </w:pPr>
      <w:r>
        <w:rPr>
          <w:rFonts w:ascii="Calibri" w:eastAsia="Microsoft YaHei"/>
          <w:b/>
          <w:bCs/>
          <w:color w:val="0F2027"/>
          <w:spacing w:val="30"/>
          <w:sz w:val="28"/>
          <w:szCs w:val="28"/>
        </w:rPr>
        <w:t xml:space="preserve">ARTICLE X</w:t>
      </w:r>
    </w:p>
    <w:p>
      <w:pPr>
        <w:pBdr>
          <w:bottom w:val="single" w:color="D4AF37" w:sz="8" w:space="6"/>
        </w:pBdr>
        <w:spacing w:after="220"/>
        <w:jc w:val="center"/>
      </w:pPr>
      <w:r>
        <w:rPr>
          <w:rFonts w:ascii="Calibri" w:eastAsia="Microsoft YaHei"/>
          <w:b/>
          <w:bCs/>
          <w:color w:val="B8860B"/>
          <w:spacing w:val="20"/>
          <w:sz w:val="22"/>
          <w:szCs w:val="22"/>
        </w:rPr>
        <w:t xml:space="preserve">MISCELLANEOUS</w:t>
      </w:r>
    </w:p>
    <w:p>
      <w:pPr>
        <w:spacing w:after="140" w:line="312"/>
        <w:ind w:left="720" w:hanging="540"/>
        <w:jc w:val="both"/>
      </w:pPr>
      <w:r>
        <w:rPr>
          <w:rFonts w:ascii="Calibri" w:eastAsia="Microsoft YaHei"/>
          <w:b/>
          <w:bCs/>
          <w:color w:val="0F2027"/>
          <w:sz w:val="22"/>
          <w:szCs w:val="22"/>
        </w:rPr>
        <w:t xml:space="preserve">10.1	</w:t>
      </w:r>
      <w:r>
        <w:rPr>
          <w:rFonts w:ascii="Calibri" w:eastAsia="Microsoft YaHei"/>
          <w:color w:val="000000"/>
          <w:sz w:val="22"/>
          <w:szCs w:val="22"/>
        </w:rPr>
        <w:t xml:space="preserve">Governing Law. This Agreement shall be governed by and construed in accordance with the laws of the Arab Republic of Egypt, including without limitation Companies Law No. 159 of 1981, the Egyptian Society of Accountants and Auditors law and by-laws, and the Egyptian Civil Code.</w:t>
      </w:r>
    </w:p>
    <w:p>
      <w:pPr>
        <w:spacing w:after="140" w:line="312"/>
        <w:ind w:left="720" w:hanging="540"/>
        <w:jc w:val="both"/>
      </w:pPr>
      <w:r>
        <w:rPr>
          <w:rFonts w:ascii="Calibri" w:eastAsia="Microsoft YaHei"/>
          <w:b/>
          <w:bCs/>
          <w:color w:val="0F2027"/>
          <w:sz w:val="22"/>
          <w:szCs w:val="22"/>
        </w:rPr>
        <w:t xml:space="preserve">10.2	</w:t>
      </w:r>
      <w:r>
        <w:rPr>
          <w:rFonts w:ascii="Calibri" w:eastAsia="Microsoft YaHei"/>
          <w:color w:val="000000"/>
          <w:sz w:val="22"/>
          <w:szCs w:val="22"/>
        </w:rPr>
        <w:t xml:space="preserve">Dispute Resolution. Any dispute arising out of or relating to this Agreement shall be finally resolved by arbitration administered by the Cairo Regional Centre for International Commercial Arbitration (CRCICA) under its rules, seated in Cairo, by a panel of three (3) arbitrators, each of whom shall be a qualified Egyptian accountant or lawyer of at least fifteen (15) years' standing.</w:t>
      </w:r>
    </w:p>
    <w:p>
      <w:pPr>
        <w:spacing w:after="140" w:line="312"/>
        <w:ind w:left="720" w:hanging="540"/>
        <w:jc w:val="both"/>
      </w:pPr>
      <w:r>
        <w:rPr>
          <w:rFonts w:ascii="Calibri" w:eastAsia="Microsoft YaHei"/>
          <w:b/>
          <w:bCs/>
          <w:color w:val="0F2027"/>
          <w:sz w:val="22"/>
          <w:szCs w:val="22"/>
        </w:rPr>
        <w:t xml:space="preserve">10.3	</w:t>
      </w:r>
      <w:r>
        <w:rPr>
          <w:rFonts w:ascii="Calibri" w:eastAsia="Microsoft YaHei"/>
          <w:color w:val="000000"/>
          <w:sz w:val="22"/>
          <w:szCs w:val="22"/>
        </w:rPr>
        <w:t xml:space="preserve">Amendment IX Reference. Amendment IX to the AURIENTA Constitutional Charter, bearing constitutional hash 0xA9C7E1D4F0B3A825E6F1C9D2B7E4A0C3F6D8B1E5A2, is incorporated herein by reference. In the event of any conflict between this Agreement and Amendment IX, Amendment IX shall control with respect to constitutional matters.</w:t>
      </w:r>
    </w:p>
    <w:p>
      <w:pPr>
        <w:spacing w:after="140" w:line="312"/>
        <w:ind w:left="720" w:hanging="540"/>
        <w:jc w:val="both"/>
      </w:pPr>
      <w:r>
        <w:rPr>
          <w:rFonts w:ascii="Calibri" w:eastAsia="Microsoft YaHei"/>
          <w:b/>
          <w:bCs/>
          <w:color w:val="0F2027"/>
          <w:sz w:val="22"/>
          <w:szCs w:val="22"/>
        </w:rPr>
        <w:t xml:space="preserve">10.4	</w:t>
      </w:r>
      <w:r>
        <w:rPr>
          <w:rFonts w:ascii="Calibri" w:eastAsia="Microsoft YaHei"/>
          <w:color w:val="000000"/>
          <w:sz w:val="22"/>
          <w:szCs w:val="22"/>
        </w:rPr>
        <w:t xml:space="preserve">Zero Custody. The Parties expressly acknowledge that AURIENTA's Zero Custody rule — that AURIENTA never holds, touches, or controls any Capital Partner Funds — is a non-amendable constitutional rule. The Accounting Firm's verification function does not confer any custodial role on AURIENTA.</w:t>
      </w:r>
    </w:p>
    <w:p>
      <w:pPr>
        <w:spacing w:after="140" w:line="312"/>
        <w:ind w:left="720" w:hanging="540"/>
        <w:jc w:val="both"/>
      </w:pPr>
      <w:r>
        <w:rPr>
          <w:rFonts w:ascii="Calibri" w:eastAsia="Microsoft YaHei"/>
          <w:b/>
          <w:bCs/>
          <w:color w:val="0F2027"/>
          <w:sz w:val="22"/>
          <w:szCs w:val="22"/>
        </w:rPr>
        <w:t xml:space="preserve">10.5	</w:t>
      </w:r>
      <w:r>
        <w:rPr>
          <w:rFonts w:ascii="Calibri" w:eastAsia="Microsoft YaHei"/>
          <w:color w:val="000000"/>
          <w:sz w:val="22"/>
          <w:szCs w:val="22"/>
        </w:rPr>
        <w:t xml:space="preserve">Entire Agreement. This Agreement, together with the Charter as amended by Amendment IX, constitutes the entire agreement among the Parties with respect to its subject matter and supersedes all prior agreements and understandings, whether written or oral.</w:t>
      </w:r>
    </w:p>
    <w:p>
      <w:pPr>
        <w:spacing w:after="140" w:line="312"/>
        <w:ind w:left="720" w:hanging="540"/>
        <w:jc w:val="both"/>
      </w:pPr>
      <w:r>
        <w:rPr>
          <w:rFonts w:ascii="Calibri" w:eastAsia="Microsoft YaHei"/>
          <w:b/>
          <w:bCs/>
          <w:color w:val="0F2027"/>
          <w:sz w:val="22"/>
          <w:szCs w:val="22"/>
        </w:rPr>
        <w:t xml:space="preserve">10.6	</w:t>
      </w:r>
      <w:r>
        <w:rPr>
          <w:rFonts w:ascii="Calibri" w:eastAsia="Microsoft YaHei"/>
          <w:color w:val="000000"/>
          <w:sz w:val="22"/>
          <w:szCs w:val="22"/>
        </w:rPr>
        <w:t xml:space="preserve">Counterparts. This Agreement may be executed in counterparts, each of which shall be deemed an original. Electronic signatures recorded on the constitutional ledger shall have the same force and effect as manual signatures.</w:t>
      </w:r>
    </w:p>
    <w:p>
      <w:pPr>
        <w:pBdr>
          <w:bottom w:val="single" w:color="D4AF37" w:sz="6" w:space="6"/>
        </w:pBdr>
        <w:spacing w:after="200" w:before="200"/>
        <w:jc w:val="center"/>
      </w:pPr>
      <w:r>
        <w:rPr>
          <w:rFonts w:ascii="Calibri" w:eastAsia="Microsoft YaHei"/>
          <w:color w:val="D4AF37"/>
          <w:sz w:val="18"/>
          <w:szCs w:val="18"/>
        </w:rPr>
        <w:t xml:space="preserve">§ § §</w:t>
      </w:r>
    </w:p>
    <w:p>
      <w:pPr>
        <w:spacing w:after="200" w:before="200"/>
        <w:jc w:val="center"/>
      </w:pPr>
      <w:r>
        <w:rPr>
          <w:rFonts w:ascii="Calibri" w:eastAsia="Microsoft YaHei"/>
          <w:b/>
          <w:bCs/>
          <w:color w:val="0F2027"/>
          <w:spacing w:val="60"/>
          <w:sz w:val="26"/>
          <w:szCs w:val="26"/>
        </w:rPr>
        <w:t xml:space="preserve">SIGNATURE PAGE</w:t>
      </w:r>
    </w:p>
    <w:p>
      <w:pPr>
        <w:spacing w:after="320" w:line="312"/>
        <w:jc w:val="both"/>
      </w:pPr>
      <w:r>
        <w:rPr>
          <w:rFonts w:ascii="Calibri" w:eastAsia="Microsoft YaHei"/>
          <w:color w:val="000000"/>
          <w:sz w:val="22"/>
          <w:szCs w:val="22"/>
        </w:rPr>
        <w:t xml:space="preserve">IN WITNESS WHEREOF, the Parties have caused this Certified Accountant Milestone Release Authorization to be executed by their duly authorized representatives as of the dates set forth below.</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tblGrid>
      <w:tr>
        <w:trPr>
          <w:cantSplit w:val="false"/>
        </w:trPr>
        <w:tc>
          <w:tcPr>
            <w:tcW w:type="pct" w:w="33%"/>
            <w:tcBorders>
              <w:top w:val="none" w:color="FFFFFF" w:sz="0"/>
              <w:left w:val="none" w:color="FFFFFF" w:sz="0"/>
              <w:bottom w:val="none" w:color="FFFFFF" w:sz="0"/>
              <w:right w:val="none" w:color="FFFFFF" w:sz="0"/>
            </w:tcBorders>
            <w:tcMar>
              <w:top w:type="dxa" w:w="320"/>
              <w:left w:type="dxa" w:w="200"/>
              <w:bottom w:type="dxa" w:w="200"/>
              <w:right w:type="dxa" w:w="200"/>
            </w:tcMar>
          </w:tcPr>
          <w:p>
            <w:pPr>
              <w:spacing w:after="80"/>
            </w:pPr>
            <w:r>
              <w:rPr>
                <w:rFonts w:ascii="Calibri" w:eastAsia="Microsoft YaHei"/>
                <w:b/>
                <w:bCs/>
                <w:color w:val="0F2027"/>
                <w:sz w:val="22"/>
                <w:szCs w:val="22"/>
              </w:rPr>
              <w:t xml:space="preserve">ENTERPRISE</w:t>
            </w:r>
          </w:p>
          <w:p>
            <w:pPr>
              <w:spacing w:after="60"/>
            </w:pPr>
            <w:r>
              <w:rPr>
                <w:rFonts w:ascii="Calibri" w:eastAsia="Microsoft YaHei"/>
                <w:color w:val="000000"/>
                <w:sz w:val="20"/>
                <w:szCs w:val="20"/>
              </w:rPr>
              <w:t xml:space="preserve">By: __________________________</w:t>
            </w:r>
          </w:p>
          <w:p>
            <w:pPr>
              <w:spacing w:after="40"/>
            </w:pPr>
            <w:r>
              <w:rPr>
                <w:rFonts w:ascii="Calibri" w:eastAsia="Microsoft YaHei"/>
                <w:color w:val="000000"/>
                <w:sz w:val="20"/>
                <w:szCs w:val="20"/>
              </w:rPr>
              <w:t xml:space="preserve">Name: [Manager Name]</w:t>
            </w:r>
          </w:p>
          <w:p>
            <w:pPr>
              <w:spacing w:after="40"/>
            </w:pPr>
            <w:r>
              <w:rPr>
                <w:rFonts w:ascii="Calibri" w:eastAsia="Microsoft YaHei"/>
                <w:color w:val="000000"/>
                <w:sz w:val="20"/>
                <w:szCs w:val="20"/>
              </w:rPr>
              <w:t xml:space="preserve">Title: Enterprise Manager</w:t>
            </w:r>
          </w:p>
          <w:p>
            <w:pPr>
              <w:spacing w:after="40"/>
            </w:pPr>
            <w:r>
              <w:rPr>
                <w:rFonts w:ascii="Calibri" w:eastAsia="Microsoft YaHei"/>
                <w:color w:val="000000"/>
                <w:sz w:val="20"/>
                <w:szCs w:val="20"/>
              </w:rPr>
              <w:t xml:space="preserve">Date: ____________________</w:t>
            </w:r>
          </w:p>
          <w:p>
            <w:pPr>
              <w:spacing w:after="40"/>
            </w:pPr>
            <w:r>
              <w:rPr>
                <w:rFonts w:ascii="Calibri" w:eastAsia="Microsoft YaHei"/>
                <w:i/>
                <w:iCs/>
                <w:color w:val="4A6575"/>
                <w:sz w:val="18"/>
                <w:szCs w:val="18"/>
              </w:rPr>
              <w:t xml:space="preserve">License: GAFI CR #[____]</w:t>
            </w:r>
          </w:p>
          <w:p>
            <w:pPr>
              <w:spacing w:after="40" w:before="200"/>
            </w:pPr>
            <w:r>
              <w:rPr>
                <w:rFonts w:ascii="Calibri" w:eastAsia="Microsoft YaHei"/>
                <w:b/>
                <w:bCs/>
                <w:color w:val="4A6575"/>
                <w:sz w:val="18"/>
                <w:szCs w:val="18"/>
              </w:rPr>
              <w:t xml:space="preserve">Witness:</w:t>
            </w:r>
          </w:p>
          <w:p>
            <w:pPr>
              <w:spacing w:after="40"/>
            </w:pPr>
            <w:r>
              <w:rPr>
                <w:rFonts w:ascii="Calibri" w:eastAsia="Microsoft YaHei"/>
                <w:color w:val="000000"/>
                <w:sz w:val="20"/>
                <w:szCs w:val="20"/>
              </w:rPr>
              <w:t xml:space="preserve">__________________________</w:t>
            </w:r>
          </w:p>
        </w:tc>
        <w:tc>
          <w:tcPr>
            <w:tcW w:type="pct" w:w="33%"/>
            <w:tcBorders>
              <w:top w:val="none" w:color="FFFFFF" w:sz="0"/>
              <w:left w:val="none" w:color="FFFFFF" w:sz="0"/>
              <w:bottom w:val="none" w:color="FFFFFF" w:sz="0"/>
              <w:right w:val="none" w:color="FFFFFF" w:sz="0"/>
            </w:tcBorders>
            <w:tcMar>
              <w:top w:type="dxa" w:w="320"/>
              <w:left w:type="dxa" w:w="200"/>
              <w:bottom w:type="dxa" w:w="200"/>
              <w:right w:type="dxa" w:w="200"/>
            </w:tcMar>
          </w:tcPr>
          <w:p>
            <w:pPr>
              <w:spacing w:after="80"/>
            </w:pPr>
            <w:r>
              <w:rPr>
                <w:rFonts w:ascii="Calibri" w:eastAsia="Microsoft YaHei"/>
                <w:b/>
                <w:bCs/>
                <w:color w:val="0F2027"/>
                <w:sz w:val="22"/>
                <w:szCs w:val="22"/>
              </w:rPr>
              <w:t xml:space="preserve">ACCOUNTING FIRM</w:t>
            </w:r>
          </w:p>
          <w:p>
            <w:pPr>
              <w:spacing w:after="60"/>
            </w:pPr>
            <w:r>
              <w:rPr>
                <w:rFonts w:ascii="Calibri" w:eastAsia="Microsoft YaHei"/>
                <w:color w:val="000000"/>
                <w:sz w:val="20"/>
                <w:szCs w:val="20"/>
              </w:rPr>
              <w:t xml:space="preserve">By: __________________________</w:t>
            </w:r>
          </w:p>
          <w:p>
            <w:pPr>
              <w:spacing w:after="40"/>
            </w:pPr>
            <w:r>
              <w:rPr>
                <w:rFonts w:ascii="Calibri" w:eastAsia="Microsoft YaHei"/>
                <w:color w:val="000000"/>
                <w:sz w:val="20"/>
                <w:szCs w:val="20"/>
              </w:rPr>
              <w:t xml:space="preserve">Name: [Partner Name]</w:t>
            </w:r>
          </w:p>
          <w:p>
            <w:pPr>
              <w:spacing w:after="40"/>
            </w:pPr>
            <w:r>
              <w:rPr>
                <w:rFonts w:ascii="Calibri" w:eastAsia="Microsoft YaHei"/>
                <w:color w:val="000000"/>
                <w:sz w:val="20"/>
                <w:szCs w:val="20"/>
              </w:rPr>
              <w:t xml:space="preserve">Title: Engagement Partner</w:t>
            </w:r>
          </w:p>
          <w:p>
            <w:pPr>
              <w:spacing w:after="40"/>
            </w:pPr>
            <w:r>
              <w:rPr>
                <w:rFonts w:ascii="Calibri" w:eastAsia="Microsoft YaHei"/>
                <w:color w:val="000000"/>
                <w:sz w:val="20"/>
                <w:szCs w:val="20"/>
              </w:rPr>
              <w:t xml:space="preserve">Date: ____________________</w:t>
            </w:r>
          </w:p>
          <w:p>
            <w:pPr>
              <w:spacing w:after="40"/>
            </w:pPr>
            <w:r>
              <w:rPr>
                <w:rFonts w:ascii="Calibri" w:eastAsia="Microsoft YaHei"/>
                <w:i/>
                <w:iCs/>
                <w:color w:val="4A6575"/>
                <w:sz w:val="18"/>
                <w:szCs w:val="18"/>
              </w:rPr>
              <w:t xml:space="preserve">License: ESAA #[____]</w:t>
            </w:r>
          </w:p>
          <w:p>
            <w:pPr>
              <w:spacing w:after="40" w:before="200"/>
            </w:pPr>
            <w:r>
              <w:rPr>
                <w:rFonts w:ascii="Calibri" w:eastAsia="Microsoft YaHei"/>
                <w:b/>
                <w:bCs/>
                <w:color w:val="4A6575"/>
                <w:sz w:val="18"/>
                <w:szCs w:val="18"/>
              </w:rPr>
              <w:t xml:space="preserve">Witness:</w:t>
            </w:r>
          </w:p>
          <w:p>
            <w:pPr>
              <w:spacing w:after="40"/>
            </w:pPr>
            <w:r>
              <w:rPr>
                <w:rFonts w:ascii="Calibri" w:eastAsia="Microsoft YaHei"/>
                <w:color w:val="000000"/>
                <w:sz w:val="20"/>
                <w:szCs w:val="20"/>
              </w:rPr>
              <w:t xml:space="preserve">__________________________</w:t>
            </w:r>
          </w:p>
        </w:tc>
        <w:tc>
          <w:tcPr>
            <w:tcW w:type="pct" w:w="33%"/>
            <w:tcBorders>
              <w:top w:val="none" w:color="FFFFFF" w:sz="0"/>
              <w:left w:val="none" w:color="FFFFFF" w:sz="0"/>
              <w:bottom w:val="none" w:color="FFFFFF" w:sz="0"/>
              <w:right w:val="none" w:color="FFFFFF" w:sz="0"/>
            </w:tcBorders>
            <w:tcMar>
              <w:top w:type="dxa" w:w="320"/>
              <w:left w:type="dxa" w:w="200"/>
              <w:bottom w:type="dxa" w:w="200"/>
              <w:right w:type="dxa" w:w="200"/>
            </w:tcMar>
          </w:tcPr>
          <w:p>
            <w:pPr>
              <w:spacing w:after="80"/>
            </w:pPr>
            <w:r>
              <w:rPr>
                <w:rFonts w:ascii="Calibri" w:eastAsia="Microsoft YaHei"/>
                <w:b/>
                <w:bCs/>
                <w:color w:val="0F2027"/>
                <w:sz w:val="22"/>
                <w:szCs w:val="22"/>
              </w:rPr>
              <w:t xml:space="preserve">AURIENTA</w:t>
            </w:r>
          </w:p>
          <w:p>
            <w:pPr>
              <w:spacing w:after="60"/>
            </w:pPr>
            <w:r>
              <w:rPr>
                <w:rFonts w:ascii="Calibri" w:eastAsia="Microsoft YaHei"/>
                <w:color w:val="000000"/>
                <w:sz w:val="20"/>
                <w:szCs w:val="20"/>
              </w:rPr>
              <w:t xml:space="preserve">By: __________________________</w:t>
            </w:r>
          </w:p>
          <w:p>
            <w:pPr>
              <w:spacing w:after="40"/>
            </w:pPr>
            <w:r>
              <w:rPr>
                <w:rFonts w:ascii="Calibri" w:eastAsia="Microsoft YaHei"/>
                <w:color w:val="000000"/>
                <w:sz w:val="20"/>
                <w:szCs w:val="20"/>
              </w:rPr>
              <w:t xml:space="preserve">Name: Layla Mostafa</w:t>
            </w:r>
          </w:p>
          <w:p>
            <w:pPr>
              <w:spacing w:after="40"/>
            </w:pPr>
            <w:r>
              <w:rPr>
                <w:rFonts w:ascii="Calibri" w:eastAsia="Microsoft YaHei"/>
                <w:color w:val="000000"/>
                <w:sz w:val="20"/>
                <w:szCs w:val="20"/>
              </w:rPr>
              <w:t xml:space="preserve">Title: AURIENTA Representative</w:t>
            </w:r>
          </w:p>
          <w:p>
            <w:pPr>
              <w:spacing w:after="40"/>
            </w:pPr>
            <w:r>
              <w:rPr>
                <w:rFonts w:ascii="Calibri" w:eastAsia="Microsoft YaHei"/>
                <w:color w:val="000000"/>
                <w:sz w:val="20"/>
                <w:szCs w:val="20"/>
              </w:rPr>
              <w:t xml:space="preserve">Date: ____________________</w:t>
            </w:r>
          </w:p>
          <w:p>
            <w:pPr>
              <w:spacing w:after="40"/>
            </w:pPr>
            <w:r>
              <w:rPr>
                <w:rFonts w:ascii="Calibri" w:eastAsia="Microsoft YaHei"/>
                <w:i/>
                <w:iCs/>
                <w:color w:val="4A6575"/>
                <w:sz w:val="18"/>
                <w:szCs w:val="18"/>
              </w:rPr>
              <w:t xml:space="preserve">License: Constitutional Office</w:t>
            </w:r>
          </w:p>
          <w:p>
            <w:pPr>
              <w:spacing w:after="40" w:before="200"/>
            </w:pPr>
            <w:r>
              <w:rPr>
                <w:rFonts w:ascii="Calibri" w:eastAsia="Microsoft YaHei"/>
                <w:b/>
                <w:bCs/>
                <w:color w:val="4A6575"/>
                <w:sz w:val="18"/>
                <w:szCs w:val="18"/>
              </w:rPr>
              <w:t xml:space="preserve">Witness:</w:t>
            </w:r>
          </w:p>
          <w:p>
            <w:pPr>
              <w:spacing w:after="40"/>
            </w:pPr>
            <w:r>
              <w:rPr>
                <w:rFonts w:ascii="Calibri" w:eastAsia="Microsoft YaHei"/>
                <w:color w:val="000000"/>
                <w:sz w:val="20"/>
                <w:szCs w:val="20"/>
              </w:rPr>
              <w:t xml:space="preserve">__________________________</w:t>
            </w:r>
          </w:p>
        </w:tc>
      </w:tr>
    </w:tbl>
    <w:p>
      <w:pPr>
        <w:spacing w:before="360"/>
      </w:pPr>
    </w:p>
    <w:tbl>
      <w:tblPr>
        <w:tblW w:type="pct" w:w="100%"/>
        <w:tblBorders>
          <w:top w:val="single" w:color="D4AF37" w:sz="12"/>
          <w:left w:val="single" w:color="D4AF37" w:sz="12"/>
          <w:bottom w:val="single" w:color="D4AF37" w:sz="12"/>
          <w:right w:val="single" w:color="D4AF37" w:sz="12"/>
          <w:insideH w:val="none" w:color="FFFFFF" w:sz="0"/>
          <w:insideV w:val="none" w:color="FFFFFF" w:sz="0"/>
        </w:tblBorders>
        <w:tblLayout w:type="fixed"/>
      </w:tblPr>
      <w:tblGrid>
        <w:gridCol w:w="100"/>
      </w:tblGrid>
      <w:tr>
        <w:trPr>
          <w:cantSplit/>
        </w:trPr>
        <w:tc>
          <w:tcPr>
            <w:tcW w:type="pct" w:w="100%"/>
            <w:shd w:fill="0F2027" w:val="clear"/>
            <w:tcMar>
              <w:top w:type="dxa" w:w="160"/>
              <w:left w:type="dxa" w:w="220"/>
              <w:bottom w:type="dxa" w:w="160"/>
              <w:right w:type="dxa" w:w="220"/>
            </w:tcMar>
          </w:tcPr>
          <w:p>
            <w:pPr>
              <w:spacing w:after="60"/>
              <w:jc w:val="center"/>
            </w:pPr>
            <w:r>
              <w:rPr>
                <w:rFonts w:ascii="Calibri" w:eastAsia="Microsoft YaHei"/>
                <w:b/>
                <w:bCs/>
                <w:color w:val="D4AF37"/>
                <w:spacing w:val="30"/>
                <w:sz w:val="20"/>
                <w:szCs w:val="20"/>
              </w:rPr>
              <w:t xml:space="preserve">AURIENTA CONSTITUTIONAL HASH (ROOT)</w:t>
            </w:r>
          </w:p>
          <w:p>
            <w:pPr>
              <w:spacing w:after="0"/>
              <w:jc w:val="center"/>
            </w:pPr>
            <w:r>
              <w:rPr>
                <w:rFonts w:ascii="Consolas" w:eastAsia="Microsoft YaHei"/>
                <w:color w:val="FFFFFF"/>
                <w:sz w:val="22"/>
                <w:szCs w:val="22"/>
              </w:rPr>
              <w:t xml:space="preserve">0xB4F8D3E2F6A0B5D9E7F2A1C4B8E3D6A0F2C5B9E7D1A</w:t>
            </w:r>
          </w:p>
        </w:tc>
      </w:tr>
    </w:tbl>
    <w:p>
      <w:pPr>
        <w:spacing w:before="120"/>
      </w:pPr>
    </w:p>
    <w:tbl>
      <w:tblPr>
        <w:tblW w:type="pct" w:w="100%"/>
        <w:tblBorders>
          <w:top w:val="single" w:color="D4AF37" w:sz="12"/>
          <w:left w:val="single" w:color="D4AF37" w:sz="12"/>
          <w:bottom w:val="single" w:color="D4AF37" w:sz="12"/>
          <w:right w:val="single" w:color="D4AF37" w:sz="12"/>
          <w:insideH w:val="none" w:color="FFFFFF" w:sz="0"/>
          <w:insideV w:val="none" w:color="FFFFFF" w:sz="0"/>
        </w:tblBorders>
        <w:tblLayout w:type="fixed"/>
      </w:tblPr>
      <w:tblGrid>
        <w:gridCol w:w="100"/>
      </w:tblGrid>
      <w:tr>
        <w:trPr>
          <w:cantSplit/>
        </w:trPr>
        <w:tc>
          <w:tcPr>
            <w:tcW w:type="pct" w:w="100%"/>
            <w:shd w:fill="0F2027" w:val="clear"/>
            <w:tcMar>
              <w:top w:type="dxa" w:w="160"/>
              <w:left w:type="dxa" w:w="220"/>
              <w:bottom w:type="dxa" w:w="160"/>
              <w:right w:type="dxa" w:w="220"/>
            </w:tcMar>
          </w:tcPr>
          <w:p>
            <w:pPr>
              <w:spacing w:after="60"/>
              <w:jc w:val="center"/>
            </w:pPr>
            <w:r>
              <w:rPr>
                <w:rFonts w:ascii="Calibri" w:eastAsia="Microsoft YaHei"/>
                <w:b/>
                <w:bCs/>
                <w:color w:val="D4AF37"/>
                <w:spacing w:val="30"/>
                <w:sz w:val="20"/>
                <w:szCs w:val="20"/>
              </w:rPr>
              <w:t xml:space="preserve">AMENDMENT IX HASH</w:t>
            </w:r>
          </w:p>
          <w:p>
            <w:pPr>
              <w:spacing w:after="0"/>
              <w:jc w:val="center"/>
            </w:pPr>
            <w:r>
              <w:rPr>
                <w:rFonts w:ascii="Consolas" w:eastAsia="Microsoft YaHei"/>
                <w:color w:val="FFFFFF"/>
                <w:sz w:val="22"/>
                <w:szCs w:val="22"/>
              </w:rPr>
              <w:t xml:space="preserve">0xA9C7E1D4F0B3A825E6F1C9D2B7E4A0C3F6D8B1E5A2</w:t>
            </w:r>
          </w:p>
        </w:tc>
      </w:tr>
    </w:tbl>
    <w:p>
      <w:pPr>
        <w:spacing w:before="120"/>
      </w:pPr>
    </w:p>
    <w:p>
      <w:pPr>
        <w:spacing w:after="0" w:before="200"/>
        <w:jc w:val="center"/>
      </w:pPr>
      <w:r>
        <w:rPr>
          <w:rFonts w:ascii="Calibri" w:eastAsia="Microsoft YaHei"/>
          <w:i/>
          <w:iCs/>
          <w:color w:val="4A6575"/>
          <w:sz w:val="16"/>
          <w:szCs w:val="16"/>
        </w:rPr>
        <w:t xml:space="preserve">— End of Document —</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4" w:space="4"/>
      </w:pBdr>
      <w:spacing w:before="60"/>
      <w:jc w:val="center"/>
    </w:pPr>
    <w:r>
      <w:rPr>
        <w:rFonts w:ascii="Calibri" w:eastAsia="Microsoft YaHei"/>
        <w:color w:val="4A6575"/>
        <w:sz w:val="16"/>
        <w:szCs w:val="16"/>
      </w:rPr>
      <w:t xml:space="preserve">Milestone Release Authorization · Amendment IX   ·   </w:t>
    </w:r>
    <w:r>
      <w:rPr>
        <w:rFonts w:ascii="Calibri" w:eastAsia="Microsoft YaHei"/>
        <w:color w:val="4A6575"/>
        <w:sz w:val="16"/>
        <w:szCs w:val="16"/>
      </w:rPr>
      <w:fldChar w:fldCharType="begin"/>
      <w:instrText xml:space="preserve">PAGE</w:instrText>
      <w:fldChar w:fldCharType="separate"/>
      <w:fldChar w:fldCharType="end"/>
    </w:r>
    <w:r>
      <w:rPr>
        <w:rFonts w:ascii="Calibri" w:eastAsia="Microsoft YaHei"/>
        <w:color w:val="4A6575"/>
        <w:sz w:val="16"/>
        <w:szCs w:val="16"/>
      </w:rPr>
      <w:t xml:space="preserve"> / </w:t>
    </w:r>
    <w:r>
      <w:rPr>
        <w:rFonts w:ascii="Calibri" w:eastAsia="Microsoft YaHei"/>
        <w:color w:val="4A657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F37" w:sz="4" w:space="4"/>
      </w:pBdr>
      <w:spacing w:after="60"/>
      <w:jc w:val="right"/>
    </w:pPr>
    <w:r>
      <w:rPr>
        <w:rFonts w:ascii="Calibri" w:eastAsia="Microsoft YaHei"/>
        <w:i/>
        <w:iCs/>
        <w:color w:val="4A6575"/>
        <w:sz w:val="16"/>
        <w:szCs w:val="16"/>
      </w:rPr>
      <w:t xml:space="preserve">AURIENTA  ·  Milestone Release Authorization · Amendment IX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00000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libri" w:eastAsia="Microsoft YaHei"/>
      <w:b/>
      <w:bCs/>
      <w:color w:val="0F2027"/>
      <w:sz w:val="32"/>
      <w:szCs w:val="32"/>
    </w:rPr>
  </w:style>
  <w:style w:type="paragraph" w:styleId="Heading2">
    <w:name w:val="Heading 2"/>
    <w:basedOn w:val="Normal"/>
    <w:next w:val="Normal"/>
    <w:qFormat/>
    <w:pPr>
      <w:spacing w:after="140" w:before="320"/>
      <w:outlineLvl w:val="1"/>
    </w:pPr>
    <w:rPr>
      <w:rFonts w:ascii="Calibri" w:eastAsia="Microsoft YaHei"/>
      <w:b/>
      <w:bCs/>
      <w:color w:val="0F2027"/>
      <w:sz w:val="26"/>
      <w:szCs w:val="26"/>
    </w:rPr>
  </w:style>
  <w:style w:type="paragraph" w:styleId="Heading3">
    <w:name w:val="Heading 3"/>
    <w:basedOn w:val="Normal"/>
    <w:next w:val="Normal"/>
    <w:qFormat/>
    <w:pPr>
      <w:spacing w:after="120" w:before="240"/>
      <w:outlineLvl w:val="2"/>
    </w:pPr>
    <w:rPr>
      <w:rFonts w:ascii="Calibri" w:eastAsia="Microsoft YaHei"/>
      <w:b/>
      <w:bCs/>
      <w:color w:val="B8860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AURIENTA Milestone Release Authorization</dc:title>
  <dc:creator>AURIENTA Constitutional Office</dc:creator>
  <dc:description>Certified Accountant Milestone Release Authorization — Evidence Verification &amp; Co-Authorization Protocol under Amendment IX</dc:description>
  <cp:lastModifiedBy>Un-named</cp:lastModifiedBy>
  <cp:revision>1</cp:revision>
  <dcterms:created xsi:type="dcterms:W3CDTF">2026-07-08T09:54:58.111Z</dcterms:created>
  <dcterms:modified xsi:type="dcterms:W3CDTF">2026-07-08T09:54:58.111Z</dcterms:modified>
</cp:coreProperties>
</file>

<file path=docProps/custom.xml><?xml version="1.0" encoding="utf-8"?>
<Properties xmlns="http://schemas.openxmlformats.org/officeDocument/2006/custom-properties" xmlns:vt="http://schemas.openxmlformats.org/officeDocument/2006/docPropsVTypes"/>
</file>