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Service agreement</w:t>
      </w:r>
    </w:p>
    <w:p>
      <w:pPr>
        <w:spacing w:after="160"/>
      </w:pPr>
      <w:r>
        <w:t xml:space="preserve">between Meridian Labs GmbH ("Provider") and Lumen Logistics S.A. ("Customer"). Draft for review, not for signature.</w:t>
      </w:r>
    </w:p>
    <w:p>
      <w:pPr>
        <w:pStyle w:val="Heading1"/>
      </w:pPr>
      <w:r>
        <w:t xml:space="preserve">1. Scope</w:t>
      </w:r>
    </w:p>
    <w:p>
      <w:pPr>
        <w:spacing w:after="160"/>
      </w:pPr>
      <w:r>
        <w:t xml:space="preserve">The Provider operates the Meridian Platform and the Beacon notification service for the Customer under the Business plan, as described in Purchase Order 2026-0412.</w:t>
      </w:r>
    </w:p>
    <w:p>
      <w:pPr>
        <w:pStyle w:val="Heading1"/>
      </w:pPr>
      <w:r>
        <w:t xml:space="preserve">2. Service levels</w:t>
      </w:r>
    </w:p>
    <w:p>
      <w:pPr>
        <w:spacing w:after="160"/>
      </w:pPr>
      <w:r>
        <w:t xml:space="preserve">Monthly availability of 99.9%, measured at the API edge. Credits of 10% of the monthly fee per 0.1% below target, capped at 50%.</w:t>
      </w:r>
    </w:p>
    <w:p>
      <w:pPr>
        <w:pStyle w:val="Heading1"/>
      </w:pPr>
      <w:r>
        <w:t xml:space="preserve">3. Term</w:t>
      </w:r>
    </w:p>
    <w:p>
      <w:pPr>
        <w:spacing w:after="160"/>
      </w:pPr>
      <w:r>
        <w:t xml:space="preserve">Twelve months from the effective date, renewing yearly unless either party gives sixty days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agreement draft</dc:title>
  <dc:creator>Un-named</dc:creator>
  <cp:lastModifiedBy>Un-named</cp:lastModifiedBy>
  <cp:revision>1</cp:revision>
  <dcterms:created xsi:type="dcterms:W3CDTF">2026-10-18T16:57:58.901Z</dcterms:created>
  <dcterms:modified xsi:type="dcterms:W3CDTF">2026-10-18T16:57:58.901Z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