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1F3864"/>
          <w:sz w:val="40"/>
          <w:szCs w:val="40"/>
        </w:rPr>
        <w:t xml:space="preserve">Reflections on the Architecture of a Company</w:t>
      </w:r>
    </w:p>
    <w:p>
      <w:pPr>
        <w:spacing w:after="60"/>
        <w:jc w:val="center"/>
      </w:pPr>
      <w:r>
        <w:rPr>
          <w:rFonts w:ascii="Calibri" w:cs="Calibri" w:eastAsia="Calibri" w:hAnsi="Calibri"/>
          <w:i/>
          <w:iCs/>
          <w:color w:val="595959"/>
          <w:sz w:val="22"/>
          <w:szCs w:val="22"/>
        </w:rPr>
        <w:t xml:space="preserve">Lessons from the Executive Session of 29 May 2026</w:t>
      </w:r>
    </w:p>
    <w:p>
      <w:pPr>
        <w:pBdr>
          <w:bottom w:val="single" w:color="2E75B6" w:sz="12" w:space="1"/>
        </w:pBdr>
        <w:spacing w:before="0" w:after="280"/>
      </w:pPr>
    </w:p>
    <w:p>
      <w:pPr>
        <w:spacing w:after="160" w:line="300"/>
        <w:jc w:val="both"/>
      </w:pPr>
      <w:r>
        <w:rPr>
          <w:rFonts w:ascii="Calibri" w:cs="Calibri" w:eastAsia="Calibri" w:hAnsi="Calibri"/>
          <w:color w:val="262626"/>
          <w:sz w:val="22"/>
          <w:szCs w:val="22"/>
        </w:rPr>
        <w:t xml:space="preserve">Dear Mr. Watanabe,</w:t>
      </w:r>
    </w:p>
    <w:p>
      <w:pPr>
        <w:spacing w:after="160" w:line="300"/>
        <w:jc w:val="both"/>
      </w:pPr>
      <w:r>
        <w:rPr>
          <w:rFonts w:ascii="Calibri" w:cs="Calibri" w:eastAsia="Calibri" w:hAnsi="Calibri"/>
          <w:color w:val="262626"/>
          <w:sz w:val="22"/>
          <w:szCs w:val="22"/>
        </w:rPr>
        <w:t xml:space="preserve">Thank you for the depth of our last session, and for the openness with which you shared the architecture of how a company is designed, evaluated, and held together over time. What follows is not a record of what was said. It is what stayed with me — written in my own voice, as a single line of thinking that I have been turning over since the meeting ended.</w:t>
      </w:r>
    </w:p>
    <w:p>
      <w:pPr>
        <w:spacing w:before="260" w:after="100"/>
      </w:pPr>
      <w:r>
        <w:rPr>
          <w:rFonts w:ascii="Calibri" w:cs="Calibri" w:eastAsia="Calibri" w:hAnsi="Calibri"/>
          <w:b/>
          <w:bCs/>
          <w:color w:val="1F3864"/>
          <w:sz w:val="26"/>
          <w:szCs w:val="26"/>
        </w:rPr>
        <w:t xml:space="preserve">Beyond the Editor</w:t>
      </w:r>
    </w:p>
    <w:p>
      <w:pPr>
        <w:spacing w:after="160" w:line="300"/>
        <w:jc w:val="both"/>
      </w:pPr>
      <w:r>
        <w:rPr>
          <w:rFonts w:ascii="Calibri" w:cs="Calibri" w:eastAsia="Calibri" w:hAnsi="Calibri"/>
          <w:color w:val="262626"/>
          <w:sz w:val="22"/>
          <w:szCs w:val="22"/>
        </w:rPr>
        <w:t xml:space="preserve">For most of my career, I have built things that live inside an editor — code that runs, services that respond, features that ship. This session asked me to close that editor for a moment and look at the company itself as the system being designed. What I am still absorbing is the realisation that a company is, in many ways, a piece of long-running software: its users are real customers, its contributors are real employees, its owners are real investors, and its bugs cost real money. The discipline of building it is not so different from the discipline of building any system that must outlive its first version.</w:t>
      </w:r>
    </w:p>
    <w:p>
      <w:pPr>
        <w:spacing w:before="260" w:after="100"/>
      </w:pPr>
      <w:r>
        <w:rPr>
          <w:rFonts w:ascii="Calibri" w:cs="Calibri" w:eastAsia="Calibri" w:hAnsi="Calibri"/>
          <w:b/>
          <w:bCs/>
          <w:color w:val="1F3864"/>
          <w:sz w:val="26"/>
          <w:szCs w:val="26"/>
        </w:rPr>
        <w:t xml:space="preserve">The Specification Comes First</w:t>
      </w:r>
    </w:p>
    <w:p>
      <w:pPr>
        <w:spacing w:after="160" w:line="300"/>
        <w:jc w:val="both"/>
      </w:pPr>
      <w:r>
        <w:rPr>
          <w:rFonts w:ascii="Calibri" w:cs="Calibri" w:eastAsia="Calibri" w:hAnsi="Calibri"/>
          <w:color w:val="262626"/>
          <w:sz w:val="22"/>
          <w:szCs w:val="22"/>
        </w:rPr>
        <w:t xml:space="preserve">The first idea that reshaped my thinking was that the budget is not a financial document. It is the specification of the company — the way we declare what we believe, what we intend, and what we can be held to. Without that specification, decisions become opinions; with it, they become proposals that can be reviewed, tested, and trusted. As we move into the new structure on 1 June, I now understand why this alignment is not a formality. It is the contract by which everything else is judged.</w:t>
      </w:r>
    </w:p>
    <w:p>
      <w:pPr>
        <w:spacing w:before="260" w:after="100"/>
      </w:pPr>
      <w:r>
        <w:rPr>
          <w:rFonts w:ascii="Calibri" w:cs="Calibri" w:eastAsia="Calibri" w:hAnsi="Calibri"/>
          <w:b/>
          <w:bCs/>
          <w:color w:val="1F3864"/>
          <w:sz w:val="26"/>
          <w:szCs w:val="26"/>
        </w:rPr>
        <w:t xml:space="preserve">Two Clocks Inside One Company</w:t>
      </w:r>
    </w:p>
    <w:p>
      <w:pPr>
        <w:spacing w:after="160" w:line="300"/>
        <w:jc w:val="both"/>
      </w:pPr>
      <w:r>
        <w:rPr>
          <w:rFonts w:ascii="Calibri" w:cs="Calibri" w:eastAsia="Calibri" w:hAnsi="Calibri"/>
          <w:color w:val="262626"/>
          <w:sz w:val="22"/>
          <w:szCs w:val="22"/>
        </w:rPr>
        <w:t xml:space="preserve">Perhaps the most clarifying idea was that every company runs on two clocks at the same time. The investor’s clock is short: capital is at risk every day, and the lifespan within which returns matter is brief. The employee’s clock is long: careers are measured in decades. These are not opposing camps. They are simply different timescales pointed at the same company. I now see that the central work of leadership is to design a system in which both clocks can keep honest time, without one consuming the other.</w:t>
      </w:r>
    </w:p>
    <w:p>
      <w:pPr>
        <w:spacing w:before="280" w:after="160"/>
        <w:jc w:val="center"/>
      </w:pPr>
      <w:r>
        <w:rPr>
          <w:rFonts w:ascii="Calibri" w:cs="Calibri" w:eastAsia="Calibri" w:hAnsi="Calibri"/>
          <w:b/>
          <w:bCs/>
          <w:i/>
          <w:iCs/>
          <w:color w:val="1F3864"/>
          <w:sz w:val="22"/>
          <w:szCs w:val="22"/>
        </w:rPr>
        <w:t xml:space="preserve">How the Architecture Holds Them Together</w:t>
      </w:r>
    </w:p>
    <w:tbl>
      <w:tblPr>
        <w:tblW w:type="dxa" w:w="9000"/>
        <w:jc w:val="center"/>
        <w:tblBorders>
          <w:top w:val="nil" w:color="FFFFFF" w:sz="0"/>
          <w:left w:val="nil" w:color="FFFFFF" w:sz="0"/>
          <w:bottom w:val="nil" w:color="FFFFFF" w:sz="0"/>
          <w:right w:val="nil" w:color="FFFFFF" w:sz="0"/>
          <w:insideH w:val="nil" w:color="FFFFFF" w:sz="0"/>
          <w:insideV w:val="nil" w:color="FFFFFF" w:sz="0"/>
        </w:tblBorders>
        <w:tblLayout w:type="fixed"/>
      </w:tblPr>
      <w:tblGrid>
        <w:gridCol w:w="100"/>
        <w:gridCol w:w="100"/>
        <w:gridCol w:w="100"/>
      </w:tblGrid>
      <w:tr>
        <w:tc>
          <w:tcPr>
            <w:tcW w:type="dxa" w:w="3600"/>
            <w:gridSpan w:val="2"/>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THE INVESTOR'S CLOCK</w:t>
            </w:r>
          </w:p>
          <w:p>
            <w:pPr>
              <w:spacing w:before="0" w:after="80"/>
              <w:jc w:val="center"/>
            </w:pPr>
            <w:r>
              <w:rPr>
                <w:rFonts w:ascii="Calibri" w:cs="Calibri" w:eastAsia="Calibri" w:hAnsi="Calibri"/>
                <w:color w:val="404040"/>
                <w:sz w:val="18"/>
                <w:szCs w:val="18"/>
              </w:rPr>
              <w:t xml:space="preserve">Short horizon · Capital · Returns · Exit</w:t>
            </w:r>
          </w:p>
        </w:tc>
        <w:tc>
          <w:tcPr>
            <w:tcW w:type="dxa" w:w="18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3600"/>
            <w:gridSpan w:val="2"/>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THE EMPLOYEE'S CLOCK</w:t>
            </w:r>
          </w:p>
          <w:p>
            <w:pPr>
              <w:spacing w:before="0" w:after="80"/>
              <w:jc w:val="center"/>
            </w:pPr>
            <w:r>
              <w:rPr>
                <w:rFonts w:ascii="Calibri" w:cs="Calibri" w:eastAsia="Calibri" w:hAnsi="Calibri"/>
                <w:color w:val="404040"/>
                <w:sz w:val="18"/>
                <w:szCs w:val="18"/>
              </w:rPr>
              <w:t xml:space="preserve">Long horizon · Career · Salary · Trust</w:t>
            </w:r>
          </w:p>
        </w:tc>
      </w:tr>
      <w:tr>
        <w:tc>
          <w:tcPr>
            <w:tcW w:type="dxa" w:w="3600"/>
            <w:gridSpan w:val="2"/>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28"/>
                <w:szCs w:val="28"/>
              </w:rPr>
              <w:t xml:space="preserve">↘</w:t>
            </w:r>
          </w:p>
        </w:tc>
        <w:tc>
          <w:tcPr>
            <w:tcW w:type="dxa" w:w="18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t xml:space="preserve"/>
            </w:r>
          </w:p>
        </w:tc>
        <w:tc>
          <w:tcPr>
            <w:tcW w:type="dxa" w:w="3600"/>
            <w:gridSpan w:val="2"/>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28"/>
                <w:szCs w:val="28"/>
              </w:rPr>
              <w:t xml:space="preserve">↙</w:t>
            </w:r>
          </w:p>
        </w:tc>
      </w:tr>
      <w:tr>
        <w:tc>
          <w:tcPr>
            <w:tcW w:type="dxa" w:w="9000"/>
            <w:gridSpan w:val="5"/>
            <w:tcBorders>
              <w:top w:val="single" w:color="1F3864" w:sz="8"/>
              <w:left w:val="single" w:color="1F3864" w:sz="8"/>
              <w:bottom w:val="single" w:color="1F3864" w:sz="8"/>
              <w:right w:val="single" w:color="1F3864" w:sz="8"/>
            </w:tcBorders>
            <w:shd w:fill="B4C7E7"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4"/>
                <w:szCs w:val="24"/>
              </w:rPr>
              <w:t xml:space="preserve">THE COMPANY</w:t>
            </w:r>
          </w:p>
          <w:p>
            <w:pPr>
              <w:spacing w:before="0" w:after="80"/>
              <w:jc w:val="center"/>
            </w:pPr>
            <w:r>
              <w:rPr>
                <w:rFonts w:ascii="Calibri" w:cs="Calibri" w:eastAsia="Calibri" w:hAnsi="Calibri"/>
                <w:color w:val="404040"/>
                <w:sz w:val="18"/>
                <w:szCs w:val="18"/>
              </w:rPr>
              <w:t xml:space="preserve">Budget · Rules · Evidence · Mathematics — the architecture that holds both clocks</w:t>
            </w:r>
          </w:p>
        </w:tc>
      </w:tr>
      <w:tr>
        <w:tc>
          <w:tcPr>
            <w:tcW w:type="dxa" w:w="9000"/>
            <w:gridSpan w:val="5"/>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Calibri" w:cs="Calibri" w:eastAsia="Calibri" w:hAnsi="Calibri"/>
                <w:b/>
                <w:bCs/>
                <w:color w:val="2E75B6"/>
                <w:sz w:val="30"/>
                <w:szCs w:val="30"/>
              </w:rPr>
              <w:t xml:space="preserve">▼</w:t>
            </w:r>
          </w:p>
        </w:tc>
      </w:tr>
      <w:tr>
        <w:tc>
          <w:tcPr>
            <w:tcW w:type="dxa" w:w="9000"/>
            <w:gridSpan w:val="5"/>
            <w:tcBorders>
              <w:top w:val="single" w:color="1F3864" w:sz="8"/>
              <w:left w:val="single" w:color="1F3864" w:sz="8"/>
              <w:bottom w:val="single" w:color="1F3864" w:sz="8"/>
              <w:right w:val="single" w:color="1F3864" w:sz="8"/>
            </w:tcBorders>
            <w:shd w:fill="D6E4F5"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VALUE THAT OUTLIVES BOTH CLOCKS</w:t>
            </w:r>
          </w:p>
          <w:p>
            <w:pPr>
              <w:spacing w:before="0" w:after="80"/>
              <w:jc w:val="center"/>
            </w:pPr>
            <w:r>
              <w:rPr>
                <w:rFonts w:ascii="Calibri" w:cs="Calibri" w:eastAsia="Calibri" w:hAnsi="Calibri"/>
                <w:color w:val="404040"/>
                <w:sz w:val="18"/>
                <w:szCs w:val="18"/>
              </w:rPr>
              <w:t xml:space="preserve">Customers · Society · The future</w:t>
            </w:r>
          </w:p>
        </w:tc>
      </w:tr>
    </w:tbl>
    <w:p>
      <w:pPr>
        <w:spacing w:before="140" w:after="280"/>
        <w:jc w:val="center"/>
      </w:pPr>
      <w:r>
        <w:rPr>
          <w:rFonts w:ascii="Calibri" w:cs="Calibri" w:eastAsia="Calibri" w:hAnsi="Calibri"/>
          <w:i/>
          <w:iCs/>
          <w:color w:val="595959"/>
          <w:sz w:val="18"/>
          <w:szCs w:val="18"/>
        </w:rPr>
        <w:t xml:space="preserve">Two timescales meet inside the same architecture, and the value they produce together is what outlives both of them.</w:t>
      </w:r>
    </w:p>
    <w:p>
      <w:pPr>
        <w:spacing w:before="260" w:after="100"/>
      </w:pPr>
      <w:r>
        <w:rPr>
          <w:rFonts w:ascii="Calibri" w:cs="Calibri" w:eastAsia="Calibri" w:hAnsi="Calibri"/>
          <w:b/>
          <w:bCs/>
          <w:color w:val="1F3864"/>
          <w:sz w:val="26"/>
          <w:szCs w:val="26"/>
        </w:rPr>
        <w:t xml:space="preserve">If You Cannot Test It, You Cannot Trust It</w:t>
      </w:r>
    </w:p>
    <w:p>
      <w:pPr>
        <w:spacing w:after="160" w:line="300"/>
        <w:jc w:val="both"/>
      </w:pPr>
      <w:r>
        <w:rPr>
          <w:rFonts w:ascii="Calibri" w:cs="Calibri" w:eastAsia="Calibri" w:hAnsi="Calibri"/>
          <w:color w:val="262626"/>
          <w:sz w:val="22"/>
          <w:szCs w:val="22"/>
        </w:rPr>
        <w:t xml:space="preserve">From this, a third idea followed naturally — one that an engineer can feel in the bones. Every important decision in a company, from a yearly budget to the choice between an IPO and a sale to a fund, must arrive with its mathematics. The probability of success. The cost of failure. The share of risk. The reasoning behind each figure. Investors do not invest in stories; they invest in systems that can be checked. The same is true of a buyer evaluating a sale, an employee evaluating a contract, or a director evaluating a proposal. Trust, in any of these directions, is earned by evidence repeated across time. A company that cannot show its work cannot be trusted to keep its promises.</w:t>
      </w:r>
    </w:p>
    <w:p>
      <w:pPr>
        <w:spacing w:before="260" w:after="100"/>
      </w:pPr>
      <w:r>
        <w:rPr>
          <w:rFonts w:ascii="Calibri" w:cs="Calibri" w:eastAsia="Calibri" w:hAnsi="Calibri"/>
          <w:b/>
          <w:bCs/>
          <w:color w:val="1F3864"/>
          <w:sz w:val="26"/>
          <w:szCs w:val="26"/>
        </w:rPr>
        <w:t xml:space="preserve">Incentives Are Structural Engineering</w:t>
      </w:r>
    </w:p>
    <w:p>
      <w:pPr>
        <w:spacing w:after="160" w:line="300"/>
        <w:jc w:val="both"/>
      </w:pPr>
      <w:r>
        <w:rPr>
          <w:rFonts w:ascii="Calibri" w:cs="Calibri" w:eastAsia="Calibri" w:hAnsi="Calibri"/>
          <w:color w:val="262626"/>
          <w:sz w:val="22"/>
          <w:szCs w:val="22"/>
        </w:rPr>
        <w:t xml:space="preserve">A fourth idea expanded what I previously thought "incentives" were. I had held the engineer’s view that incentives are motivation — something added on top of salary to make people work harder. The discussion of LLPs and per-project share structures showed me that incentives are not motivation; they are architecture. A sales team and a manufacturing team do not respond to the same gradient and should not be paid by the same gradient. A researcher proposing a high-risk algorithm carries different responsibility than someone maintaining a stable service. Designing those distinctions carefully is not personnel policy — it is the structural engineering of the company. Get the architecture wrong and the building leans; get it right and it stands without anyone holding it up.</w:t>
      </w:r>
    </w:p>
    <w:p>
      <w:pPr>
        <w:spacing w:before="260" w:after="100"/>
      </w:pPr>
      <w:r>
        <w:rPr>
          <w:rFonts w:ascii="Calibri" w:cs="Calibri" w:eastAsia="Calibri" w:hAnsi="Calibri"/>
          <w:b/>
          <w:bCs/>
          <w:color w:val="1F3864"/>
          <w:sz w:val="26"/>
          <w:szCs w:val="26"/>
        </w:rPr>
        <w:t xml:space="preserve">The Mathematics of Win-Win</w:t>
      </w:r>
    </w:p>
    <w:p>
      <w:pPr>
        <w:spacing w:after="160" w:line="300"/>
        <w:jc w:val="both"/>
      </w:pPr>
      <w:r>
        <w:rPr>
          <w:rFonts w:ascii="Calibri" w:cs="Calibri" w:eastAsia="Calibri" w:hAnsi="Calibri"/>
          <w:color w:val="262626"/>
          <w:sz w:val="22"/>
          <w:szCs w:val="22"/>
        </w:rPr>
        <w:t xml:space="preserve">During the session, I shared my own interest in formalising win-win systems — systems that can be tested, replicated, and left behind as value for society without depending on anyone’s sacrifice. After this discussion, I see more clearly what "win-win" actually means. It is not a feeling, and it is not a slogan. It is a calculation. Win-win exists when the mathematics genuinely works for the investor, the employee, the customer, and the company at the same time, across time. That math is rarely tidy. But it is the only structure that does not require anyone to agree to lose, which is why it is the only structure capable of outliving its first generation of people.</w:t>
      </w:r>
    </w:p>
    <w:p>
      <w:pPr>
        <w:spacing w:before="260" w:after="100"/>
      </w:pPr>
      <w:r>
        <w:rPr>
          <w:rFonts w:ascii="Calibri" w:cs="Calibri" w:eastAsia="Calibri" w:hAnsi="Calibri"/>
          <w:b/>
          <w:bCs/>
          <w:color w:val="1F3864"/>
          <w:sz w:val="26"/>
          <w:szCs w:val="26"/>
        </w:rPr>
        <w:t xml:space="preserve">A System That Outlives Us</w:t>
      </w:r>
    </w:p>
    <w:p>
      <w:pPr>
        <w:spacing w:after="160" w:line="300"/>
        <w:jc w:val="both"/>
      </w:pPr>
      <w:r>
        <w:rPr>
          <w:rFonts w:ascii="Calibri" w:cs="Calibri" w:eastAsia="Calibri" w:hAnsi="Calibri"/>
          <w:color w:val="262626"/>
          <w:sz w:val="22"/>
          <w:szCs w:val="22"/>
        </w:rPr>
        <w:t xml:space="preserve">The largest takeaway from this session is that the company itself is the most important system any of us will ever build, and that the work of building it is no different in spirit from the work of writing trustworthy software. Specification matters. Evidence matters. Architecture matters. And the rules that govern it must hold even when none of us are in the room.</w:t>
      </w:r>
    </w:p>
    <w:p>
      <w:pPr>
        <w:spacing w:after="160" w:line="300"/>
        <w:jc w:val="both"/>
      </w:pPr>
      <w:r>
        <w:rPr>
          <w:rFonts w:ascii="Calibri" w:cs="Calibri" w:eastAsia="Calibri" w:hAnsi="Calibri"/>
          <w:color w:val="262626"/>
          <w:sz w:val="22"/>
          <w:szCs w:val="22"/>
        </w:rPr>
        <w:t xml:space="preserve">Thank you again for the seriousness of this discussion. I am taking it forward with the same care I would bring to any system I have ever shipped, and with much greater respect for the responsibility this implies.</w:t>
      </w:r>
    </w:p>
    <w:p>
      <w:pPr>
        <w:spacing w:before="240"/>
      </w:pPr>
      <w:r>
        <w:rPr>
          <w:rFonts w:ascii="Calibri" w:cs="Calibri" w:eastAsia="Calibri" w:hAnsi="Calibri"/>
        </w:rPr>
        <w:t xml:space="preserve"/>
      </w:r>
    </w:p>
    <w:p>
      <w:pPr>
        <w:spacing w:after="240"/>
      </w:pPr>
      <w:r>
        <w:rPr>
          <w:rFonts w:ascii="Calibri" w:cs="Calibri" w:eastAsia="Calibri" w:hAnsi="Calibri"/>
          <w:color w:val="262626"/>
          <w:sz w:val="22"/>
          <w:szCs w:val="22"/>
        </w:rPr>
        <w:t xml:space="preserve">Respectfully,</w:t>
      </w:r>
    </w:p>
    <w:p>
      <w:r>
        <w:rPr>
          <w:rFonts w:ascii="Calibri" w:cs="Calibri" w:eastAsia="Calibri" w:hAnsi="Calibri"/>
          <w:b/>
          <w:bCs/>
          <w:color w:val="1F3864"/>
          <w:sz w:val="22"/>
          <w:szCs w:val="22"/>
        </w:rPr>
        <w:t xml:space="preserve">Ambrose Alanda</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Reflections on the Architecture of a Company — Executive Session 29 May 2026</dc:title>
  <dc:creator>Ambrose Alanda</dc:creator>
  <cp:lastModifiedBy>Un-named</cp:lastModifiedBy>
  <cp:revision>1</cp:revision>
  <dcterms:created xsi:type="dcterms:W3CDTF">2026-05-31T19:38:38.938Z</dcterms:created>
  <dcterms:modified xsi:type="dcterms:W3CDTF">2026-05-31T19:38:38.938Z</dcterms:modified>
</cp:coreProperties>
</file>

<file path=docProps/custom.xml><?xml version="1.0" encoding="utf-8"?>
<Properties xmlns="http://schemas.openxmlformats.org/officeDocument/2006/custom-properties" xmlns:vt="http://schemas.openxmlformats.org/officeDocument/2006/docPropsVTypes"/>
</file>