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Yu Mincho" w:hAnsi="Yu Mincho" w:eastAsia="Yu Mincho" w:cs="Yu Mincho"/>
          <w:b/>
          <w:bCs/>
          <w:i w:val="false"/>
          <w:iCs w:val="false"/>
          <w:color w:val="000000"/>
          <w:sz w:val="36"/>
          <w:szCs w:val="36"/>
        </w:rPr>
        <w:t xml:space="preserve">予算、バランス、そして持続可能な企業づくりに関する考察</w:t>
      </w:r>
    </w:p>
    <w:p>
      <w:pPr>
        <w:spacing w:after="60"/>
        <w:jc w:val="center"/>
      </w:pPr>
      <w:r>
        <w:rPr>
          <w:rFonts w:ascii="Yu Mincho" w:hAnsi="Yu Mincho" w:eastAsia="Yu Mincho" w:cs="Yu Mincho"/>
          <w:b w:val="false"/>
          <w:bCs w:val="false"/>
          <w:i/>
          <w:iCs/>
          <w:color w:val="000000"/>
          <w:sz w:val="22"/>
          <w:szCs w:val="22"/>
        </w:rPr>
        <w:t xml:space="preserve">エグゼクティブセッション（2026年5月29日）を受けて</w:t>
      </w:r>
    </w:p>
    <w:p>
      <w:pPr>
        <w:pBdr>
          <w:bottom w:val="single" w:color="404040" w:sz="12" w:space="1"/>
        </w:pBdr>
        <w:spacing w:before="0" w:after="280"/>
      </w:pPr>
    </w:p>
    <w:p>
      <w:pPr>
        <w:spacing w:after="160" w:line="320"/>
        <w:jc w:val="both"/>
      </w:pPr>
      <w:r>
        <w:rPr>
          <w:rFonts w:ascii="Yu Mincho" w:hAnsi="Yu Mincho" w:eastAsia="Yu Mincho" w:cs="Yu Mincho"/>
          <w:b w:val="false"/>
          <w:bCs w:val="false"/>
          <w:i w:val="false"/>
          <w:iCs w:val="false"/>
          <w:color w:val="000000"/>
          <w:sz w:val="22"/>
          <w:szCs w:val="22"/>
        </w:rPr>
        <w:t xml:space="preserve">渡辺様</w:t>
      </w:r>
    </w:p>
    <w:p>
      <w:pPr>
        <w:spacing w:after="160" w:line="320"/>
        <w:jc w:val="both"/>
      </w:pPr>
      <w:r>
        <w:rPr>
          <w:rFonts w:ascii="Yu Mincho" w:hAnsi="Yu Mincho" w:eastAsia="Yu Mincho" w:cs="Yu Mincho"/>
          <w:b w:val="false"/>
          <w:bCs w:val="false"/>
          <w:i w:val="false"/>
          <w:iCs w:val="false"/>
          <w:color w:val="000000"/>
          <w:sz w:val="22"/>
          <w:szCs w:val="22"/>
        </w:rPr>
        <w:t xml:space="preserve">先日のお打ち合わせにおきまして、貴重なお時間とご経験を共有いただき、誠にありがとうございました。今回のお話は、日々の製品づくりの業務を超えた視点から物事を捉え直す上で、私にとって大変有意義なものでございました。企業を個別の活動の集まりとしてではなく、注意深く設計され、保たれるべき一つのバランスの取れたシステムとして理解する視点を、改めて学ぶ機会となりました。</w:t>
      </w:r>
    </w:p>
    <w:p>
      <w:pPr>
        <w:spacing w:before="280" w:after="100"/>
      </w:pPr>
      <w:r>
        <w:rPr>
          <w:rFonts w:ascii="Yu Mincho" w:hAnsi="Yu Mincho" w:eastAsia="Yu Mincho" w:cs="Yu Mincho"/>
          <w:b/>
          <w:bCs/>
          <w:i w:val="false"/>
          <w:iCs w:val="false"/>
          <w:color w:val="000000"/>
          <w:sz w:val="26"/>
          <w:szCs w:val="26"/>
        </w:rPr>
        <w:t xml:space="preserve">企業をバランスの取れた一つのシステムとして理解する</w:t>
      </w:r>
    </w:p>
    <w:p>
      <w:pPr>
        <w:spacing w:after="160" w:line="320"/>
        <w:jc w:val="both"/>
      </w:pPr>
      <w:r>
        <w:rPr>
          <w:rFonts w:ascii="Yu Mincho" w:hAnsi="Yu Mincho" w:eastAsia="Yu Mincho" w:cs="Yu Mincho"/>
          <w:b w:val="false"/>
          <w:bCs w:val="false"/>
          <w:i w:val="false"/>
          <w:iCs w:val="false"/>
          <w:color w:val="000000"/>
          <w:sz w:val="22"/>
          <w:szCs w:val="22"/>
        </w:rPr>
        <w:t xml:space="preserve">最も強く印象に残った教えの一つは、企業が単に製品やプロジェクト、部署の集まりではないということでございました。企業とは、投資家、従業員、顧客、製品、収益、そして成長が互いに影響を与え合う一つのシステムであり、その強さは個々の要素にではなく、それらが互いにどれだけよく機能し合っているかによって決まるということを学びました。</w:t>
      </w:r>
    </w:p>
    <w:p>
      <w:pPr>
        <w:spacing w:after="160" w:line="320"/>
        <w:jc w:val="both"/>
      </w:pPr>
      <w:r>
        <w:rPr>
          <w:rFonts w:ascii="Yu Mincho" w:hAnsi="Yu Mincho" w:eastAsia="Yu Mincho" w:cs="Yu Mincho"/>
          <w:b w:val="false"/>
          <w:bCs w:val="false"/>
          <w:i w:val="false"/>
          <w:iCs w:val="false"/>
          <w:color w:val="000000"/>
          <w:sz w:val="22"/>
          <w:szCs w:val="22"/>
        </w:rPr>
        <w:t xml:space="preserve">投資家は、企業が始動し運営を続けるための資本を提供してくださり、従業員は製品をつくり業務を遂行いたします。顧客は価値を受け取り、その対価として収益が生まれます。その収益はさらに人材、運営、そして将来への投資を支え、企業の成長を可能にしてゆきます。それぞれの要素が他の要素に依存しており、ある領域での変化は必ず他の領域にも影響を及ぼすということを、改めて実感いたしました。</w:t>
      </w:r>
    </w:p>
    <w:p>
      <w:pPr>
        <w:spacing w:after="160" w:line="320"/>
        <w:jc w:val="both"/>
      </w:pPr>
      <w:r>
        <w:rPr>
          <w:rFonts w:ascii="Yu Mincho" w:hAnsi="Yu Mincho" w:eastAsia="Yu Mincho" w:cs="Yu Mincho"/>
          <w:b w:val="false"/>
          <w:bCs w:val="false"/>
          <w:i w:val="false"/>
          <w:iCs w:val="false"/>
          <w:color w:val="000000"/>
          <w:sz w:val="22"/>
          <w:szCs w:val="22"/>
        </w:rPr>
        <w:t xml:space="preserve">この視点は、ビジネス上の意思決定を企業の一部だけを見て下すことができない理由を、より明確にしてくれました。あらゆる意思決定はシステムのどこかを動かすものであり、システム全体を健全なバランスに保つことこそが経営の務めであると、深く理解いたしました。</w:t>
      </w:r>
    </w:p>
    <w:tbl>
      <w:tblPr>
        <w:tblW w:type="dxa" w:w="8600"/>
        <w:jc w:val="center"/>
        <w:tblBorders>
          <w:top w:val="nil" w:color="FFFFFF" w:sz="0"/>
          <w:left w:val="nil" w:color="FFFFFF" w:sz="0"/>
          <w:bottom w:val="nil" w:color="FFFFFF" w:sz="0"/>
          <w:right w:val="nil" w:color="FFFFFF" w:sz="0"/>
          <w:insideH w:val="nil" w:color="FFFFFF" w:sz="0"/>
          <w:insideV w:val="nil" w:color="FFFFFF" w:sz="0"/>
        </w:tblBorders>
        <w:tblLayout w:type="fixed"/>
      </w:tblPr>
      <w:tblGrid>
        <w:gridCol w:w="100"/>
        <w:gridCol w:w="100"/>
        <w:gridCol w:w="100"/>
        <w:gridCol w:w="100"/>
        <w:gridCol w:w="100"/>
      </w:tblGrid>
      <w:tr>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c>
          <w:tcPr>
            <w:tcW w:type="dxa" w:w="2600"/>
            <w:gridSpan w:val="1"/>
            <w:tcBorders>
              <w:top w:val="single" w:color="595959" w:sz="8"/>
              <w:left w:val="single" w:color="595959" w:sz="8"/>
              <w:bottom w:val="single" w:color="595959" w:sz="8"/>
              <w:right w:val="single" w:color="595959" w:sz="8"/>
            </w:tcBorders>
            <w:shd w:fill="F2F2F2" w:color="auto" w:val="clear"/>
            <w:tcMar>
              <w:top w:type="dxa" w:w="140"/>
              <w:left w:type="dxa" w:w="140"/>
              <w:bottom w:type="dxa" w:w="140"/>
              <w:right w:type="dxa" w:w="140"/>
            </w:tcMar>
          </w:tcPr>
          <w:p>
            <w:pPr>
              <w:spacing w:before="80" w:after="40"/>
              <w:jc w:val="center"/>
            </w:pPr>
            <w:r>
              <w:rPr>
                <w:rFonts w:ascii="Yu Mincho" w:hAnsi="Yu Mincho" w:eastAsia="Yu Mincho" w:cs="Yu Mincho"/>
                <w:b/>
                <w:bCs/>
                <w:i w:val="false"/>
                <w:iCs w:val="false"/>
                <w:color w:val="000000"/>
                <w:sz w:val="22"/>
                <w:szCs w:val="22"/>
              </w:rPr>
              <w:t xml:space="preserve">投資家</w:t>
            </w:r>
          </w:p>
          <w:p>
            <w:pPr>
              <w:spacing w:before="0" w:after="80"/>
              <w:jc w:val="center"/>
            </w:pPr>
            <w:r>
              <w:rPr>
                <w:rFonts w:ascii="Yu Mincho" w:hAnsi="Yu Mincho" w:eastAsia="Yu Mincho" w:cs="Yu Mincho"/>
                <w:b w:val="false"/>
                <w:bCs w:val="false"/>
                <w:i w:val="false"/>
                <w:iCs w:val="false"/>
                <w:color w:val="000000"/>
                <w:sz w:val="18"/>
                <w:szCs w:val="18"/>
              </w:rPr>
              <w:t xml:space="preserve">資本・信頼・リターン</w:t>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r>
      <w:tr>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c>
          <w:tcPr>
            <w:tcW w:type="dxa" w:w="26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Yu Mincho" w:hAnsi="Yu Mincho" w:eastAsia="Yu Mincho" w:cs="Yu Mincho"/>
                <w:b/>
                <w:bCs/>
                <w:i w:val="false"/>
                <w:iCs w:val="false"/>
                <w:color w:val="000000"/>
                <w:sz w:val="28"/>
                <w:szCs w:val="28"/>
              </w:rPr>
              <w:t xml:space="preserve">▼</w:t>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r>
      <w:tr>
        <w:tc>
          <w:tcPr>
            <w:tcW w:type="dxa" w:w="2400"/>
            <w:gridSpan w:val="1"/>
            <w:tcBorders>
              <w:top w:val="single" w:color="595959" w:sz="8"/>
              <w:left w:val="single" w:color="595959" w:sz="8"/>
              <w:bottom w:val="single" w:color="595959" w:sz="8"/>
              <w:right w:val="single" w:color="595959" w:sz="8"/>
            </w:tcBorders>
            <w:shd w:fill="F2F2F2" w:color="auto" w:val="clear"/>
            <w:tcMar>
              <w:top w:type="dxa" w:w="140"/>
              <w:left w:type="dxa" w:w="140"/>
              <w:bottom w:type="dxa" w:w="140"/>
              <w:right w:type="dxa" w:w="140"/>
            </w:tcMar>
          </w:tcPr>
          <w:p>
            <w:pPr>
              <w:spacing w:before="80" w:after="40"/>
              <w:jc w:val="center"/>
            </w:pPr>
            <w:r>
              <w:rPr>
                <w:rFonts w:ascii="Yu Mincho" w:hAnsi="Yu Mincho" w:eastAsia="Yu Mincho" w:cs="Yu Mincho"/>
                <w:b/>
                <w:bCs/>
                <w:i w:val="false"/>
                <w:iCs w:val="false"/>
                <w:color w:val="000000"/>
                <w:sz w:val="22"/>
                <w:szCs w:val="22"/>
              </w:rPr>
              <w:t xml:space="preserve">従業員</w:t>
            </w:r>
          </w:p>
          <w:p>
            <w:pPr>
              <w:spacing w:before="0" w:after="80"/>
              <w:jc w:val="center"/>
            </w:pPr>
            <w:r>
              <w:rPr>
                <w:rFonts w:ascii="Yu Mincho" w:hAnsi="Yu Mincho" w:eastAsia="Yu Mincho" w:cs="Yu Mincho"/>
                <w:b w:val="false"/>
                <w:bCs w:val="false"/>
                <w:i w:val="false"/>
                <w:iCs w:val="false"/>
                <w:color w:val="000000"/>
                <w:sz w:val="18"/>
                <w:szCs w:val="18"/>
              </w:rPr>
              <w:t xml:space="preserve">業務・給与・安定</w:t>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Yu Mincho" w:hAnsi="Yu Mincho" w:eastAsia="Yu Mincho" w:cs="Yu Mincho"/>
                <w:b/>
                <w:bCs/>
                <w:i w:val="false"/>
                <w:iCs w:val="false"/>
                <w:color w:val="000000"/>
                <w:sz w:val="22"/>
                <w:szCs w:val="22"/>
              </w:rPr>
              <w:t xml:space="preserve">▶</w:t>
            </w:r>
          </w:p>
        </w:tc>
        <w:tc>
          <w:tcPr>
            <w:tcW w:type="dxa" w:w="2600"/>
            <w:gridSpan w:val="1"/>
            <w:tcBorders>
              <w:top w:val="single" w:color="595959" w:sz="8"/>
              <w:left w:val="single" w:color="595959" w:sz="8"/>
              <w:bottom w:val="single" w:color="595959" w:sz="8"/>
              <w:right w:val="single" w:color="595959" w:sz="8"/>
            </w:tcBorders>
            <w:shd w:fill="D9D9D9" w:color="auto" w:val="clear"/>
            <w:tcMar>
              <w:top w:type="dxa" w:w="140"/>
              <w:left w:type="dxa" w:w="140"/>
              <w:bottom w:type="dxa" w:w="140"/>
              <w:right w:type="dxa" w:w="140"/>
            </w:tcMar>
          </w:tcPr>
          <w:p>
            <w:pPr>
              <w:spacing w:before="80" w:after="40"/>
              <w:jc w:val="center"/>
            </w:pPr>
            <w:r>
              <w:rPr>
                <w:rFonts w:ascii="Yu Mincho" w:hAnsi="Yu Mincho" w:eastAsia="Yu Mincho" w:cs="Yu Mincho"/>
                <w:b/>
                <w:bCs/>
                <w:i w:val="false"/>
                <w:iCs w:val="false"/>
                <w:color w:val="000000"/>
                <w:sz w:val="24"/>
                <w:szCs w:val="24"/>
              </w:rPr>
              <w:t xml:space="preserve">予算・ルール・根拠</w:t>
            </w:r>
          </w:p>
          <w:p>
            <w:pPr>
              <w:spacing w:before="0" w:after="80"/>
              <w:jc w:val="center"/>
            </w:pPr>
            <w:r>
              <w:rPr>
                <w:rFonts w:ascii="Yu Mincho" w:hAnsi="Yu Mincho" w:eastAsia="Yu Mincho" w:cs="Yu Mincho"/>
                <w:b w:val="false"/>
                <w:bCs w:val="false"/>
                <w:i w:val="false"/>
                <w:iCs w:val="false"/>
                <w:color w:val="000000"/>
                <w:sz w:val="18"/>
                <w:szCs w:val="18"/>
              </w:rPr>
              <w:t xml:space="preserve">企業の共通言語</w:t>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Yu Mincho" w:hAnsi="Yu Mincho" w:eastAsia="Yu Mincho" w:cs="Yu Mincho"/>
                <w:b/>
                <w:bCs/>
                <w:i w:val="false"/>
                <w:iCs w:val="false"/>
                <w:color w:val="000000"/>
                <w:sz w:val="22"/>
                <w:szCs w:val="22"/>
              </w:rPr>
              <w:t xml:space="preserve">◀</w:t>
            </w:r>
          </w:p>
        </w:tc>
        <w:tc>
          <w:tcPr>
            <w:tcW w:type="dxa" w:w="2400"/>
            <w:gridSpan w:val="1"/>
            <w:tcBorders>
              <w:top w:val="single" w:color="595959" w:sz="8"/>
              <w:left w:val="single" w:color="595959" w:sz="8"/>
              <w:bottom w:val="single" w:color="595959" w:sz="8"/>
              <w:right w:val="single" w:color="595959" w:sz="8"/>
            </w:tcBorders>
            <w:shd w:fill="F2F2F2" w:color="auto" w:val="clear"/>
            <w:tcMar>
              <w:top w:type="dxa" w:w="140"/>
              <w:left w:type="dxa" w:w="140"/>
              <w:bottom w:type="dxa" w:w="140"/>
              <w:right w:type="dxa" w:w="140"/>
            </w:tcMar>
          </w:tcPr>
          <w:p>
            <w:pPr>
              <w:spacing w:before="80" w:after="40"/>
              <w:jc w:val="center"/>
            </w:pPr>
            <w:r>
              <w:rPr>
                <w:rFonts w:ascii="Yu Mincho" w:hAnsi="Yu Mincho" w:eastAsia="Yu Mincho" w:cs="Yu Mincho"/>
                <w:b/>
                <w:bCs/>
                <w:i w:val="false"/>
                <w:iCs w:val="false"/>
                <w:color w:val="000000"/>
                <w:sz w:val="22"/>
                <w:szCs w:val="22"/>
              </w:rPr>
              <w:t xml:space="preserve">顧客</w:t>
            </w:r>
          </w:p>
          <w:p>
            <w:pPr>
              <w:spacing w:before="0" w:after="80"/>
              <w:jc w:val="center"/>
            </w:pPr>
            <w:r>
              <w:rPr>
                <w:rFonts w:ascii="Yu Mincho" w:hAnsi="Yu Mincho" w:eastAsia="Yu Mincho" w:cs="Yu Mincho"/>
                <w:b w:val="false"/>
                <w:bCs w:val="false"/>
                <w:i w:val="false"/>
                <w:iCs w:val="false"/>
                <w:color w:val="000000"/>
                <w:sz w:val="18"/>
                <w:szCs w:val="18"/>
              </w:rPr>
              <w:t xml:space="preserve">価値・信頼・需要</w:t>
            </w:r>
          </w:p>
        </w:tc>
      </w:tr>
      <w:tr>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c>
          <w:tcPr>
            <w:tcW w:type="dxa" w:w="2600"/>
            <w:gridSpan w:val="1"/>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Yu Mincho" w:hAnsi="Yu Mincho" w:eastAsia="Yu Mincho" w:cs="Yu Mincho"/>
                <w:b/>
                <w:bCs/>
                <w:i w:val="false"/>
                <w:iCs w:val="false"/>
                <w:color w:val="000000"/>
                <w:sz w:val="30"/>
                <w:szCs w:val="30"/>
              </w:rPr>
              <w:t xml:space="preserve">▼</w:t>
            </w:r>
          </w:p>
        </w:tc>
        <w:tc>
          <w:tcPr>
            <w:tcW w:type="dxa" w:w="6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c>
          <w:tcPr>
            <w:tcW w:type="dxa" w:w="2400"/>
            <w:gridSpan w:val="1"/>
            <w:tcBorders>
              <w:top w:val="nil" w:color="FFFFFF" w:sz="0"/>
              <w:left w:val="nil" w:color="FFFFFF" w:sz="0"/>
              <w:bottom w:val="nil" w:color="FFFFFF" w:sz="0"/>
              <w:right w:val="nil" w:color="FFFFFF" w:sz="0"/>
            </w:tcBorders>
            <w:tcMar>
              <w:top w:type="dxa" w:w="20"/>
              <w:left w:type="dxa" w:w="40"/>
              <w:bottom w:type="dxa" w:w="20"/>
              <w:right w:type="dxa" w:w="40"/>
            </w:tcMar>
          </w:tcPr>
          <w:p>
            <w:r>
              <w:rPr>
                <w:rFonts w:ascii="Yu Mincho" w:hAnsi="Yu Mincho" w:eastAsia="Yu Mincho" w:cs="Yu Mincho"/>
                <w:b w:val="false"/>
                <w:bCs w:val="false"/>
                <w:i w:val="false"/>
                <w:iCs w:val="false"/>
                <w:color w:val="000000"/>
                <w:sz w:val="22"/>
                <w:szCs w:val="22"/>
              </w:rPr>
              <w:t xml:space="preserve"/>
            </w:r>
          </w:p>
        </w:tc>
      </w:tr>
      <w:tr>
        <w:tc>
          <w:tcPr>
            <w:tcW w:type="dxa" w:w="8600"/>
            <w:gridSpan w:val="5"/>
            <w:tcBorders>
              <w:top w:val="single" w:color="595959" w:sz="8"/>
              <w:left w:val="single" w:color="595959" w:sz="8"/>
              <w:bottom w:val="single" w:color="595959" w:sz="8"/>
              <w:right w:val="single" w:color="595959" w:sz="8"/>
            </w:tcBorders>
            <w:shd w:fill="E7E6E6" w:color="auto" w:val="clear"/>
            <w:tcMar>
              <w:top w:type="dxa" w:w="140"/>
              <w:left w:type="dxa" w:w="140"/>
              <w:bottom w:type="dxa" w:w="140"/>
              <w:right w:type="dxa" w:w="140"/>
            </w:tcMar>
          </w:tcPr>
          <w:p>
            <w:pPr>
              <w:spacing w:before="80" w:after="40"/>
              <w:jc w:val="center"/>
            </w:pPr>
            <w:r>
              <w:rPr>
                <w:rFonts w:ascii="Yu Mincho" w:hAnsi="Yu Mincho" w:eastAsia="Yu Mincho" w:cs="Yu Mincho"/>
                <w:b/>
                <w:bCs/>
                <w:i w:val="false"/>
                <w:iCs w:val="false"/>
                <w:color w:val="000000"/>
                <w:sz w:val="22"/>
                <w:szCs w:val="22"/>
              </w:rPr>
              <w:t xml:space="preserve">製品・サービス・価値</w:t>
            </w:r>
          </w:p>
          <w:p>
            <w:pPr>
              <w:spacing w:before="0" w:after="80"/>
              <w:jc w:val="center"/>
            </w:pPr>
            <w:r>
              <w:rPr>
                <w:rFonts w:ascii="Yu Mincho" w:hAnsi="Yu Mincho" w:eastAsia="Yu Mincho" w:cs="Yu Mincho"/>
                <w:b w:val="false"/>
                <w:bCs w:val="false"/>
                <w:i w:val="false"/>
                <w:iCs w:val="false"/>
                <w:color w:val="000000"/>
                <w:sz w:val="18"/>
                <w:szCs w:val="18"/>
              </w:rPr>
              <w:t xml:space="preserve">企業が創造し提供するもの</w:t>
            </w:r>
          </w:p>
        </w:tc>
      </w:tr>
      <w:tr>
        <w:tc>
          <w:tcPr>
            <w:tcW w:type="dxa" w:w="8600"/>
            <w:gridSpan w:val="5"/>
            <w:tcBorders>
              <w:top w:val="nil" w:color="FFFFFF" w:sz="0"/>
              <w:left w:val="nil" w:color="FFFFFF" w:sz="0"/>
              <w:bottom w:val="nil" w:color="FFFFFF" w:sz="0"/>
              <w:right w:val="nil" w:color="FFFFFF" w:sz="0"/>
            </w:tcBorders>
            <w:tcMar>
              <w:top w:type="dxa" w:w="20"/>
              <w:left w:type="dxa" w:w="40"/>
              <w:bottom w:type="dxa" w:w="20"/>
              <w:right w:type="dxa" w:w="40"/>
            </w:tcMar>
          </w:tcPr>
          <w:p>
            <w:pPr>
              <w:spacing w:before="40" w:after="40"/>
              <w:jc w:val="center"/>
            </w:pPr>
            <w:r>
              <w:rPr>
                <w:rFonts w:ascii="Yu Mincho" w:hAnsi="Yu Mincho" w:eastAsia="Yu Mincho" w:cs="Yu Mincho"/>
                <w:b/>
                <w:bCs/>
                <w:i w:val="false"/>
                <w:iCs w:val="false"/>
                <w:color w:val="000000"/>
                <w:sz w:val="30"/>
                <w:szCs w:val="30"/>
              </w:rPr>
              <w:t xml:space="preserve">▼</w:t>
            </w:r>
          </w:p>
        </w:tc>
      </w:tr>
      <w:tr>
        <w:tc>
          <w:tcPr>
            <w:tcW w:type="dxa" w:w="8600"/>
            <w:gridSpan w:val="5"/>
            <w:tcBorders>
              <w:top w:val="single" w:color="595959" w:sz="8"/>
              <w:left w:val="single" w:color="595959" w:sz="8"/>
              <w:bottom w:val="single" w:color="595959" w:sz="8"/>
              <w:right w:val="single" w:color="595959" w:sz="8"/>
            </w:tcBorders>
            <w:shd w:fill="F2F2F2" w:color="auto" w:val="clear"/>
            <w:tcMar>
              <w:top w:type="dxa" w:w="140"/>
              <w:left w:type="dxa" w:w="140"/>
              <w:bottom w:type="dxa" w:w="140"/>
              <w:right w:type="dxa" w:w="140"/>
            </w:tcMar>
          </w:tcPr>
          <w:p>
            <w:pPr>
              <w:spacing w:before="80" w:after="40"/>
              <w:jc w:val="center"/>
            </w:pPr>
            <w:r>
              <w:rPr>
                <w:rFonts w:ascii="Yu Mincho" w:hAnsi="Yu Mincho" w:eastAsia="Yu Mincho" w:cs="Yu Mincho"/>
                <w:b/>
                <w:bCs/>
                <w:i w:val="false"/>
                <w:iCs w:val="false"/>
                <w:color w:val="000000"/>
                <w:sz w:val="22"/>
                <w:szCs w:val="22"/>
              </w:rPr>
              <w:t xml:space="preserve">収益・成長・イノベーション</w:t>
            </w:r>
          </w:p>
          <w:p>
            <w:pPr>
              <w:spacing w:before="0" w:after="80"/>
              <w:jc w:val="center"/>
            </w:pPr>
            <w:r>
              <w:rPr>
                <w:rFonts w:ascii="Yu Mincho" w:hAnsi="Yu Mincho" w:eastAsia="Yu Mincho" w:cs="Yu Mincho"/>
                <w:b w:val="false"/>
                <w:bCs w:val="false"/>
                <w:i w:val="false"/>
                <w:iCs w:val="false"/>
                <w:color w:val="000000"/>
                <w:sz w:val="18"/>
                <w:szCs w:val="18"/>
              </w:rPr>
              <w:t xml:space="preserve">投資家・従業員・顧客へ還元される成果</w:t>
            </w:r>
          </w:p>
        </w:tc>
      </w:tr>
      <w:tr>
        <w:tc>
          <w:tcPr>
            <w:tcW w:type="dxa" w:w="8600"/>
            <w:gridSpan w:val="5"/>
            <w:tcBorders>
              <w:top w:val="nil" w:color="FFFFFF" w:sz="0"/>
              <w:left w:val="nil" w:color="FFFFFF" w:sz="0"/>
              <w:bottom w:val="nil" w:color="FFFFFF" w:sz="0"/>
              <w:right w:val="nil" w:color="FFFFFF" w:sz="0"/>
            </w:tcBorders>
            <w:tcMar>
              <w:top w:type="dxa" w:w="60"/>
              <w:left w:type="dxa" w:w="40"/>
              <w:bottom w:type="dxa" w:w="60"/>
              <w:right w:type="dxa" w:w="40"/>
            </w:tcMar>
          </w:tcPr>
          <w:p>
            <w:pPr>
              <w:spacing w:before="120" w:after="40"/>
              <w:jc w:val="center"/>
            </w:pPr>
            <w:r>
              <w:rPr>
                <w:rFonts w:ascii="Yu Mincho" w:hAnsi="Yu Mincho" w:eastAsia="Yu Mincho" w:cs="Yu Mincho"/>
                <w:b w:val="false"/>
                <w:bCs w:val="false"/>
                <w:i/>
                <w:iCs/>
                <w:color w:val="000000"/>
                <w:sz w:val="18"/>
                <w:szCs w:val="18"/>
              </w:rPr>
              <w:t xml:space="preserve">↻   サイクルは循環を続け、投資家・従業員・顧客へと還ってゆきます   ↻</w:t>
            </w:r>
          </w:p>
        </w:tc>
      </w:tr>
    </w:tbl>
    <w:p>
      <w:pPr>
        <w:spacing w:before="140" w:after="280"/>
        <w:jc w:val="center"/>
      </w:pPr>
      <w:r>
        <w:rPr>
          <w:rFonts w:ascii="Yu Mincho" w:hAnsi="Yu Mincho" w:eastAsia="Yu Mincho" w:cs="Yu Mincho"/>
          <w:b w:val="false"/>
          <w:bCs w:val="false"/>
          <w:i/>
          <w:iCs/>
          <w:color w:val="000000"/>
          <w:sz w:val="18"/>
          <w:szCs w:val="18"/>
        </w:rPr>
        <w:t xml:space="preserve">システムの各要素は相互に依存しており、持続可能な企業は、すべての要素が時を経てもバランスを保てるよう設計されている。</w:t>
      </w:r>
    </w:p>
    <w:p>
      <w:pPr>
        <w:spacing w:before="280" w:after="100"/>
      </w:pPr>
      <w:r>
        <w:rPr>
          <w:rFonts w:ascii="Yu Mincho" w:hAnsi="Yu Mincho" w:eastAsia="Yu Mincho" w:cs="Yu Mincho"/>
          <w:b/>
          <w:bCs/>
          <w:i w:val="false"/>
          <w:iCs w:val="false"/>
          <w:color w:val="000000"/>
          <w:sz w:val="26"/>
          <w:szCs w:val="26"/>
        </w:rPr>
        <w:t xml:space="preserve">予算、信頼、そして長期的な意思決定</w:t>
      </w:r>
    </w:p>
    <w:p>
      <w:pPr>
        <w:spacing w:after="160" w:line="320"/>
        <w:jc w:val="both"/>
      </w:pPr>
      <w:r>
        <w:rPr>
          <w:rFonts w:ascii="Yu Mincho" w:hAnsi="Yu Mincho" w:eastAsia="Yu Mincho" w:cs="Yu Mincho"/>
          <w:b w:val="false"/>
          <w:bCs w:val="false"/>
          <w:i w:val="false"/>
          <w:iCs w:val="false"/>
          <w:color w:val="000000"/>
          <w:sz w:val="22"/>
          <w:szCs w:val="22"/>
        </w:rPr>
        <w:t xml:space="preserve">もう一つの重要な気づきは、予算が単なる財務文書をはるかに超えた意味を持つということでございました。予算とは、企業が自らの将来をどう捉え、どのようにそこへ向かおうとしているかを伝える、共通の言語であると理解いたしました。</w:t>
      </w:r>
    </w:p>
    <w:p>
      <w:pPr>
        <w:spacing w:after="160" w:line="320"/>
        <w:jc w:val="both"/>
      </w:pPr>
      <w:r>
        <w:rPr>
          <w:rFonts w:ascii="Yu Mincho" w:hAnsi="Yu Mincho" w:eastAsia="Yu Mincho" w:cs="Yu Mincho"/>
          <w:b w:val="false"/>
          <w:bCs w:val="false"/>
          <w:i w:val="false"/>
          <w:iCs w:val="false"/>
          <w:color w:val="000000"/>
          <w:sz w:val="22"/>
          <w:szCs w:val="22"/>
        </w:rPr>
        <w:t xml:space="preserve">投資家は、企業がその約束を守るに足るかどうかを判断するために予算を見ます。従業員は優先順位や方向性を理解するために予算を見ます。経営はその双方に関わる意思決定のために予算を用います。数字がどのように算出されたか、どのような前提に基づいているか、そして時を経てどのように推移してきたか、その明確な根拠を示すことができる企業は、自らに関わるすべての人々の信頼を得ることができる、ということを学びました。</w:t>
      </w:r>
    </w:p>
    <w:p>
      <w:pPr>
        <w:spacing w:after="160" w:line="320"/>
        <w:jc w:val="both"/>
      </w:pPr>
      <w:r>
        <w:rPr>
          <w:rFonts w:ascii="Yu Mincho" w:hAnsi="Yu Mincho" w:eastAsia="Yu Mincho" w:cs="Yu Mincho"/>
          <w:b w:val="false"/>
          <w:bCs w:val="false"/>
          <w:i w:val="false"/>
          <w:iCs w:val="false"/>
          <w:color w:val="000000"/>
          <w:sz w:val="22"/>
          <w:szCs w:val="22"/>
        </w:rPr>
        <w:t xml:space="preserve">同じ原則は、企業がどのように成長していくかというより大きな意思決定にも当てはまります。株式公開、より大きな企業との連携、あるいは独力での成長など、いずれの道も企業の姿を異なる形へと導きますが、いずれも事業が安定し持続可能であることを裏付ける根拠を必要といたします。長期にわたって成功する企業とは、必ずしも最も優れた発想を持つ企業ではなく、長年にわたり一貫性と予測可能性を示すことができる企業である、と感じました。</w:t>
      </w:r>
    </w:p>
    <w:p>
      <w:pPr>
        <w:spacing w:before="280" w:after="100"/>
      </w:pPr>
      <w:r>
        <w:rPr>
          <w:rFonts w:ascii="Yu Mincho" w:hAnsi="Yu Mincho" w:eastAsia="Yu Mincho" w:cs="Yu Mincho"/>
          <w:b/>
          <w:bCs/>
          <w:i w:val="false"/>
          <w:iCs w:val="false"/>
          <w:color w:val="000000"/>
          <w:sz w:val="26"/>
          <w:szCs w:val="26"/>
        </w:rPr>
        <w:t xml:space="preserve">異なる立場と時間軸のバランスをとる</w:t>
      </w:r>
    </w:p>
    <w:p>
      <w:pPr>
        <w:spacing w:after="160" w:line="320"/>
        <w:jc w:val="both"/>
      </w:pPr>
      <w:r>
        <w:rPr>
          <w:rFonts w:ascii="Yu Mincho" w:hAnsi="Yu Mincho" w:eastAsia="Yu Mincho" w:cs="Yu Mincho"/>
          <w:b w:val="false"/>
          <w:bCs w:val="false"/>
          <w:i w:val="false"/>
          <w:iCs w:val="false"/>
          <w:color w:val="000000"/>
          <w:sz w:val="22"/>
          <w:szCs w:val="22"/>
        </w:rPr>
        <w:t xml:space="preserve">もう一つ強く心に残った教えは、企業に関わるそれぞれの立場が、自然と異なる時間軸で物事を捉えているということでございました。</w:t>
      </w:r>
    </w:p>
    <w:p>
      <w:pPr>
        <w:spacing w:after="160" w:line="320"/>
        <w:jc w:val="both"/>
      </w:pPr>
      <w:r>
        <w:rPr>
          <w:rFonts w:ascii="Yu Mincho" w:hAnsi="Yu Mincho" w:eastAsia="Yu Mincho" w:cs="Yu Mincho"/>
          <w:b w:val="false"/>
          <w:bCs w:val="false"/>
          <w:i w:val="false"/>
          <w:iCs w:val="false"/>
          <w:color w:val="000000"/>
          <w:sz w:val="22"/>
          <w:szCs w:val="22"/>
        </w:rPr>
        <w:t xml:space="preserve">投資家は、資本にはリスクが伴い、相応の期間内にリターンが求められるため、比較的短い時間軸で物事を考えます。一方で従業員は、キャリアや生活の安定が長い年月にわたる重要事項であるため、長い時間軸で考えます。どちらの見方も誤っているわけではなく、同じ企業を異なる視点から見ているにすぎません。経営の務めは、その両方を尊重した形で企業を設計し、投資家にとって十分に着実な成長を保ちつつ、従業員にとっても十分に安定した環境を保つことにあると理解いたしました。</w:t>
      </w:r>
    </w:p>
    <w:p>
      <w:pPr>
        <w:spacing w:after="160" w:line="320"/>
        <w:jc w:val="both"/>
      </w:pPr>
      <w:r>
        <w:rPr>
          <w:rFonts w:ascii="Yu Mincho" w:hAnsi="Yu Mincho" w:eastAsia="Yu Mincho" w:cs="Yu Mincho"/>
          <w:b w:val="false"/>
          <w:bCs w:val="false"/>
          <w:i w:val="false"/>
          <w:iCs w:val="false"/>
          <w:color w:val="000000"/>
          <w:sz w:val="22"/>
          <w:szCs w:val="22"/>
        </w:rPr>
        <w:t xml:space="preserve">それぞれの役割にふさわしい報酬のあり方についてのお話も、この点をさらに明確にしてくれました。個人の貢献が直接的に測定可能な成果を生み出す役割は、成果に応じた報酬がふさわしく、一方で安定性と継続性が最も重要となる役割は、変動の少ない確実な報酬の方がふさわしい、ということを学びました。最も印象に残ったのは、報酬制度の設計が単に努力に報いるためのものではなく、それぞれの役割を、その役割が生み出す価値の性質と整合させるための仕組みであり、それによって企業が公平かつ持続的に成長できる、という考え方でございました。</w:t>
      </w:r>
    </w:p>
    <w:p>
      <w:pPr>
        <w:spacing w:before="280" w:after="100"/>
      </w:pPr>
      <w:r>
        <w:rPr>
          <w:rFonts w:ascii="Yu Mincho" w:hAnsi="Yu Mincho" w:eastAsia="Yu Mincho" w:cs="Yu Mincho"/>
          <w:b/>
          <w:bCs/>
          <w:i w:val="false"/>
          <w:iCs w:val="false"/>
          <w:color w:val="000000"/>
          <w:sz w:val="26"/>
          <w:szCs w:val="26"/>
        </w:rPr>
        <w:t xml:space="preserve">私自身の振り返り</w:t>
      </w:r>
    </w:p>
    <w:p>
      <w:pPr>
        <w:spacing w:after="160" w:line="320"/>
        <w:jc w:val="both"/>
      </w:pPr>
      <w:r>
        <w:rPr>
          <w:rFonts w:ascii="Yu Mincho" w:hAnsi="Yu Mincho" w:eastAsia="Yu Mincho" w:cs="Yu Mincho"/>
          <w:b w:val="false"/>
          <w:bCs w:val="false"/>
          <w:i w:val="false"/>
          <w:iCs w:val="false"/>
          <w:color w:val="000000"/>
          <w:sz w:val="22"/>
          <w:szCs w:val="22"/>
        </w:rPr>
        <w:t xml:space="preserve">今回の議論から最も強く受け取ったのは、一つひとつの意思決定だけを見るのではなく、それが影響を及ぼす全体のシステムを見ることの大切さでございました。</w:t>
      </w:r>
    </w:p>
    <w:p>
      <w:pPr>
        <w:spacing w:after="160" w:line="320"/>
        <w:jc w:val="both"/>
      </w:pPr>
      <w:r>
        <w:rPr>
          <w:rFonts w:ascii="Yu Mincho" w:hAnsi="Yu Mincho" w:eastAsia="Yu Mincho" w:cs="Yu Mincho"/>
          <w:b w:val="false"/>
          <w:bCs w:val="false"/>
          <w:i w:val="false"/>
          <w:iCs w:val="false"/>
          <w:color w:val="000000"/>
          <w:sz w:val="22"/>
          <w:szCs w:val="22"/>
        </w:rPr>
        <w:t xml:space="preserve">日々、技術的な実行に集中することの多い立場として、一歩立ち止まり、予算、報酬、投資家、従業員、顧客、成長といったものが一つの大きな絵の中でどう繋がっているのかを俯瞰する機会を得られたことは、大変有意義でございました。いかなる意思決定もそれ単独で存在することはなく、企業の長期的な強さは、明確な思考と根拠に支えられた多くの要素間のバランスにかかっているということを、改めて確認いたしました。</w:t>
      </w:r>
    </w:p>
    <w:p>
      <w:pPr>
        <w:spacing w:after="160" w:line="320"/>
        <w:jc w:val="both"/>
      </w:pPr>
      <w:r>
        <w:rPr>
          <w:rFonts w:ascii="Yu Mincho" w:hAnsi="Yu Mincho" w:eastAsia="Yu Mincho" w:cs="Yu Mincho"/>
          <w:b w:val="false"/>
          <w:bCs w:val="false"/>
          <w:i w:val="false"/>
          <w:iCs w:val="false"/>
          <w:color w:val="000000"/>
          <w:sz w:val="22"/>
          <w:szCs w:val="22"/>
        </w:rPr>
        <w:t xml:space="preserve">より広い視点でとらえれば、持続可能な成長とは、一つの製品、一つの意思決定、あるいは一時期の好調によってもたらされるものではなく、企業に関わるすべての人々に対して公平であり、健全な根拠に支えられ、そして時を経ても揺るがない構造として企業を設計していくことから生まれるものであると感じました。</w:t>
      </w:r>
    </w:p>
    <w:p>
      <w:pPr>
        <w:spacing w:after="160" w:line="320"/>
        <w:jc w:val="both"/>
      </w:pPr>
      <w:r>
        <w:rPr>
          <w:rFonts w:ascii="Yu Mincho" w:hAnsi="Yu Mincho" w:eastAsia="Yu Mincho" w:cs="Yu Mincho"/>
          <w:b w:val="false"/>
          <w:bCs w:val="false"/>
          <w:i w:val="false"/>
          <w:iCs w:val="false"/>
          <w:color w:val="000000"/>
          <w:sz w:val="22"/>
          <w:szCs w:val="22"/>
        </w:rPr>
        <w:t xml:space="preserve">改めまして、貴重なご経験と知見をご共有いただきましたこと、心より御礼申し上げます。今回の議論で得た学びは、これからの私のビジネスや意思決定、そして長く残るものを築いていくという長期的な仕事への向き合い方を、引き続き形づくってゆくものと考えております。</w:t>
      </w:r>
    </w:p>
    <w:p>
      <w:pPr>
        <w:spacing w:before="240"/>
      </w:pPr>
      <w:r>
        <w:rPr>
          <w:rFonts w:ascii="Yu Mincho" w:hAnsi="Yu Mincho" w:eastAsia="Yu Mincho" w:cs="Yu Mincho"/>
          <w:b w:val="false"/>
          <w:bCs w:val="false"/>
          <w:i w:val="false"/>
          <w:iCs w:val="false"/>
          <w:color w:val="000000"/>
          <w:sz w:val="22"/>
          <w:szCs w:val="22"/>
        </w:rPr>
        <w:t xml:space="preserve"/>
      </w:r>
    </w:p>
    <w:p>
      <w:pPr>
        <w:spacing w:after="240"/>
      </w:pPr>
      <w:r>
        <w:rPr>
          <w:rFonts w:ascii="Yu Mincho" w:hAnsi="Yu Mincho" w:eastAsia="Yu Mincho" w:cs="Yu Mincho"/>
          <w:b w:val="false"/>
          <w:bCs w:val="false"/>
          <w:i w:val="false"/>
          <w:iCs w:val="false"/>
          <w:color w:val="000000"/>
          <w:sz w:val="22"/>
          <w:szCs w:val="22"/>
        </w:rPr>
        <w:t xml:space="preserve">何卒よろしくお願い申し上げます。</w:t>
      </w:r>
    </w:p>
    <w:p>
      <w:r>
        <w:rPr>
          <w:rFonts w:ascii="Yu Mincho" w:hAnsi="Yu Mincho" w:eastAsia="Yu Mincho" w:cs="Yu Mincho"/>
          <w:b/>
          <w:bCs/>
          <w:i w:val="false"/>
          <w:iCs w:val="false"/>
          <w:color w:val="000000"/>
          <w:sz w:val="22"/>
          <w:szCs w:val="22"/>
        </w:rPr>
        <w:t xml:space="preserve">アンブロース・アランダ</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hAnsi="Yu Mincho" w:eastAsia="Yu Mincho" w:cs="Yu Mincho"/>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予算、バランス、そして持続可能な企業づくりに関する考察（2026年5月29日）</dc:title>
  <dc:creator>Ambrose Alanda</dc:creator>
  <cp:lastModifiedBy>Un-named</cp:lastModifiedBy>
  <cp:revision>1</cp:revision>
  <dcterms:created xsi:type="dcterms:W3CDTF">2026-05-31T20:04:46.394Z</dcterms:created>
  <dcterms:modified xsi:type="dcterms:W3CDTF">2026-05-31T20:04:46.394Z</dcterms:modified>
</cp:coreProperties>
</file>

<file path=docProps/custom.xml><?xml version="1.0" encoding="utf-8"?>
<Properties xmlns="http://schemas.openxmlformats.org/officeDocument/2006/custom-properties" xmlns:vt="http://schemas.openxmlformats.org/officeDocument/2006/docPropsVTypes"/>
</file>