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Calibri" w:cs="Calibri" w:eastAsia="Calibri" w:hAnsi="Calibri"/>
          <w:b/>
          <w:bCs/>
          <w:color w:val="1F3864"/>
          <w:sz w:val="36"/>
          <w:szCs w:val="36"/>
        </w:rPr>
        <w:t xml:space="preserve">Reflection Report on Budget, Balance, and the Architecture of Sustainable Companies</w:t>
      </w:r>
    </w:p>
    <w:p>
      <w:pPr>
        <w:spacing w:after="360"/>
        <w:jc w:val="center"/>
      </w:pPr>
      <w:r>
        <w:rPr>
          <w:rFonts w:ascii="Calibri" w:cs="Calibri" w:eastAsia="Calibri" w:hAnsi="Calibri"/>
          <w:i/>
          <w:iCs/>
          <w:color w:val="595959"/>
          <w:sz w:val="22"/>
          <w:szCs w:val="22"/>
        </w:rPr>
        <w:t xml:space="preserve">Executive Session — 29 May 2026</w:t>
      </w:r>
    </w:p>
    <w:p>
      <w:pPr>
        <w:spacing w:after="120" w:line="300"/>
        <w:jc w:val="both"/>
      </w:pPr>
      <w:r>
        <w:rPr>
          <w:rFonts w:ascii="Calibri" w:cs="Calibri" w:eastAsia="Calibri" w:hAnsi="Calibri"/>
          <w:b w:val="false"/>
          <w:bCs w:val="false"/>
          <w:i w:val="false"/>
          <w:iCs w:val="false"/>
          <w:sz w:val="22"/>
          <w:szCs w:val="22"/>
        </w:rPr>
        <w:t xml:space="preserve">Dear Mr. Watanabe,</w:t>
      </w:r>
    </w:p>
    <w:p>
      <w:pPr>
        <w:spacing w:after="120" w:line="300"/>
        <w:jc w:val="both"/>
      </w:pPr>
      <w:r>
        <w:rPr>
          <w:rFonts w:ascii="Calibri" w:cs="Calibri" w:eastAsia="Calibri" w:hAnsi="Calibri"/>
          <w:b w:val="false"/>
          <w:bCs w:val="false"/>
          <w:i w:val="false"/>
          <w:iCs w:val="false"/>
          <w:sz w:val="22"/>
          <w:szCs w:val="22"/>
        </w:rPr>
        <w:t xml:space="preserve">Thank you for the time you invested in our recent executive session and for the openness with which you shared the principles behind how a company should be designed, evaluated, and held together over time. What follows is not a summary of the meeting; it is a record of what I learned, written in my own words and through my own perspective as I continue to grow beyond a purely technical view of our work.</w:t>
      </w:r>
    </w:p>
    <w:p>
      <w:pPr>
        <w:spacing w:before="240" w:after="100"/>
      </w:pPr>
      <w:r>
        <w:rPr>
          <w:rFonts w:ascii="Calibri" w:cs="Calibri" w:eastAsia="Calibri" w:hAnsi="Calibri"/>
          <w:b/>
          <w:bCs/>
          <w:color w:val="1F3864"/>
          <w:sz w:val="26"/>
          <w:szCs w:val="26"/>
        </w:rPr>
        <w:t xml:space="preserve">Budget as a Shared Language</w:t>
      </w:r>
    </w:p>
    <w:p>
      <w:pPr>
        <w:spacing w:after="120" w:line="300"/>
        <w:jc w:val="both"/>
      </w:pPr>
      <w:r>
        <w:rPr>
          <w:rFonts w:ascii="Calibri" w:cs="Calibri" w:eastAsia="Calibri" w:hAnsi="Calibri"/>
          <w:b w:val="false"/>
          <w:bCs w:val="false"/>
          <w:i w:val="false"/>
          <w:iCs w:val="false"/>
          <w:sz w:val="22"/>
          <w:szCs w:val="22"/>
        </w:rPr>
        <w:t xml:space="preserve">One of the strongest lessons was that a budget is not a financial document. It is the shared language through which an entire organisation aligns on what is real, what is possible, and what is supported by evidence. As we move into the new structure on 1 June, I now see why this alignment matters so much: without it, we cannot honestly speak about our runway, our priorities, or the costs we should and should not be carrying. Decisions without budget become opinions; decisions with budget become proposals.</w:t>
      </w:r>
    </w:p>
    <w:p>
      <w:pPr>
        <w:spacing w:before="240" w:after="100"/>
      </w:pPr>
      <w:r>
        <w:rPr>
          <w:rFonts w:ascii="Calibri" w:cs="Calibri" w:eastAsia="Calibri" w:hAnsi="Calibri"/>
          <w:b/>
          <w:bCs/>
          <w:color w:val="1F3864"/>
          <w:sz w:val="26"/>
          <w:szCs w:val="26"/>
        </w:rPr>
        <w:t xml:space="preserve">Selling, IPO, and the Two Designs of a Company</w:t>
      </w:r>
    </w:p>
    <w:p>
      <w:pPr>
        <w:spacing w:after="120" w:line="300"/>
        <w:jc w:val="both"/>
      </w:pPr>
      <w:r>
        <w:rPr>
          <w:rFonts w:ascii="Calibri" w:cs="Calibri" w:eastAsia="Calibri" w:hAnsi="Calibri"/>
          <w:b w:val="false"/>
          <w:bCs w:val="false"/>
          <w:i w:val="false"/>
          <w:iCs w:val="false"/>
          <w:sz w:val="22"/>
          <w:szCs w:val="22"/>
        </w:rPr>
        <w:t xml:space="preserve">I had not previously thought carefully about how the choice of exit shapes the entire design of a company from day one. A company built to grow for thirty years is fundamentally different from one built to be sold in five. I learned that an IPO can preserve the leadership layer, while a sale to a larger company or a fund often removes it — and that funds are known to reduce salaries quickly to inflate margins before reselling. This clarified for me why decisions about share structure and time horizon must be made early, deliberately, and with everyone aligned, not as an afterthought.</w:t>
      </w:r>
    </w:p>
    <w:p>
      <w:pPr>
        <w:spacing w:before="280" w:after="160"/>
        <w:jc w:val="center"/>
      </w:pPr>
      <w:r>
        <w:rPr>
          <w:rFonts w:ascii="Calibri" w:cs="Calibri" w:eastAsia="Calibri" w:hAnsi="Calibri"/>
          <w:b/>
          <w:bCs/>
          <w:i/>
          <w:iCs/>
          <w:color w:val="1F3864"/>
          <w:sz w:val="22"/>
          <w:szCs w:val="22"/>
        </w:rPr>
        <w:t xml:space="preserve">The Company as a System in Balance</w:t>
      </w:r>
    </w:p>
    <w:tbl>
      <w:tblPr>
        <w:tblW w:type="dxa" w:w="6600"/>
        <w:jc w:val="center"/>
        <w:tblBorders>
          <w:top w:val="nil" w:color="FFFFFF" w:sz="0"/>
          <w:left w:val="nil" w:color="FFFFFF" w:sz="0"/>
          <w:bottom w:val="nil" w:color="FFFFFF" w:sz="0"/>
          <w:right w:val="nil" w:color="FFFFFF" w:sz="0"/>
          <w:insideH w:val="nil" w:color="FFFFFF" w:sz="0"/>
          <w:insideV w:val="nil" w:color="FFFFFF" w:sz="0"/>
        </w:tblBorders>
        <w:tblLayout w:type="fixed"/>
      </w:tblPr>
      <w:tblGrid>
        <w:gridCol w:w="100"/>
        <w:gridCol w:w="100"/>
        <w:gridCol w:w="100"/>
        <w:gridCol w:w="100"/>
        <w:gridCol w:w="100"/>
      </w:tblGrid>
      <w:tr>
        <w:tc>
          <w:tcPr>
            <w:tcW w:type="dxa" w:w="15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6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2400"/>
            <w:tcBorders>
              <w:top w:val="single" w:color="1F3864" w:sz="8"/>
              <w:left w:val="single" w:color="1F3864" w:sz="8"/>
              <w:bottom w:val="single" w:color="1F3864" w:sz="8"/>
              <w:right w:val="single" w:color="1F3864" w:sz="8"/>
            </w:tcBorders>
            <w:shd w:fill="D6E4F5" w:color="auto" w:val="clear"/>
            <w:tcMar>
              <w:top w:type="dxa" w:w="120"/>
              <w:left w:type="dxa" w:w="120"/>
              <w:bottom w:type="dxa" w:w="120"/>
              <w:right w:type="dxa" w:w="120"/>
            </w:tcMar>
          </w:tcPr>
          <w:p>
            <w:pPr>
              <w:spacing w:before="60" w:after="40"/>
              <w:jc w:val="center"/>
            </w:pPr>
            <w:r>
              <w:rPr>
                <w:rFonts w:ascii="Calibri" w:cs="Calibri" w:eastAsia="Calibri" w:hAnsi="Calibri"/>
                <w:b/>
                <w:bCs/>
                <w:color w:val="1F3864"/>
                <w:sz w:val="22"/>
                <w:szCs w:val="22"/>
              </w:rPr>
              <w:t xml:space="preserve">MANAGEMENT</w:t>
            </w:r>
          </w:p>
          <w:p>
            <w:pPr>
              <w:spacing w:before="0" w:after="60"/>
              <w:jc w:val="center"/>
            </w:pPr>
            <w:r>
              <w:rPr>
                <w:rFonts w:ascii="Calibri" w:cs="Calibri" w:eastAsia="Calibri" w:hAnsi="Calibri"/>
                <w:color w:val="404040"/>
                <w:sz w:val="18"/>
                <w:szCs w:val="18"/>
              </w:rPr>
              <w:t xml:space="preserve">Holds the Balance</w:t>
            </w:r>
          </w:p>
        </w:tc>
        <w:tc>
          <w:tcPr>
            <w:tcW w:type="dxa" w:w="6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15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r>
      <w:tr>
        <w:tc>
          <w:tcPr>
            <w:tcW w:type="dxa" w:w="15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6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2400"/>
            <w:tcBorders>
              <w:top w:val="nil" w:color="FFFFFF" w:sz="0"/>
              <w:left w:val="nil" w:color="FFFFFF" w:sz="0"/>
              <w:bottom w:val="nil" w:color="FFFFFF" w:sz="0"/>
              <w:right w:val="nil" w:color="FFFFFF" w:sz="0"/>
            </w:tcBorders>
            <w:tcMar>
              <w:top w:type="dxa" w:w="0"/>
              <w:left w:type="dxa" w:w="40"/>
              <w:bottom w:type="dxa" w:w="0"/>
              <w:right w:type="dxa" w:w="40"/>
            </w:tcMar>
          </w:tcPr>
          <w:p>
            <w:pPr>
              <w:spacing w:before="60" w:after="60"/>
              <w:jc w:val="center"/>
            </w:pPr>
            <w:r>
              <w:rPr>
                <w:rFonts w:ascii="Calibri" w:cs="Calibri" w:eastAsia="Calibri" w:hAnsi="Calibri"/>
                <w:b/>
                <w:bCs/>
                <w:color w:val="1F3864"/>
                <w:sz w:val="28"/>
                <w:szCs w:val="28"/>
              </w:rPr>
              <w:t xml:space="preserve">▼</w:t>
            </w:r>
          </w:p>
        </w:tc>
        <w:tc>
          <w:tcPr>
            <w:tcW w:type="dxa" w:w="6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15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r>
      <w:tr>
        <w:tc>
          <w:tcPr>
            <w:tcW w:type="dxa" w:w="1500"/>
            <w:tcBorders>
              <w:top w:val="single" w:color="1F3864" w:sz="8"/>
              <w:left w:val="single" w:color="1F3864" w:sz="8"/>
              <w:bottom w:val="single" w:color="1F3864" w:sz="8"/>
              <w:right w:val="single" w:color="1F3864" w:sz="8"/>
            </w:tcBorders>
            <w:shd w:fill="EAF1FB" w:color="auto" w:val="clear"/>
            <w:tcMar>
              <w:top w:type="dxa" w:w="120"/>
              <w:left w:type="dxa" w:w="120"/>
              <w:bottom w:type="dxa" w:w="120"/>
              <w:right w:type="dxa" w:w="120"/>
            </w:tcMar>
          </w:tcPr>
          <w:p>
            <w:pPr>
              <w:spacing w:before="60" w:after="40"/>
              <w:jc w:val="center"/>
            </w:pPr>
            <w:r>
              <w:rPr>
                <w:rFonts w:ascii="Calibri" w:cs="Calibri" w:eastAsia="Calibri" w:hAnsi="Calibri"/>
                <w:b/>
                <w:bCs/>
                <w:color w:val="1F3864"/>
                <w:sz w:val="22"/>
                <w:szCs w:val="22"/>
              </w:rPr>
              <w:t xml:space="preserve">INVESTORS</w:t>
            </w:r>
          </w:p>
          <w:p>
            <w:pPr>
              <w:spacing w:before="0" w:after="60"/>
              <w:jc w:val="center"/>
            </w:pPr>
            <w:r>
              <w:rPr>
                <w:rFonts w:ascii="Calibri" w:cs="Calibri" w:eastAsia="Calibri" w:hAnsi="Calibri"/>
                <w:color w:val="404040"/>
                <w:sz w:val="18"/>
                <w:szCs w:val="18"/>
              </w:rPr>
              <w:t xml:space="preserve">Capital · Returns · Risk</w:t>
            </w:r>
          </w:p>
        </w:tc>
        <w:tc>
          <w:tcPr>
            <w:tcW w:type="dxa" w:w="600"/>
            <w:tcBorders>
              <w:top w:val="nil" w:color="FFFFFF" w:sz="0"/>
              <w:left w:val="nil" w:color="FFFFFF" w:sz="0"/>
              <w:bottom w:val="nil" w:color="FFFFFF" w:sz="0"/>
              <w:right w:val="nil" w:color="FFFFFF" w:sz="0"/>
            </w:tcBorders>
            <w:tcMar>
              <w:top w:type="dxa" w:w="0"/>
              <w:left w:type="dxa" w:w="40"/>
              <w:bottom w:type="dxa" w:w="0"/>
              <w:right w:type="dxa" w:w="40"/>
            </w:tcMar>
          </w:tcPr>
          <w:p>
            <w:pPr>
              <w:spacing w:before="60" w:after="60"/>
              <w:jc w:val="center"/>
            </w:pPr>
            <w:r>
              <w:rPr>
                <w:rFonts w:ascii="Calibri" w:cs="Calibri" w:eastAsia="Calibri" w:hAnsi="Calibri"/>
                <w:b/>
                <w:bCs/>
                <w:color w:val="1F3864"/>
                <w:sz w:val="28"/>
                <w:szCs w:val="28"/>
              </w:rPr>
              <w:t xml:space="preserve">⇄</w:t>
            </w:r>
          </w:p>
        </w:tc>
        <w:tc>
          <w:tcPr>
            <w:tcW w:type="dxa" w:w="2400"/>
            <w:tcBorders>
              <w:top w:val="single" w:color="1F3864" w:sz="8"/>
              <w:left w:val="single" w:color="1F3864" w:sz="8"/>
              <w:bottom w:val="single" w:color="1F3864" w:sz="8"/>
              <w:right w:val="single" w:color="1F3864" w:sz="8"/>
            </w:tcBorders>
            <w:shd w:fill="D6E4F5" w:color="auto" w:val="clear"/>
            <w:tcMar>
              <w:top w:type="dxa" w:w="120"/>
              <w:left w:type="dxa" w:w="120"/>
              <w:bottom w:type="dxa" w:w="120"/>
              <w:right w:type="dxa" w:w="120"/>
            </w:tcMar>
          </w:tcPr>
          <w:p>
            <w:pPr>
              <w:spacing w:before="60" w:after="40"/>
              <w:jc w:val="center"/>
            </w:pPr>
            <w:r>
              <w:rPr>
                <w:rFonts w:ascii="Calibri" w:cs="Calibri" w:eastAsia="Calibri" w:hAnsi="Calibri"/>
                <w:b/>
                <w:bCs/>
                <w:color w:val="1F3864"/>
                <w:sz w:val="22"/>
                <w:szCs w:val="22"/>
              </w:rPr>
              <w:t xml:space="preserve">BUDGET · RULES · EVIDENCE</w:t>
            </w:r>
          </w:p>
          <w:p>
            <w:pPr>
              <w:spacing w:before="0" w:after="60"/>
              <w:jc w:val="center"/>
            </w:pPr>
            <w:r>
              <w:rPr>
                <w:rFonts w:ascii="Calibri" w:cs="Calibri" w:eastAsia="Calibri" w:hAnsi="Calibri"/>
                <w:color w:val="404040"/>
                <w:sz w:val="18"/>
                <w:szCs w:val="18"/>
              </w:rPr>
              <w:t xml:space="preserve">The Shared Language</w:t>
            </w:r>
          </w:p>
        </w:tc>
        <w:tc>
          <w:tcPr>
            <w:tcW w:type="dxa" w:w="600"/>
            <w:tcBorders>
              <w:top w:val="nil" w:color="FFFFFF" w:sz="0"/>
              <w:left w:val="nil" w:color="FFFFFF" w:sz="0"/>
              <w:bottom w:val="nil" w:color="FFFFFF" w:sz="0"/>
              <w:right w:val="nil" w:color="FFFFFF" w:sz="0"/>
            </w:tcBorders>
            <w:tcMar>
              <w:top w:type="dxa" w:w="0"/>
              <w:left w:type="dxa" w:w="40"/>
              <w:bottom w:type="dxa" w:w="0"/>
              <w:right w:type="dxa" w:w="40"/>
            </w:tcMar>
          </w:tcPr>
          <w:p>
            <w:pPr>
              <w:spacing w:before="60" w:after="60"/>
              <w:jc w:val="center"/>
            </w:pPr>
            <w:r>
              <w:rPr>
                <w:rFonts w:ascii="Calibri" w:cs="Calibri" w:eastAsia="Calibri" w:hAnsi="Calibri"/>
                <w:b/>
                <w:bCs/>
                <w:color w:val="1F3864"/>
                <w:sz w:val="28"/>
                <w:szCs w:val="28"/>
              </w:rPr>
              <w:t xml:space="preserve">⇄</w:t>
            </w:r>
          </w:p>
        </w:tc>
        <w:tc>
          <w:tcPr>
            <w:tcW w:type="dxa" w:w="1500"/>
            <w:tcBorders>
              <w:top w:val="single" w:color="1F3864" w:sz="8"/>
              <w:left w:val="single" w:color="1F3864" w:sz="8"/>
              <w:bottom w:val="single" w:color="1F3864" w:sz="8"/>
              <w:right w:val="single" w:color="1F3864" w:sz="8"/>
            </w:tcBorders>
            <w:shd w:fill="EAF1FB" w:color="auto" w:val="clear"/>
            <w:tcMar>
              <w:top w:type="dxa" w:w="120"/>
              <w:left w:type="dxa" w:w="120"/>
              <w:bottom w:type="dxa" w:w="120"/>
              <w:right w:type="dxa" w:w="120"/>
            </w:tcMar>
          </w:tcPr>
          <w:p>
            <w:pPr>
              <w:spacing w:before="60" w:after="40"/>
              <w:jc w:val="center"/>
            </w:pPr>
            <w:r>
              <w:rPr>
                <w:rFonts w:ascii="Calibri" w:cs="Calibri" w:eastAsia="Calibri" w:hAnsi="Calibri"/>
                <w:b/>
                <w:bCs/>
                <w:color w:val="1F3864"/>
                <w:sz w:val="22"/>
                <w:szCs w:val="22"/>
              </w:rPr>
              <w:t xml:space="preserve">EMPLOYEES</w:t>
            </w:r>
          </w:p>
          <w:p>
            <w:pPr>
              <w:spacing w:before="0" w:after="60"/>
              <w:jc w:val="center"/>
            </w:pPr>
            <w:r>
              <w:rPr>
                <w:rFonts w:ascii="Calibri" w:cs="Calibri" w:eastAsia="Calibri" w:hAnsi="Calibri"/>
                <w:color w:val="404040"/>
                <w:sz w:val="18"/>
                <w:szCs w:val="18"/>
              </w:rPr>
              <w:t xml:space="preserve">Salary · Stability · Growth</w:t>
            </w:r>
          </w:p>
        </w:tc>
      </w:tr>
      <w:tr>
        <w:tc>
          <w:tcPr>
            <w:tcW w:type="dxa" w:w="1500"/>
            <w:tcBorders>
              <w:top w:val="nil" w:color="FFFFFF" w:sz="0"/>
              <w:left w:val="nil" w:color="FFFFFF" w:sz="0"/>
              <w:bottom w:val="nil" w:color="FFFFFF" w:sz="0"/>
              <w:right w:val="nil" w:color="FFFFFF" w:sz="0"/>
            </w:tcBorders>
            <w:tcMar>
              <w:top w:type="dxa" w:w="0"/>
              <w:left w:type="dxa" w:w="40"/>
              <w:bottom w:type="dxa" w:w="0"/>
              <w:right w:type="dxa" w:w="40"/>
            </w:tcMar>
          </w:tcPr>
          <w:p>
            <w:pPr>
              <w:spacing w:before="60" w:after="60"/>
              <w:jc w:val="center"/>
            </w:pPr>
            <w:r>
              <w:rPr>
                <w:rFonts w:ascii="Calibri" w:cs="Calibri" w:eastAsia="Calibri" w:hAnsi="Calibri"/>
                <w:b/>
                <w:bCs/>
                <w:color w:val="1F3864"/>
                <w:sz w:val="28"/>
                <w:szCs w:val="28"/>
              </w:rPr>
              <w:t xml:space="preserve">▼</w:t>
            </w:r>
          </w:p>
        </w:tc>
        <w:tc>
          <w:tcPr>
            <w:tcW w:type="dxa" w:w="6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2400"/>
            <w:tcBorders>
              <w:top w:val="nil" w:color="FFFFFF" w:sz="0"/>
              <w:left w:val="nil" w:color="FFFFFF" w:sz="0"/>
              <w:bottom w:val="nil" w:color="FFFFFF" w:sz="0"/>
              <w:right w:val="nil" w:color="FFFFFF" w:sz="0"/>
            </w:tcBorders>
            <w:tcMar>
              <w:top w:type="dxa" w:w="0"/>
              <w:left w:type="dxa" w:w="40"/>
              <w:bottom w:type="dxa" w:w="0"/>
              <w:right w:type="dxa" w:w="40"/>
            </w:tcMar>
          </w:tcPr>
          <w:p>
            <w:pPr>
              <w:spacing w:before="60" w:after="60"/>
              <w:jc w:val="center"/>
            </w:pPr>
            <w:r>
              <w:rPr>
                <w:rFonts w:ascii="Calibri" w:cs="Calibri" w:eastAsia="Calibri" w:hAnsi="Calibri"/>
                <w:b/>
                <w:bCs/>
                <w:color w:val="1F3864"/>
                <w:sz w:val="28"/>
                <w:szCs w:val="28"/>
              </w:rPr>
              <w:t xml:space="preserve">▼</w:t>
            </w:r>
          </w:p>
        </w:tc>
        <w:tc>
          <w:tcPr>
            <w:tcW w:type="dxa" w:w="600"/>
            <w:tcBorders>
              <w:top w:val="nil" w:color="FFFFFF" w:sz="0"/>
              <w:left w:val="nil" w:color="FFFFFF" w:sz="0"/>
              <w:bottom w:val="nil" w:color="FFFFFF" w:sz="0"/>
              <w:right w:val="nil" w:color="FFFFFF" w:sz="0"/>
            </w:tcBorders>
            <w:tcMar>
              <w:top w:type="dxa" w:w="40"/>
              <w:left w:type="dxa" w:w="40"/>
              <w:bottom w:type="dxa" w:w="40"/>
              <w:right w:type="dxa" w:w="40"/>
            </w:tcMar>
          </w:tcPr>
          <w:p>
            <w:r>
              <w:t xml:space="preserve"/>
            </w:r>
          </w:p>
        </w:tc>
        <w:tc>
          <w:tcPr>
            <w:tcW w:type="dxa" w:w="1500"/>
            <w:tcBorders>
              <w:top w:val="nil" w:color="FFFFFF" w:sz="0"/>
              <w:left w:val="nil" w:color="FFFFFF" w:sz="0"/>
              <w:bottom w:val="nil" w:color="FFFFFF" w:sz="0"/>
              <w:right w:val="nil" w:color="FFFFFF" w:sz="0"/>
            </w:tcBorders>
            <w:tcMar>
              <w:top w:type="dxa" w:w="0"/>
              <w:left w:type="dxa" w:w="40"/>
              <w:bottom w:type="dxa" w:w="0"/>
              <w:right w:type="dxa" w:w="40"/>
            </w:tcMar>
          </w:tcPr>
          <w:p>
            <w:pPr>
              <w:spacing w:before="60" w:after="60"/>
              <w:jc w:val="center"/>
            </w:pPr>
            <w:r>
              <w:rPr>
                <w:rFonts w:ascii="Calibri" w:cs="Calibri" w:eastAsia="Calibri" w:hAnsi="Calibri"/>
                <w:b/>
                <w:bCs/>
                <w:color w:val="1F3864"/>
                <w:sz w:val="28"/>
                <w:szCs w:val="28"/>
              </w:rPr>
              <w:t xml:space="preserve">▼</w:t>
            </w:r>
          </w:p>
        </w:tc>
      </w:tr>
      <w:tr>
        <w:tc>
          <w:tcPr>
            <w:tcW w:type="dxa" w:w="6600"/>
            <w:gridSpan w:val="5"/>
            <w:tcBorders>
              <w:top w:val="single" w:color="1F3864" w:sz="8"/>
              <w:left w:val="single" w:color="1F3864" w:sz="8"/>
              <w:bottom w:val="single" w:color="1F3864" w:sz="8"/>
              <w:right w:val="single" w:color="1F3864" w:sz="8"/>
            </w:tcBorders>
            <w:shd w:fill="EAF1FB" w:color="auto" w:val="clear"/>
            <w:tcMar>
              <w:top w:type="dxa" w:w="140"/>
              <w:left w:type="dxa" w:w="140"/>
              <w:bottom w:type="dxa" w:w="140"/>
              <w:right w:type="dxa" w:w="140"/>
            </w:tcMar>
          </w:tcPr>
          <w:p>
            <w:pPr>
              <w:spacing w:before="80" w:after="40"/>
              <w:jc w:val="center"/>
            </w:pPr>
            <w:r>
              <w:rPr>
                <w:rFonts w:ascii="Calibri" w:cs="Calibri" w:eastAsia="Calibri" w:hAnsi="Calibri"/>
                <w:b/>
                <w:bCs/>
                <w:color w:val="1F3864"/>
                <w:sz w:val="22"/>
                <w:szCs w:val="22"/>
              </w:rPr>
              <w:t xml:space="preserve">VALUE · CUSTOMERS · SUSTAINABLE GROWTH</w:t>
            </w:r>
          </w:p>
          <w:p>
            <w:pPr>
              <w:spacing w:before="0" w:after="80"/>
              <w:jc w:val="center"/>
            </w:pPr>
            <w:r>
              <w:rPr>
                <w:rFonts w:ascii="Calibri" w:cs="Calibri" w:eastAsia="Calibri" w:hAnsi="Calibri"/>
                <w:i/>
                <w:iCs/>
                <w:color w:val="404040"/>
                <w:sz w:val="18"/>
                <w:szCs w:val="18"/>
              </w:rPr>
              <w:t xml:space="preserve">The Outcome of a Balanced System</w:t>
            </w:r>
          </w:p>
        </w:tc>
      </w:tr>
    </w:tbl>
    <w:p>
      <w:pPr>
        <w:spacing w:before="120" w:after="280"/>
        <w:jc w:val="center"/>
      </w:pPr>
      <w:r>
        <w:rPr>
          <w:rFonts w:ascii="Calibri" w:cs="Calibri" w:eastAsia="Calibri" w:hAnsi="Calibri"/>
          <w:i/>
          <w:iCs/>
          <w:color w:val="595959"/>
          <w:sz w:val="18"/>
          <w:szCs w:val="18"/>
        </w:rPr>
        <w:t xml:space="preserve">Every element of this diagram came up in our discussion — and each one only makes sense in relation to the others.</w:t>
      </w:r>
    </w:p>
    <w:p>
      <w:pPr>
        <w:spacing w:before="240" w:after="100"/>
      </w:pPr>
      <w:r>
        <w:rPr>
          <w:rFonts w:ascii="Calibri" w:cs="Calibri" w:eastAsia="Calibri" w:hAnsi="Calibri"/>
          <w:b/>
          <w:bCs/>
          <w:color w:val="1F3864"/>
          <w:sz w:val="26"/>
          <w:szCs w:val="26"/>
        </w:rPr>
        <w:t xml:space="preserve">The Investor – Employee Asymmetry</w:t>
      </w:r>
    </w:p>
    <w:p>
      <w:pPr>
        <w:spacing w:after="120" w:line="300"/>
        <w:jc w:val="both"/>
      </w:pPr>
      <w:r>
        <w:rPr>
          <w:rFonts w:ascii="Calibri" w:cs="Calibri" w:eastAsia="Calibri" w:hAnsi="Calibri"/>
          <w:b w:val="false"/>
          <w:bCs w:val="false"/>
          <w:i w:val="false"/>
          <w:iCs w:val="false"/>
          <w:sz w:val="22"/>
          <w:szCs w:val="22"/>
        </w:rPr>
        <w:t xml:space="preserve">A particularly clarifying lesson was the structural asymmetry between investors and employees. Capital begins the company; salaries are paid from capital; the system therefore inherently starts from the investor’s perspective. The investor seeks returns quickly because life is short and risk is constant. The employee seeks stability and a salary that grows over time. These are not opposing enemies — they are simply different incentives. I now understand that the real work of management is not to side with one or the other, but to design a system in which both can be held honestly.</w:t>
      </w:r>
    </w:p>
    <w:p>
      <w:pPr>
        <w:spacing w:before="240" w:after="100"/>
      </w:pPr>
      <w:r>
        <w:rPr>
          <w:rFonts w:ascii="Calibri" w:cs="Calibri" w:eastAsia="Calibri" w:hAnsi="Calibri"/>
          <w:b/>
          <w:bCs/>
          <w:color w:val="1F3864"/>
          <w:sz w:val="26"/>
          <w:szCs w:val="26"/>
        </w:rPr>
        <w:t xml:space="preserve">Designing Incentives at the Right Layer</w:t>
      </w:r>
    </w:p>
    <w:p>
      <w:pPr>
        <w:spacing w:after="120" w:line="300"/>
        <w:jc w:val="both"/>
      </w:pPr>
      <w:r>
        <w:rPr>
          <w:rFonts w:ascii="Calibri" w:cs="Calibri" w:eastAsia="Calibri" w:hAnsi="Calibri"/>
          <w:b w:val="false"/>
          <w:bCs w:val="false"/>
          <w:i w:val="false"/>
          <w:iCs w:val="false"/>
          <w:sz w:val="22"/>
          <w:szCs w:val="22"/>
        </w:rPr>
        <w:t xml:space="preserve">I appreciated the distinction you drew between sales-style and manufacturing-style incentives, and why one role benefits from variable upside while another is best left stable. The idea of using project-level structures such as LLPs — where teams hold limited shares in a specific project rather than in the whole company — opened a new way of thinking for me. It suggests that incentive design does not have to live only at the company level: it can live at the project level, with calculated risk-sharing on both upside and downside. This is a structure where a developer could fairly participate in the value they create without exposing the company to losses it cannot bear.</w:t>
      </w:r>
    </w:p>
    <w:p>
      <w:pPr>
        <w:spacing w:before="240" w:after="100"/>
      </w:pPr>
      <w:r>
        <w:rPr>
          <w:rFonts w:ascii="Calibri" w:cs="Calibri" w:eastAsia="Calibri" w:hAnsi="Calibri"/>
          <w:b/>
          <w:bCs/>
          <w:color w:val="1F3864"/>
          <w:sz w:val="26"/>
          <w:szCs w:val="26"/>
        </w:rPr>
        <w:t xml:space="preserve">Proposals Must Carry the Weight of Numbers</w:t>
      </w:r>
    </w:p>
    <w:p>
      <w:pPr>
        <w:spacing w:after="120" w:line="300"/>
        <w:jc w:val="both"/>
      </w:pPr>
      <w:r>
        <w:rPr>
          <w:rFonts w:ascii="Calibri" w:cs="Calibri" w:eastAsia="Calibri" w:hAnsi="Calibri"/>
          <w:b w:val="false"/>
          <w:bCs w:val="false"/>
          <w:i w:val="false"/>
          <w:iCs w:val="false"/>
          <w:sz w:val="22"/>
          <w:szCs w:val="22"/>
        </w:rPr>
        <w:t xml:space="preserve">You made it very clear that as future directors, opinions are not enough. Every proposal must arrive supported by equations: the probability of success, the cost of failure, the share of risk, the expected return, and the reasoning behind each figure. I understood that this is not bureaucracy — it is the discipline that turns ideas into trustworthy systems and prevents black-box decision-making. Trust, both from investors and from each other, is built on evidence repeated over time.</w:t>
      </w:r>
    </w:p>
    <w:p>
      <w:pPr>
        <w:spacing w:before="240" w:after="100"/>
      </w:pPr>
      <w:r>
        <w:rPr>
          <w:rFonts w:ascii="Calibri" w:cs="Calibri" w:eastAsia="Calibri" w:hAnsi="Calibri"/>
          <w:b/>
          <w:bCs/>
          <w:color w:val="1F3864"/>
          <w:sz w:val="26"/>
          <w:szCs w:val="26"/>
        </w:rPr>
        <w:t xml:space="preserve">Personal Reflection</w:t>
      </w:r>
    </w:p>
    <w:p>
      <w:pPr>
        <w:spacing w:after="120" w:line="300"/>
        <w:jc w:val="both"/>
      </w:pPr>
      <w:r>
        <w:rPr>
          <w:rFonts w:ascii="Calibri" w:cs="Calibri" w:eastAsia="Calibri" w:hAnsi="Calibri"/>
          <w:b w:val="false"/>
          <w:bCs w:val="false"/>
          <w:i w:val="false"/>
          <w:iCs w:val="false"/>
          <w:sz w:val="22"/>
          <w:szCs w:val="22"/>
        </w:rPr>
        <w:t xml:space="preserve">What stayed with me most is how all of these topics belong to one system. Budget, evidence, investors, employees, incentives, rules, and time horizon are not separate subjects — they are different views of the same question: how do we design a company that is fair to everyone who depends on it, sustainable through time, and honest in how it is evaluated?</w:t>
      </w:r>
    </w:p>
    <w:p>
      <w:pPr>
        <w:spacing w:after="120" w:line="300"/>
        <w:jc w:val="both"/>
      </w:pPr>
      <w:r>
        <w:rPr>
          <w:rFonts w:ascii="Calibri" w:cs="Calibri" w:eastAsia="Calibri" w:hAnsi="Calibri"/>
          <w:b w:val="false"/>
          <w:bCs w:val="false"/>
          <w:i w:val="false"/>
          <w:iCs w:val="false"/>
          <w:sz w:val="22"/>
          <w:szCs w:val="22"/>
        </w:rPr>
        <w:t xml:space="preserve">In my own contribution during the session, I spoke about my interest in formalising win-win programming systems — systems that can be tested, replicated, and left behind as value for society without depending on anyone’s sacrifice. After this discussion, I see more clearly that "win-win" is not a feeling; it is a structure. And that structure begins exactly where you have been guiding us: with numbers, balance, evidence, and rules that hold across time.</w:t>
      </w:r>
    </w:p>
    <w:p>
      <w:pPr>
        <w:spacing w:before="240" w:after="100"/>
      </w:pPr>
      <w:r>
        <w:rPr>
          <w:rFonts w:ascii="Calibri" w:cs="Calibri" w:eastAsia="Calibri" w:hAnsi="Calibri"/>
          <w:b/>
          <w:bCs/>
          <w:color w:val="1F3864"/>
          <w:sz w:val="26"/>
          <w:szCs w:val="26"/>
        </w:rPr>
        <w:t xml:space="preserve">Conclusion</w:t>
      </w:r>
    </w:p>
    <w:p>
      <w:pPr>
        <w:spacing w:after="120" w:line="300"/>
        <w:jc w:val="both"/>
      </w:pPr>
      <w:r>
        <w:rPr>
          <w:rFonts w:ascii="Calibri" w:cs="Calibri" w:eastAsia="Calibri" w:hAnsi="Calibri"/>
          <w:b w:val="false"/>
          <w:bCs w:val="false"/>
          <w:i w:val="false"/>
          <w:iCs w:val="false"/>
          <w:sz w:val="22"/>
          <w:szCs w:val="22"/>
        </w:rPr>
        <w:t xml:space="preserve">This session expanded my view of the company well beyond engineering. I now see budget as alignment, incentives as architecture, and management as the discipline of holding balance between people with very different needs. I am grateful for the depth of the discussion and for the responsibility it implies for the structure we are about to begin building from 1 June.</w:t>
      </w:r>
    </w:p>
    <w:p>
      <w:pPr>
        <w:spacing w:before="280"/>
      </w:pPr>
      <w:r>
        <w:rPr>
          <w:rFonts w:ascii="Calibri" w:cs="Calibri" w:eastAsia="Calibri" w:hAnsi="Calibri"/>
        </w:rPr>
        <w:t xml:space="preserve"/>
      </w:r>
    </w:p>
    <w:p>
      <w:pPr>
        <w:spacing w:after="240"/>
      </w:pPr>
      <w:r>
        <w:rPr>
          <w:rFonts w:ascii="Calibri" w:cs="Calibri" w:eastAsia="Calibri" w:hAnsi="Calibri"/>
          <w:sz w:val="22"/>
          <w:szCs w:val="22"/>
        </w:rPr>
        <w:t xml:space="preserve">Respectfully,</w:t>
      </w:r>
    </w:p>
    <w:p>
      <w:pPr>
        <w:spacing w:after="0"/>
      </w:pPr>
      <w:r>
        <w:rPr>
          <w:rFonts w:ascii="Calibri" w:cs="Calibri" w:eastAsia="Calibri" w:hAnsi="Calibri"/>
          <w:b/>
          <w:bCs/>
          <w:sz w:val="22"/>
          <w:szCs w:val="22"/>
        </w:rPr>
        <w:t xml:space="preserve">Ambrose Alanda</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Report — Executive Session 29 May 2026</dc:title>
  <dc:creator>Ambrose Alanda</dc:creator>
  <cp:lastModifiedBy>Un-named</cp:lastModifiedBy>
  <cp:revision>1</cp:revision>
  <dcterms:created xsi:type="dcterms:W3CDTF">2026-05-31T19:27:38.200Z</dcterms:created>
  <dcterms:modified xsi:type="dcterms:W3CDTF">2026-05-31T19:27:38.200Z</dcterms:modified>
</cp:coreProperties>
</file>

<file path=docProps/custom.xml><?xml version="1.0" encoding="utf-8"?>
<Properties xmlns="http://schemas.openxmlformats.org/officeDocument/2006/custom-properties" xmlns:vt="http://schemas.openxmlformats.org/officeDocument/2006/docPropsVTypes"/>
</file>