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55E75"/>
          <w:sz w:val="38"/>
        </w:rPr>
        <w:t>ООО "ДетаЛит"</w:t>
        <w:br/>
        <w:t>Регламент обучения подразделений по ОКВЭД 29.31</w:t>
      </w:r>
    </w:p>
    <w:p>
      <w:r>
        <w:t>Документ описывает учебную сетку для сотрудников, которые работают с электрическим и электронным оборудованием для автотранспортных средств: жгутами, разъемами, электронными модулями, испытаниями, прослеживаемостью и входным контролем.</w:t>
      </w:r>
    </w:p>
    <w:p>
      <w:pPr>
        <w:pStyle w:val="Heading1"/>
      </w:pPr>
      <w:r>
        <w:t>1. Роли и обязательные курсы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484"/>
          </w:tcPr>
          <w:p>
            <w:r>
              <w:rPr>
                <w:b/>
              </w:rPr>
              <w:t>Подразделение</w:t>
            </w:r>
          </w:p>
        </w:tc>
        <w:tc>
          <w:tcPr>
            <w:tcW w:type="dxa" w:w="2484"/>
          </w:tcPr>
          <w:p>
            <w:r>
              <w:rPr>
                <w:b/>
              </w:rPr>
              <w:t>Базовый курс</w:t>
            </w:r>
          </w:p>
        </w:tc>
        <w:tc>
          <w:tcPr>
            <w:tcW w:type="dxa" w:w="2484"/>
          </w:tcPr>
          <w:p>
            <w:r>
              <w:rPr>
                <w:b/>
              </w:rPr>
              <w:t>Практическая проверка</w:t>
            </w:r>
          </w:p>
        </w:tc>
      </w:tr>
      <w:tr>
        <w:tc>
          <w:tcPr>
            <w:tcW w:type="dxa" w:w="2484"/>
          </w:tcPr>
          <w:p>
            <w:r>
              <w:t>Оператор</w:t>
            </w:r>
          </w:p>
        </w:tc>
        <w:tc>
          <w:tcPr>
            <w:tcW w:type="dxa" w:w="2484"/>
          </w:tcPr>
          <w:p>
            <w:r>
              <w:t>Производственный участок</w:t>
            </w:r>
          </w:p>
        </w:tc>
        <w:tc>
          <w:tcPr>
            <w:tcW w:type="dxa" w:w="2484"/>
          </w:tcPr>
          <w:p>
            <w:r>
              <w:t>Автоэлектроника и маршрут изделия</w:t>
            </w:r>
          </w:p>
        </w:tc>
        <w:tc>
          <w:tcPr>
            <w:tcW w:type="dxa" w:w="2484"/>
          </w:tcPr>
          <w:p>
            <w:r>
              <w:t>Сборка узла по карте</w:t>
            </w:r>
          </w:p>
        </w:tc>
      </w:tr>
      <w:tr>
        <w:tc>
          <w:tcPr>
            <w:tcW w:type="dxa" w:w="2484"/>
          </w:tcPr>
          <w:p>
            <w:r>
              <w:t>Сборщик</w:t>
            </w:r>
          </w:p>
        </w:tc>
        <w:tc>
          <w:tcPr>
            <w:tcW w:type="dxa" w:w="2484"/>
          </w:tcPr>
          <w:p>
            <w:r>
              <w:t>Жгуты и разъемы</w:t>
            </w:r>
          </w:p>
        </w:tc>
        <w:tc>
          <w:tcPr>
            <w:tcW w:type="dxa" w:w="2484"/>
          </w:tcPr>
          <w:p>
            <w:r>
              <w:t>Жгуты, маркировка и обжим</w:t>
            </w:r>
          </w:p>
        </w:tc>
        <w:tc>
          <w:tcPr>
            <w:tcW w:type="dxa" w:w="2484"/>
          </w:tcPr>
          <w:p>
            <w:r>
              <w:t>Контроль обжима и пиновки</w:t>
            </w:r>
          </w:p>
        </w:tc>
      </w:tr>
      <w:tr>
        <w:tc>
          <w:tcPr>
            <w:tcW w:type="dxa" w:w="2484"/>
          </w:tcPr>
          <w:p>
            <w:r>
              <w:t>Инженер</w:t>
            </w:r>
          </w:p>
        </w:tc>
        <w:tc>
          <w:tcPr>
            <w:tcW w:type="dxa" w:w="2484"/>
          </w:tcPr>
          <w:p>
            <w:r>
              <w:t>Технологический отдел</w:t>
            </w:r>
          </w:p>
        </w:tc>
        <w:tc>
          <w:tcPr>
            <w:tcW w:type="dxa" w:w="2484"/>
          </w:tcPr>
          <w:p>
            <w:r>
              <w:t>ESD, пайка и монтаж</w:t>
            </w:r>
          </w:p>
        </w:tc>
        <w:tc>
          <w:tcPr>
            <w:tcW w:type="dxa" w:w="2484"/>
          </w:tcPr>
          <w:p>
            <w:r>
              <w:t>Разбор дефекта по 5 Why</w:t>
            </w:r>
          </w:p>
        </w:tc>
      </w:tr>
      <w:tr>
        <w:tc>
          <w:tcPr>
            <w:tcW w:type="dxa" w:w="2484"/>
          </w:tcPr>
          <w:p>
            <w:r>
              <w:t>Контролер</w:t>
            </w:r>
          </w:p>
        </w:tc>
        <w:tc>
          <w:tcPr>
            <w:tcW w:type="dxa" w:w="2484"/>
          </w:tcPr>
          <w:p>
            <w:r>
              <w:t>ОТК и лаборатория</w:t>
            </w:r>
          </w:p>
        </w:tc>
        <w:tc>
          <w:tcPr>
            <w:tcW w:type="dxa" w:w="2484"/>
          </w:tcPr>
          <w:p>
            <w:r>
              <w:t>Испытания и трассируемость</w:t>
            </w:r>
          </w:p>
        </w:tc>
        <w:tc>
          <w:tcPr>
            <w:tcW w:type="dxa" w:w="2484"/>
          </w:tcPr>
          <w:p>
            <w:r>
              <w:t>Оформление несоответствия</w:t>
            </w:r>
          </w:p>
        </w:tc>
      </w:tr>
    </w:tbl>
    <w:p>
      <w:pPr>
        <w:pStyle w:val="Heading1"/>
      </w:pPr>
      <w:r>
        <w:t>2. Матрица допуска</w:t>
      </w:r>
    </w:p>
    <w:p>
      <w:pPr>
        <w:pStyle w:val="ListBullet"/>
      </w:pPr>
      <w:r>
        <w:t>Сотрудник допускается к операции только после вводного курса, практической проверки и назначения мастером.</w:t>
      </w:r>
    </w:p>
    <w:p>
      <w:pPr>
        <w:pStyle w:val="ListBullet"/>
      </w:pPr>
      <w:r>
        <w:t>Операции с ESD-риском требуют отдельного подтверждения знаний по защите компонентов.</w:t>
      </w:r>
    </w:p>
    <w:p>
      <w:pPr>
        <w:pStyle w:val="ListBullet"/>
      </w:pPr>
      <w:r>
        <w:t>Работа с измерительным оборудованием требует знания методики, допуска и правил записи результата.</w:t>
      </w:r>
    </w:p>
    <w:p>
      <w:pPr>
        <w:pStyle w:val="ListBullet"/>
      </w:pPr>
      <w:r>
        <w:t>Каждая партия должна быть связана с маршрутной картой, номером изделия, сменой и ответственным.</w:t>
      </w:r>
    </w:p>
    <w:p>
      <w:pPr>
        <w:pStyle w:val="Heading1"/>
      </w:pPr>
      <w:r>
        <w:t>3. Производственные схемы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nics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ness-assemb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55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