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ООО "ДетаЛит"</w:t>
        <w:br/>
        <w:t>Карта ежедневного инструктажа сотрудника</w:t>
      </w:r>
    </w:p>
    <w:p>
      <w:r>
        <w:t>Документ предназначен для вводного и повторного обучения сотрудников литейного, механического и контрольного участков. Используйте его как чек-лист перед началом смены.</w:t>
      </w:r>
    </w:p>
    <w:p>
      <w:pPr>
        <w:pStyle w:val="Heading1"/>
      </w:pPr>
      <w:r>
        <w:t>1. Перед началом смены</w:t>
      </w:r>
    </w:p>
    <w:p>
      <w:pPr>
        <w:pStyle w:val="ListBullet"/>
      </w:pPr>
      <w:r>
        <w:t>Проверить спецодежду, защитные очки, перчатки и обувь.</w:t>
      </w:r>
    </w:p>
    <w:p>
      <w:pPr>
        <w:pStyle w:val="ListBullet"/>
      </w:pPr>
      <w:r>
        <w:t>Осмотреть рабочую зону: проходы свободны, аварийные кнопки доступны.</w:t>
      </w:r>
    </w:p>
    <w:p>
      <w:pPr>
        <w:pStyle w:val="ListBullet"/>
      </w:pPr>
      <w:r>
        <w:t>Проверить исправность вытяжки, ограждений и маркировки опасных зон.</w:t>
      </w:r>
    </w:p>
    <w:p>
      <w:pPr>
        <w:pStyle w:val="ListBullet"/>
      </w:pPr>
      <w:r>
        <w:t>Получить задание смены и уточнить критерии качества партии.</w:t>
      </w:r>
    </w:p>
    <w:p>
      <w:pPr>
        <w:pStyle w:val="Heading1"/>
      </w:pPr>
      <w:r>
        <w:t>2. Контрольные точки процесса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469"/>
          </w:tcPr>
          <w:p>
            <w:r>
              <w:rPr>
                <w:b/>
              </w:rPr>
              <w:t>Что проверяем</w:t>
            </w:r>
          </w:p>
        </w:tc>
        <w:tc>
          <w:tcPr>
            <w:tcW w:type="dxa" w:w="2469"/>
          </w:tcPr>
          <w:p>
            <w:r>
              <w:rPr>
                <w:b/>
              </w:rPr>
              <w:t>Норма</w:t>
            </w:r>
          </w:p>
        </w:tc>
        <w:tc>
          <w:tcPr>
            <w:tcW w:type="dxa" w:w="2469"/>
          </w:tcPr>
          <w:p>
            <w:r>
              <w:rPr>
                <w:b/>
              </w:rPr>
              <w:t>Действие при отклонении</w:t>
            </w:r>
          </w:p>
        </w:tc>
      </w:tr>
      <w:tr>
        <w:tc>
          <w:tcPr>
            <w:tcW w:type="dxa" w:w="2469"/>
          </w:tcPr>
          <w:p>
            <w:r>
              <w:t>Плавка</w:t>
            </w:r>
          </w:p>
        </w:tc>
        <w:tc>
          <w:tcPr>
            <w:tcW w:type="dxa" w:w="2469"/>
          </w:tcPr>
          <w:p>
            <w:r>
              <w:t>Температура и состав</w:t>
            </w:r>
          </w:p>
        </w:tc>
        <w:tc>
          <w:tcPr>
            <w:tcW w:type="dxa" w:w="2469"/>
          </w:tcPr>
          <w:p>
            <w:r>
              <w:t>По техкарте</w:t>
            </w:r>
          </w:p>
        </w:tc>
        <w:tc>
          <w:tcPr>
            <w:tcW w:type="dxa" w:w="2469"/>
          </w:tcPr>
          <w:p>
            <w:r>
              <w:t>Сообщить мастеру, остановить заливку</w:t>
            </w:r>
          </w:p>
        </w:tc>
      </w:tr>
      <w:tr>
        <w:tc>
          <w:tcPr>
            <w:tcW w:type="dxa" w:w="2469"/>
          </w:tcPr>
          <w:p>
            <w:r>
              <w:t>Форма</w:t>
            </w:r>
          </w:p>
        </w:tc>
        <w:tc>
          <w:tcPr>
            <w:tcW w:type="dxa" w:w="2469"/>
          </w:tcPr>
          <w:p>
            <w:r>
              <w:t>Чистота, смазка, фиксация</w:t>
            </w:r>
          </w:p>
        </w:tc>
        <w:tc>
          <w:tcPr>
            <w:tcW w:type="dxa" w:w="2469"/>
          </w:tcPr>
          <w:p>
            <w:r>
              <w:t>Без сколов и перекосов</w:t>
            </w:r>
          </w:p>
        </w:tc>
        <w:tc>
          <w:tcPr>
            <w:tcW w:type="dxa" w:w="2469"/>
          </w:tcPr>
          <w:p>
            <w:r>
              <w:t>Заменить форму или очистить</w:t>
            </w:r>
          </w:p>
        </w:tc>
      </w:tr>
      <w:tr>
        <w:tc>
          <w:tcPr>
            <w:tcW w:type="dxa" w:w="2469"/>
          </w:tcPr>
          <w:p>
            <w:r>
              <w:t>Заливка</w:t>
            </w:r>
          </w:p>
        </w:tc>
        <w:tc>
          <w:tcPr>
            <w:tcW w:type="dxa" w:w="2469"/>
          </w:tcPr>
          <w:p>
            <w:r>
              <w:t>Скорость и стабильность</w:t>
            </w:r>
          </w:p>
        </w:tc>
        <w:tc>
          <w:tcPr>
            <w:tcW w:type="dxa" w:w="2469"/>
          </w:tcPr>
          <w:p>
            <w:r>
              <w:t>Без рывков</w:t>
            </w:r>
          </w:p>
        </w:tc>
        <w:tc>
          <w:tcPr>
            <w:tcW w:type="dxa" w:w="2469"/>
          </w:tcPr>
          <w:p>
            <w:r>
              <w:t>Зафиксировать причину, отделить партию</w:t>
            </w:r>
          </w:p>
        </w:tc>
      </w:tr>
      <w:tr>
        <w:tc>
          <w:tcPr>
            <w:tcW w:type="dxa" w:w="2469"/>
          </w:tcPr>
          <w:p>
            <w:r>
              <w:t>Охлаждение</w:t>
            </w:r>
          </w:p>
        </w:tc>
        <w:tc>
          <w:tcPr>
            <w:tcW w:type="dxa" w:w="2469"/>
          </w:tcPr>
          <w:p>
            <w:r>
              <w:t>Время выдержки</w:t>
            </w:r>
          </w:p>
        </w:tc>
        <w:tc>
          <w:tcPr>
            <w:tcW w:type="dxa" w:w="2469"/>
          </w:tcPr>
          <w:p>
            <w:r>
              <w:t>По регламенту</w:t>
            </w:r>
          </w:p>
        </w:tc>
        <w:tc>
          <w:tcPr>
            <w:tcW w:type="dxa" w:w="2469"/>
          </w:tcPr>
          <w:p>
            <w:r>
              <w:t>Не вскрывать форму досрочно</w:t>
            </w:r>
          </w:p>
        </w:tc>
      </w:tr>
      <w:tr>
        <w:tc>
          <w:tcPr>
            <w:tcW w:type="dxa" w:w="2469"/>
          </w:tcPr>
          <w:p>
            <w:r>
              <w:t>Контроль</w:t>
            </w:r>
          </w:p>
        </w:tc>
        <w:tc>
          <w:tcPr>
            <w:tcW w:type="dxa" w:w="2469"/>
          </w:tcPr>
          <w:p>
            <w:r>
              <w:t>Геометрия и дефекты</w:t>
            </w:r>
          </w:p>
        </w:tc>
        <w:tc>
          <w:tcPr>
            <w:tcW w:type="dxa" w:w="2469"/>
          </w:tcPr>
          <w:p>
            <w:r>
              <w:t>В пределах допуска</w:t>
            </w:r>
          </w:p>
        </w:tc>
        <w:tc>
          <w:tcPr>
            <w:tcW w:type="dxa" w:w="2469"/>
          </w:tcPr>
          <w:p>
            <w:r>
              <w:t>Оформить несоответствие</w:t>
            </w:r>
          </w:p>
        </w:tc>
      </w:tr>
    </w:tbl>
    <w:p>
      <w:pPr>
        <w:pStyle w:val="Heading1"/>
      </w:pPr>
      <w:r>
        <w:t>3. Лист самопроверки</w:t>
      </w:r>
    </w:p>
    <w:p>
      <w:pPr>
        <w:pStyle w:val="ListNumber"/>
      </w:pPr>
      <w:r>
        <w:t>Я понимаю маршрут эвакуации и место сбора.</w:t>
      </w:r>
    </w:p>
    <w:p>
      <w:pPr>
        <w:pStyle w:val="ListNumber"/>
      </w:pPr>
      <w:r>
        <w:t>Я знаю, где находятся огнетушитель, аптечка и аварийная кнопка.</w:t>
      </w:r>
    </w:p>
    <w:p>
      <w:pPr>
        <w:pStyle w:val="ListNumber"/>
      </w:pPr>
      <w:r>
        <w:t>Я умею отличить допустимый дефект от брака по карте качества.</w:t>
      </w:r>
    </w:p>
    <w:p>
      <w:pPr>
        <w:pStyle w:val="ListNumber"/>
      </w:pPr>
      <w:r>
        <w:t>Я знаю, кому сообщать об отклонениях и как фиксировать событие.</w:t>
      </w:r>
    </w:p>
    <w:p>
      <w:pPr>
        <w:pStyle w:val="Heading1"/>
      </w:pPr>
      <w:r>
        <w:t>4. Иллюстрация процесса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