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成辞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24岁 ｜ 现居·上海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18189868189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2932477849@qq.com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艺术设计 ｜ 南京财经大学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广告创意/设计专员 ｜ 南京 ｜ 西安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南京财经大学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艺术设计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
                【学术荣誉与综合能力】  
                <w:br/>
                国家奖学金获得者，综合测评排名专业前10%，体现扎实的专业基础与全面的综合素质。  
                <w:br/>
                <w:br/>
                【学生工作与组织协调】  
                <w:br/>
                担任校学生会主席，统筹策划并执行多场大型校级活动，协调跨部门合作，锻炼了出色的组织管理与团队协作能力。  
                <w:br/>
                <w:br/>
                【宣传运营与数字媒体实践】  
                <w:br/>
                在党委宣传部担任助理期间，负责学校官网及官方微信公众号的内容策划与日常运营，积累了一定的视觉传达与数字内容制作经验。
              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海南师范大学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2020.09 - 2024.07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环境设计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
                环境设计
                <w:br/>
                <w:br/>
                1.学生会新闻宣传部干事:负责活动策划，海报设计
                <w:br/>
                2.班委:协助老师进行考勤
              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Photoshop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应聘时间：2026.01.08 - 活跃时间：2026.01.12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ID：266541474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