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b/>
          <w:bCs/>
          <w:color w:val="6E4B2A"/>
          <w:sz w:val="20"/>
          <w:szCs w:val="20"/>
        </w:rPr>
        <w:t xml:space="preserve">PLAYBOOK MASTER · FRAMEWORK ELYSIAN</w:t>
      </w:r>
    </w:p>
    <w:p>
      <w:pPr>
        <w:spacing w:before="120"/>
      </w:pPr>
      <w:r>
        <w:rPr>
          <w:b/>
          <w:bCs/>
          <w:color w:val="1F3A5F"/>
          <w:sz w:val="40"/>
          <w:szCs w:val="40"/>
        </w:rPr>
        <w:t xml:space="preserve">Configuração do Motor por Frente</w:t>
      </w:r>
    </w:p>
    <w:p>
      <w:pPr>
        <w:spacing w:before="10"/>
      </w:pPr>
      <w:r>
        <w:rPr>
          <w:b/>
          <w:bCs/>
          <w:color w:val="1F3A5F"/>
          <w:sz w:val="23"/>
          <w:szCs w:val="23"/>
        </w:rPr>
        <w:t xml:space="preserve">B2C · B2B · Indústria · Governo — dos achados de mercado aos parâmetros da máquina</w:t>
      </w:r>
    </w:p>
    <w:p>
      <w:pPr>
        <w:pBdr>
          <w:bottom w:val="single" w:color="6E4B2A" w:sz="8" w:space="6"/>
        </w:pBdr>
        <w:spacing w:before="200"/>
      </w:pPr>
    </w:p>
    <w:p>
      <w:pPr>
        <w:spacing w:before="240"/>
      </w:pPr>
      <w:r>
        <w:rPr>
          <w:i/>
          <w:iCs/>
          <w:color w:val="3A3A3A"/>
          <w:sz w:val="22"/>
          <w:szCs w:val="22"/>
        </w:rPr>
        <w:t xml:space="preserve">A Deep Research disse quais são os problemas, custos e oportunidades de cada frente. Este documento traduz esses achados em como o motor Elysian é configurado para cada uma: trilha, onde o humano decide, o que vira sinal, e quais regras determinísticas travam a autodestruição.</w:t>
      </w:r>
    </w:p>
    <w:p>
      <w:pPr>
        <w:spacing w:before="280"/>
      </w:pPr>
      <w:r>
        <w:rPr>
          <w:color w:val="3A3A3A"/>
          <w:sz w:val="20"/>
          <w:szCs w:val="20"/>
        </w:rPr>
        <w:t xml:space="preserve">Base: pesquisa “Estratégia GTM para PMEs Brasileiras” (2025–2026) · Julho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padrão que atravessa as quatro frentes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Antes das configurações específicas, um achado que vale mais que os itens isolados: as quatro frentes, por mais diferentes que sejam, exigem que o motor trate os mesmos três elementos. Configure sempre estes três, em qualquer frente.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A ferida de dado que cega o motor. </w:t>
      </w:r>
      <w:r>
        <w:rPr>
          <w:color w:val="3A3A3A"/>
          <w:sz w:val="21"/>
          <w:szCs w:val="21"/>
        </w:rPr>
        <w:t xml:space="preserve">O Elysian vive de dado próprio para decodificar. Em cada frente alguém sequestra esse dado: o marketplace retém o cliente (B2C), o distribuidor esconde o sell-out (indústria), falta dado de intenção (B2B), o dado está disperso no PNCP (governo). Config nº 1: onde reconquistar o dado.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A trava contra a autodestruição. </w:t>
      </w:r>
      <w:r>
        <w:rPr>
          <w:color w:val="3A3A3A"/>
          <w:sz w:val="21"/>
          <w:szCs w:val="21"/>
        </w:rPr>
        <w:t xml:space="preserve">Em cada frente há uma ação que o operador faz sozinho e que se destrói: parcelar sem checar crédito, passar lead sem SLA, adiantar indenização de representante, dar lance abaixo do custo. Config nº 2: a regra “se X, trava”.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A bomba-relógio regulatória de 2026. </w:t>
      </w:r>
      <w:r>
        <w:rPr>
          <w:color w:val="3A3A3A"/>
          <w:sz w:val="21"/>
          <w:szCs w:val="21"/>
        </w:rPr>
        <w:t xml:space="preserve">Cada frente tem um prazo/norma que, ignorado, quebra a operação. Config nº 3: o alerta com data, dentro do sistema.</w:t>
      </w:r>
    </w:p>
    <w:p>
      <w:r>
        <w:br w:type="page"/>
      </w:r>
    </w:p>
    <w:p>
      <w:pPr>
        <w:pStyle w:val="Heading1"/>
      </w:pPr>
      <w:r>
        <w:t xml:space="preserve">2. Tabela-mestra de configuração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050"/>
        <w:gridCol w:w="2050"/>
        <w:gridCol w:w="1850"/>
        <w:gridCol w:w="1926"/>
      </w:tblGrid>
      <w:tr>
        <w:trPr>
          <w:tblHeader/>
        </w:trP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Frente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Trilha &amp; humano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Sinais-chave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Trava 2026 (regra dura)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Alavanca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B2C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Balcão domina; máquina lidera, humano só na exceção.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Comportamento omnicanal, carrinho abandonado, RFM, score de crédito.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Só oferecer parcelado após score; calcular DIFAL por UF antes de precificar.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WhatsApp + IA conversacional; economia prateada (50+).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B2B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Dupla trilha: portal self-serve (PLG) + Consultiva (SLG).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Intenção de compra, sinais de expansão (NDR), perfil tributário do cliente.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Alerta do prazo IBS/CBS (set/2026); SLA como gate de passagem de lead.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E-commerce B2B (R$600B, baixa maturidade); IA corta CAC 30–47%.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Indústria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Consultiva/key-account domina; base em Balcão; Desenvolvimento p/ Receita Latente.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Sell-out dos distribuidores, GMROI, ciclo de conversão de caixa.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Auditar contratos de representação: provisionar 1/12 à parte; parar adiantamento (STJ).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Servitização/EaaS (receita recorrente); polos do Sul (codesenvolvimento).</w:t>
            </w:r>
          </w:p>
        </w:tc>
      </w:tr>
      <w:tr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Governo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Trilha própria de Licitação; humano jurídico/compliance decide disputar.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Editais no PNCP, fit do edital, histórico de pagamento do órgão.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Piso de margem: nunca lançar abaixo do custo nem &lt;75% do orçamento (inexequibilidade).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8FA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20" w:line="248"/>
            </w:pPr>
            <w:r>
              <w:rPr>
                <w:b w:val="false"/>
                <w:bCs w:val="false"/>
                <w:color w:val="3A3A3A"/>
                <w:sz w:val="16"/>
                <w:szCs w:val="16"/>
              </w:rPr>
              <w:t xml:space="preserve">Dispensa eletrônica (R$65k/R$130k) gera atestado; exclusividade ME/EPP até R$80k.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Configuração detalhada por frente</w:t>
      </w:r>
    </w:p>
    <w:p>
      <w:pPr>
        <w:pStyle w:val="Heading2"/>
      </w:pPr>
      <w:r>
        <w:t xml:space="preserve">3.1 B2C — o motor de Balcão movido a dado próprio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Trilha &amp; humano: </w:t>
      </w:r>
      <w:r>
        <w:rPr>
          <w:color w:val="3A3A3A"/>
          <w:sz w:val="21"/>
          <w:szCs w:val="21"/>
        </w:rPr>
        <w:t xml:space="preserve">a Trilha Balcão é o padrão; a máquina cota, responde e recupera carrinho no WhatsApp (82% das transações conversacionais da região). O humano entra por exceção e em cobrança/negociação de inadimplência.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Sinais a instrumentar: </w:t>
      </w:r>
      <w:r>
        <w:rPr>
          <w:color w:val="3A3A3A"/>
          <w:sz w:val="21"/>
          <w:szCs w:val="21"/>
        </w:rPr>
        <w:t xml:space="preserve">comportamento omnicanal (o omnicanal vale +30% de LTV), carrinho abandonado, RFM, e — crítico com a inadimplência a 8,46% — um score de crédito antes de liberar parcelamento.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8A2B2B"/>
          <w:sz w:val="21"/>
          <w:szCs w:val="21"/>
        </w:rPr>
        <w:t xml:space="preserve">Trava determinística (2026): </w:t>
      </w:r>
      <w:r>
        <w:rPr>
          <w:color w:val="3A3A3A"/>
          <w:sz w:val="21"/>
          <w:szCs w:val="21"/>
        </w:rPr>
        <w:t xml:space="preserve">não oferecer parcelado sem passar pelo score de crédito; e calcular automaticamente o DIFAL pela UF de destino (alíquotas de até 23%) antes de fechar o preço da venda interestadual — senão a margem evapora sem ninguém ver.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E5D34"/>
          <w:sz w:val="21"/>
          <w:szCs w:val="21"/>
        </w:rPr>
        <w:t xml:space="preserve">Alavanca: </w:t>
      </w:r>
      <w:r>
        <w:rPr>
          <w:color w:val="3A3A3A"/>
          <w:sz w:val="21"/>
          <w:szCs w:val="21"/>
        </w:rPr>
        <w:t xml:space="preserve">WhatsApp + IA conversacional para recuperação de carrinho e pós-venda; e a economia prateada (50+ movimenta R$ 1,8 tri), um nicho mal atendido por interface digital.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jogada Elysian  </w:t>
      </w:r>
      <w:r>
        <w:rPr>
          <w:color w:val="333333"/>
          <w:sz w:val="21"/>
          <w:szCs w:val="21"/>
        </w:rPr>
        <w:t xml:space="preserve">A ferida do B2C é o marketplace reter o cliente final: sem e-mail/telefone/perfil, o motor Elysian fica cego — não há decode, não há personalização, não há LTV. Por isso a config nº 1 do B2C é reconquistar o first-party data via WhatsApp/DTC. Marketplace serve para giro de commodity; o cliente de margem é empurrado para o canal próprio, onde o dado (e o motor) vivem.</w:t>
      </w:r>
    </w:p>
    <w:p>
      <w:pPr>
        <w:pStyle w:val="Heading2"/>
      </w:pPr>
      <w:r>
        <w:t xml:space="preserve">3.2 B2B — a dupla trilha com um sinal tributário novo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Trilha &amp; humano: </w:t>
      </w:r>
      <w:r>
        <w:rPr>
          <w:color w:val="3A3A3A"/>
          <w:sz w:val="21"/>
          <w:szCs w:val="21"/>
        </w:rPr>
        <w:t xml:space="preserve">dupla trilha quase 1:1: portal de autoatendimento (PLG) = Balcão; venda consultiva (SLG) = Consultiva, com SPICED/MEDDIC. A decisão do modelo tributário é chamada do Arquiteto.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Sinais a instrumentar: </w:t>
      </w:r>
      <w:r>
        <w:rPr>
          <w:color w:val="3A3A3A"/>
          <w:sz w:val="21"/>
          <w:szCs w:val="21"/>
        </w:rPr>
        <w:t xml:space="preserve">dado de intenção de compra (enriquecimento), sinais de expansão (mirar NDR &gt;110%), e um sinal inédito: o perfil tributário do cliente (é Lucro Real? precisa de crédito integral?).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8A2B2B"/>
          <w:sz w:val="21"/>
          <w:szCs w:val="21"/>
        </w:rPr>
        <w:t xml:space="preserve">Trava determinística (2026): </w:t>
      </w:r>
      <w:r>
        <w:rPr>
          <w:color w:val="3A3A3A"/>
          <w:sz w:val="21"/>
          <w:szCs w:val="21"/>
        </w:rPr>
        <w:t xml:space="preserve">instituir o SLA marketing→vendas como gate (57% das PMEs operam sem — lead não passa sem critério); e o alerta duro do prazo de setembro/2026 para a decisão de recolher IBS/CBS “por fora”.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E5D34"/>
          <w:sz w:val="21"/>
          <w:szCs w:val="21"/>
        </w:rPr>
        <w:t xml:space="preserve">Alavanca: </w:t>
      </w:r>
      <w:r>
        <w:rPr>
          <w:color w:val="3A3A3A"/>
          <w:sz w:val="21"/>
          <w:szCs w:val="21"/>
        </w:rPr>
        <w:t xml:space="preserve">o e-commerce B2B (R$ 600 bi, concorrência de baixa maturidade digital) como portal Balcão; e IA no funil, que corta o CAC em 30–47%.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jogada Elysian  </w:t>
      </w:r>
      <w:r>
        <w:rPr>
          <w:color w:val="333333"/>
          <w:sz w:val="21"/>
          <w:szCs w:val="21"/>
        </w:rPr>
        <w:t xml:space="preserve">A Reforma Tributária cria um sinal de qualificação que não existia: se a PME optante do Simples não transferir crédito integral, ela fica silenciosamente não-competitiva em cadeias B2B formais (clientes Lucro Real). O motor precisa decodificar o perfil tributário do cliente do cliente e sinalizar isso — é um novo eixo do “por que compram (ou deixam de comprar)”.</w:t>
      </w:r>
    </w:p>
    <w:p>
      <w:pPr>
        <w:pStyle w:val="Heading2"/>
      </w:pPr>
      <w:r>
        <w:t xml:space="preserve">3.3 Indústria — o key-account consultivo com um passivo escondido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Trilha &amp; humano: </w:t>
      </w:r>
      <w:r>
        <w:rPr>
          <w:color w:val="3A3A3A"/>
          <w:sz w:val="21"/>
          <w:szCs w:val="21"/>
        </w:rPr>
        <w:t xml:space="preserve">Consultiva/key-account domina, com o Arquiteto dono do “porquê” técnico e do spec-in; a base pode ter Balcão; e a trilha de Desenvolvimento captura a Receita Latente (cliente que compra parte do mix).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Sinais a instrumentar: </w:t>
      </w:r>
      <w:r>
        <w:rPr>
          <w:color w:val="3A3A3A"/>
          <w:sz w:val="21"/>
          <w:szCs w:val="21"/>
        </w:rPr>
        <w:t xml:space="preserve">o sell-out dos distribuidores (o grande ponto cego — instrumentar via portal de revenda); o GMROI no lugar do giro isolado; e o ciclo de conversão de caixa.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8A2B2B"/>
          <w:sz w:val="21"/>
          <w:szCs w:val="21"/>
        </w:rPr>
        <w:t xml:space="preserve">Trava determinística (2026): </w:t>
      </w:r>
      <w:r>
        <w:rPr>
          <w:color w:val="3A3A3A"/>
          <w:sz w:val="21"/>
          <w:szCs w:val="21"/>
        </w:rPr>
        <w:t xml:space="preserve">auditar todos os contratos de representação comercial: provisionar a indenização de 1/12 (Lei 4.886/65, art. 27) à parte e parar imediatamente o adiantamento mensal — o STJ (REsp 1.831.947/PR) declarou nula a prática de parcelar junto da comissão, com risco de condenação retroativa.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E5D34"/>
          <w:sz w:val="21"/>
          <w:szCs w:val="21"/>
        </w:rPr>
        <w:t xml:space="preserve">Alavanca: </w:t>
      </w:r>
      <w:r>
        <w:rPr>
          <w:color w:val="3A3A3A"/>
          <w:sz w:val="21"/>
          <w:szCs w:val="21"/>
        </w:rPr>
        <w:t xml:space="preserve">a servitização / Equipment-as-a-Service — transformar a venda transacional em contrato recorrente (serviço cresce ~40% mais rápido, corta ~25% do custo do cliente); e os polos do Sul para codesenvolvimento.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jogada Elysian  </w:t>
      </w:r>
      <w:r>
        <w:rPr>
          <w:color w:val="333333"/>
          <w:sz w:val="21"/>
          <w:szCs w:val="21"/>
        </w:rPr>
        <w:t xml:space="preserve">A cegueira de sell-out é a versão industrial da “podridão de dados”: sem enxergar a venda na ponta do distribuidor, o Decode do Núcleo e o radar de churn ficam cegos além do canal. Config nº 1 da indústria = instrumentar a captura de sell-out. E o passivo de representação é um achado direto para o Executive Audit Report de uma metalúrgica — dinheiro e risco escondidos nos contratos, exatamente o tipo de choque que ancora a Fase 1.</w:t>
      </w:r>
    </w:p>
    <w:p>
      <w:pPr>
        <w:pStyle w:val="Heading2"/>
      </w:pPr>
      <w:r>
        <w:t xml:space="preserve">3.4 Governo — onde o motor inverte: a regra é externa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Trilha &amp; humano: </w:t>
      </w:r>
      <w:r>
        <w:rPr>
          <w:color w:val="3A3A3A"/>
          <w:sz w:val="21"/>
          <w:szCs w:val="21"/>
        </w:rPr>
        <w:t xml:space="preserve">uma trilha própria de Licitação. Aqui o determinismo é externo — o edital É a regra. A máquina monitora, filtra e sugere; o humano jurídico/compliance decide disputar.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Sinais a instrumentar: </w:t>
      </w:r>
      <w:r>
        <w:rPr>
          <w:color w:val="3A3A3A"/>
          <w:sz w:val="21"/>
          <w:szCs w:val="21"/>
        </w:rPr>
        <w:t xml:space="preserve">os editais no PNCP (a detecção de sinal vira monitoramento de editais); o fit do edital (objeto, valor, exigência de atestado); e o histórico de pagamento do órgão (risco de calote municipal que come o capital de giro).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8A2B2B"/>
          <w:sz w:val="21"/>
          <w:szCs w:val="21"/>
        </w:rPr>
        <w:t xml:space="preserve">Trava determinística (2026): </w:t>
      </w:r>
      <w:r>
        <w:rPr>
          <w:color w:val="3A3A3A"/>
          <w:sz w:val="21"/>
          <w:szCs w:val="21"/>
        </w:rPr>
        <w:t xml:space="preserve">o piso de margem: nunca dar lance abaixo do custo real nem abaixo de 75% do orçamento (presunção de inexequibilidade, art. 59) — a trava anti-“guerra de centavos”. E o monitor de teto ME/EPP (R$ 4,8M/ano em contratos públicos): ao aproximar, alerta, pois perde a exclusividade.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2E5D34"/>
          <w:sz w:val="21"/>
          <w:szCs w:val="21"/>
        </w:rPr>
        <w:t xml:space="preserve">Alavanca: </w:t>
      </w:r>
      <w:r>
        <w:rPr>
          <w:color w:val="3A3A3A"/>
          <w:sz w:val="21"/>
          <w:szCs w:val="21"/>
        </w:rPr>
        <w:t xml:space="preserve">a dispensa eletrônica de 2026 (até R$ 65k em bens/serviços, R$ 130k em obras) como porta de entrada rápida que gera os primeiros atestados; a exclusividade ME/EPP até R$ 80k e as cotas de 25%; e o robô de lances (legal, IN 73/2022).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jogada Elysian  </w:t>
      </w:r>
      <w:r>
        <w:rPr>
          <w:color w:val="333333"/>
          <w:sz w:val="21"/>
          <w:szCs w:val="21"/>
        </w:rPr>
        <w:t xml:space="preserve">Governo é onde o “vale a pena reter este cliente?” vira “vale a pena disputar este edital?” — a Razão Viva aplicada ao edital. E o piso de margem é o gêmeo exato da Trava de Rebaixamento: uma regra determinística que impede o operador de tomar uma ação irreversível e autodestrutiva (aqui, ganhar um contrato no prejuízo). O novo “ranking de desempenho” da 14.133 ainda joga a favor do Elysian: premia quem entrega, não quem só corta preço.</w:t>
      </w:r>
    </w:p>
    <w:p>
      <w:pPr>
        <w:pStyle w:val="Heading1"/>
      </w:pPr>
      <w:r>
        <w:t xml:space="preserve">4. Aterrissando na AçoForte (cliente-caso)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3A3A3A"/>
          <w:sz w:val="21"/>
          <w:szCs w:val="21"/>
        </w:rPr>
        <w:t xml:space="preserve">Como a AçoForte é uma metalúrgica, a configuração de Indústria é a principal — mas ela é híbrida, e é aí que o motor mostra o valor. Três achados da pesquisa viram ação imediata no diagnóstico dela: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Passivo de representação: </w:t>
      </w:r>
      <w:r>
        <w:rPr>
          <w:color w:val="3A3A3A"/>
          <w:sz w:val="21"/>
          <w:szCs w:val="21"/>
        </w:rPr>
        <w:t xml:space="preserve">se a AçoForte usa representantes autônomos, auditar os contratos e o histórico de adiantamento é um item de risco financeiro para o Executive Audit Report — soma-se à margem oculta e ao churn.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Cegueira de sell-out: </w:t>
      </w:r>
      <w:r>
        <w:rPr>
          <w:color w:val="3A3A3A"/>
          <w:sz w:val="21"/>
          <w:szCs w:val="21"/>
        </w:rPr>
        <w:t xml:space="preserve">o quanto os distribuidores dela vendem na ponta é um buraco de dado; instrumentar isso é pré-requisito para o forecast confiável que vamos prometer ao Sr. Arnaldo.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1F3A5F"/>
          <w:sz w:val="21"/>
          <w:szCs w:val="21"/>
        </w:rPr>
        <w:t xml:space="preserve">Servitização como expansão: </w:t>
      </w:r>
      <w:r>
        <w:rPr>
          <w:color w:val="3A3A3A"/>
          <w:sz w:val="21"/>
          <w:szCs w:val="21"/>
        </w:rPr>
        <w:t xml:space="preserve">anexar serviço/manutenção recorrente ao aço é a trilha de crescimento de margem — o lado direito do bowtie para uma indústria.</w:t>
      </w:r>
    </w:p>
    <w:p>
      <w:pPr>
        <w:pStyle w:val="Heading1"/>
      </w:pPr>
      <w:r>
        <w:t xml:space="preserve">5. Para o Gestor Comercial</w:t>
      </w:r>
    </w:p>
    <w:p>
      <w:pPr>
        <w:pBdr>
          <w:left w:val="single" w:color="6E4B2A" w:sz="18" w:space="10"/>
        </w:pBdr>
        <w:shd w:fill="EEF2F6" w:val="clear"/>
        <w:spacing w:after="170" w:before="80" w:line="278"/>
      </w:pPr>
      <w:r>
        <w:rPr>
          <w:b/>
          <w:bCs/>
          <w:color w:val="6E4B2A"/>
          <w:sz w:val="21"/>
          <w:szCs w:val="21"/>
        </w:rPr>
        <w:t xml:space="preserve">A leitura que amarra tudo  </w:t>
      </w:r>
      <w:r>
        <w:rPr>
          <w:color w:val="333333"/>
          <w:sz w:val="21"/>
          <w:szCs w:val="21"/>
        </w:rPr>
        <w:t xml:space="preserve">Quase nenhuma PME é pura. A AçoForte é indústria no key-account, quase-B2C no balcão, e pode disputar um pregão. Seu ofício não é escolher uma configuração — é reconhecer a frente dominante de cada camada da carteira e ligar os parâmetros certos. As três configs universais (reconquistar o dado, travar a autodestruição, alertar a bomba regulatória) valem para todas; o resto é ajuste fino por frente.</w:t>
      </w:r>
    </w:p>
    <w:p>
      <w:pPr>
        <w:pStyle w:val="Heading1"/>
      </w:pPr>
      <w:r>
        <w:t xml:space="preserve">Nota importante</w:t>
      </w:r>
    </w:p>
    <w:p>
      <w:pPr>
        <w:spacing w:after="130" w:line="278"/>
      </w:pPr>
      <w:r>
        <w:rPr>
          <w:b w:val="false"/>
          <w:bCs w:val="false"/>
          <w:i/>
          <w:iCs/>
          <w:color w:val="8A2B2B"/>
          <w:sz w:val="21"/>
          <w:szCs w:val="21"/>
        </w:rPr>
        <w:t xml:space="preserve">Os pontos fiscais e jurídicos aqui (DIFAL, prazos de IBS/CBS, indenização de representação e o REsp do STJ, limites da Lei 14.133 e da ME/EPP) vêm da Deep Research e refletem o cenário de 2025–2026, que muda por decreto e por ente federativo. Antes de transformar qualquer um deles em regra operacional num cliente, confirme com um contador/advogado e com o edital ou a norma vigente. Este documento orienta a engenharia comercial; não substitui assessoria jurídica ou tributária.</w:t>
      </w:r>
    </w:p>
    <w:p>
      <w:pPr>
        <w:spacing w:after="130" w:line="278"/>
      </w:pPr>
      <w:r>
        <w:rPr>
          <w:b w:val="false"/>
          <w:bCs w:val="false"/>
          <w:i w:val="false"/>
          <w:iCs w:val="false"/>
          <w:color w:val="777777"/>
          <w:sz w:val="18"/>
          <w:szCs w:val="18"/>
        </w:rPr>
        <w:t xml:space="preserve">Fontes: os dados e benchmarks têm origem no documento “Estratégia GTM para PMEs Brasileiras” (Deep Research, 60 referências citadas no próprio arquivo).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Aurora · Framework Elysian · confidencial ·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999999"/>
        <w:sz w:val="16"/>
        <w:szCs w:val="16"/>
      </w:rPr>
      <w:t xml:space="preserve">Playbook Master · Configuração do Motor por Frente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E4B2A" w:sz="6" w:space="4"/>
      </w:pBdr>
      <w:spacing w:after="150" w:before="280"/>
      <w:outlineLvl w:val="0"/>
    </w:pPr>
    <w:rPr>
      <w:rFonts w:ascii="Arial" w:cs="Arial" w:eastAsia="Arial" w:hAnsi="Arial"/>
      <w:b/>
      <w:bCs/>
      <w:color w:val="1F3A5F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Arial" w:cs="Arial" w:eastAsia="Arial" w:hAnsi="Arial"/>
      <w:b/>
      <w:bCs/>
      <w:color w:val="6E4B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2026-07-07T14:26:09.200Z</dcterms:created>
  <dcterms:modified xsi:type="dcterms:W3CDTF">2026-07-07T14:26:09.203Z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